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8DD" w:rsidRDefault="006E28DD" w:rsidP="006E28DD">
      <w:pPr>
        <w:pStyle w:val="Heading1"/>
      </w:pPr>
      <w:r>
        <w:t>Detailed definitions of accelerometer cut-points, and step-based and walking cadence parameters</w:t>
      </w:r>
    </w:p>
    <w:p w:rsidR="006E28DD" w:rsidRPr="006E28DD" w:rsidRDefault="006E28DD" w:rsidP="006E28DD"/>
    <w:p w:rsidR="00642A5B" w:rsidRPr="00633E41" w:rsidRDefault="00642A5B" w:rsidP="00642A5B">
      <w:pPr>
        <w:pStyle w:val="BodyText"/>
        <w:numPr>
          <w:ilvl w:val="0"/>
          <w:numId w:val="2"/>
        </w:numPr>
        <w:spacing w:line="480" w:lineRule="auto"/>
      </w:pPr>
      <w:r>
        <w:rPr>
          <w:color w:val="000000"/>
        </w:rPr>
        <w:t>Minute-by-minute acceleration count cut-points: s</w:t>
      </w:r>
      <w:r w:rsidRPr="008D52E8">
        <w:rPr>
          <w:color w:val="000000"/>
        </w:rPr>
        <w:t xml:space="preserve">edentary (0-99 </w:t>
      </w:r>
      <w:r>
        <w:rPr>
          <w:color w:val="000000"/>
        </w:rPr>
        <w:t>cts</w:t>
      </w:r>
      <w:r w:rsidRPr="008D52E8">
        <w:rPr>
          <w:color w:val="000000"/>
        </w:rPr>
        <w:t>.min</w:t>
      </w:r>
      <w:r w:rsidRPr="008D52E8">
        <w:rPr>
          <w:color w:val="000000"/>
          <w:vertAlign w:val="superscript"/>
        </w:rPr>
        <w:t>-1</w:t>
      </w:r>
      <w:r w:rsidRPr="008D52E8">
        <w:rPr>
          <w:color w:val="000000"/>
        </w:rPr>
        <w:t>)</w:t>
      </w:r>
      <w:r>
        <w:rPr>
          <w:color w:val="000000"/>
        </w:rPr>
        <w:t xml:space="preserve">, </w:t>
      </w:r>
      <w:r w:rsidRPr="008D52E8">
        <w:rPr>
          <w:color w:val="000000"/>
        </w:rPr>
        <w:t xml:space="preserve">light (100-760 </w:t>
      </w:r>
      <w:r>
        <w:rPr>
          <w:color w:val="000000"/>
        </w:rPr>
        <w:t>cts</w:t>
      </w:r>
      <w:r w:rsidRPr="008D52E8">
        <w:rPr>
          <w:color w:val="000000"/>
        </w:rPr>
        <w:t>.min</w:t>
      </w:r>
      <w:r w:rsidRPr="008D52E8">
        <w:rPr>
          <w:color w:val="000000"/>
          <w:vertAlign w:val="superscript"/>
        </w:rPr>
        <w:t>-1</w:t>
      </w:r>
      <w:r w:rsidRPr="008D52E8">
        <w:rPr>
          <w:color w:val="000000"/>
        </w:rPr>
        <w:t>)</w:t>
      </w:r>
      <w:r>
        <w:rPr>
          <w:color w:val="000000"/>
        </w:rPr>
        <w:t xml:space="preserve">, </w:t>
      </w:r>
      <w:r w:rsidRPr="008D52E8">
        <w:rPr>
          <w:color w:val="000000"/>
        </w:rPr>
        <w:t xml:space="preserve">moderate activity </w:t>
      </w:r>
      <w:r>
        <w:rPr>
          <w:color w:val="000000"/>
        </w:rPr>
        <w:t xml:space="preserve">(moderate-1: </w:t>
      </w:r>
      <w:r w:rsidRPr="008D52E8">
        <w:rPr>
          <w:color w:val="000000"/>
        </w:rPr>
        <w:t xml:space="preserve">760-1951 </w:t>
      </w:r>
      <w:r>
        <w:rPr>
          <w:color w:val="000000"/>
        </w:rPr>
        <w:t>cts</w:t>
      </w:r>
      <w:r w:rsidRPr="008D52E8">
        <w:rPr>
          <w:color w:val="000000"/>
        </w:rPr>
        <w:t>.min</w:t>
      </w:r>
      <w:r w:rsidRPr="008D52E8">
        <w:rPr>
          <w:color w:val="000000"/>
          <w:vertAlign w:val="superscript"/>
        </w:rPr>
        <w:t>-1</w:t>
      </w:r>
      <w:r>
        <w:rPr>
          <w:color w:val="000000"/>
        </w:rPr>
        <w:t xml:space="preserve">, moderate-2: </w:t>
      </w:r>
      <w:r w:rsidRPr="008D52E8">
        <w:rPr>
          <w:color w:val="000000"/>
        </w:rPr>
        <w:t>19</w:t>
      </w:r>
      <w:r>
        <w:rPr>
          <w:color w:val="000000"/>
        </w:rPr>
        <w:t>5</w:t>
      </w:r>
      <w:r w:rsidRPr="008D52E8">
        <w:rPr>
          <w:color w:val="000000"/>
        </w:rPr>
        <w:t xml:space="preserve">2-5724 </w:t>
      </w:r>
      <w:r>
        <w:rPr>
          <w:color w:val="000000"/>
        </w:rPr>
        <w:t>cts</w:t>
      </w:r>
      <w:r w:rsidRPr="008D52E8">
        <w:rPr>
          <w:color w:val="000000"/>
        </w:rPr>
        <w:t>.min</w:t>
      </w:r>
      <w:r w:rsidRPr="008D52E8">
        <w:rPr>
          <w:color w:val="000000"/>
          <w:vertAlign w:val="superscript"/>
        </w:rPr>
        <w:t>-1</w:t>
      </w:r>
      <w:r w:rsidRPr="00FA3E89">
        <w:rPr>
          <w:color w:val="000000"/>
        </w:rPr>
        <w:t>)</w:t>
      </w:r>
      <w:r>
        <w:rPr>
          <w:color w:val="000000"/>
        </w:rPr>
        <w:t xml:space="preserve"> and vigorous activity (</w:t>
      </w:r>
      <w:r w:rsidRPr="008D52E8">
        <w:rPr>
          <w:color w:val="000000"/>
        </w:rPr>
        <w:t xml:space="preserve">≥5725 </w:t>
      </w:r>
      <w:r>
        <w:rPr>
          <w:color w:val="000000"/>
        </w:rPr>
        <w:t>cts</w:t>
      </w:r>
      <w:r w:rsidRPr="008D52E8">
        <w:rPr>
          <w:color w:val="000000"/>
        </w:rPr>
        <w:t>.min</w:t>
      </w:r>
      <w:r w:rsidRPr="008D52E8">
        <w:rPr>
          <w:color w:val="000000"/>
          <w:vertAlign w:val="superscript"/>
        </w:rPr>
        <w:t>-1</w:t>
      </w:r>
      <w:r>
        <w:rPr>
          <w:color w:val="000000"/>
        </w:rPr>
        <w:t xml:space="preserve">) </w:t>
      </w:r>
      <w:r>
        <w:rPr>
          <w:noProof/>
          <w:color w:val="000000"/>
        </w:rPr>
        <w:t>[10, 11]</w:t>
      </w:r>
      <w:r w:rsidRPr="008D52E8">
        <w:rPr>
          <w:color w:val="000000"/>
        </w:rPr>
        <w:t xml:space="preserve"> </w:t>
      </w:r>
      <w:r>
        <w:rPr>
          <w:color w:val="000000"/>
        </w:rPr>
        <w:t xml:space="preserve"> </w:t>
      </w:r>
    </w:p>
    <w:p w:rsidR="00642A5B" w:rsidRDefault="00642A5B" w:rsidP="00642A5B">
      <w:pPr>
        <w:pStyle w:val="BodyText"/>
        <w:numPr>
          <w:ilvl w:val="0"/>
          <w:numId w:val="2"/>
        </w:numPr>
        <w:spacing w:line="480" w:lineRule="auto"/>
        <w:rPr>
          <w:color w:val="000000"/>
        </w:rPr>
      </w:pPr>
      <w:r>
        <w:rPr>
          <w:color w:val="000000"/>
        </w:rPr>
        <w:t>Average daily ambulatory activity (steps.day</w:t>
      </w:r>
      <w:r w:rsidRPr="00945D92">
        <w:rPr>
          <w:color w:val="000000"/>
          <w:vertAlign w:val="superscript"/>
        </w:rPr>
        <w:t>-1</w:t>
      </w:r>
      <w:r>
        <w:rPr>
          <w:color w:val="000000"/>
        </w:rPr>
        <w:t xml:space="preserve">): </w:t>
      </w:r>
      <w:r w:rsidRPr="00E67D26">
        <w:rPr>
          <w:color w:val="000000"/>
        </w:rPr>
        <w:t>Sedentary: &lt;5000 steps.day</w:t>
      </w:r>
      <w:r w:rsidRPr="00E67D26">
        <w:rPr>
          <w:color w:val="000000"/>
          <w:vertAlign w:val="superscript"/>
        </w:rPr>
        <w:t>-1</w:t>
      </w:r>
      <w:r w:rsidRPr="00E67D26">
        <w:rPr>
          <w:color w:val="000000"/>
        </w:rPr>
        <w:t>, Low active: 5000-7499 steps.day</w:t>
      </w:r>
      <w:r w:rsidRPr="00E67D26">
        <w:rPr>
          <w:color w:val="000000"/>
          <w:vertAlign w:val="superscript"/>
        </w:rPr>
        <w:t>-1</w:t>
      </w:r>
      <w:r w:rsidRPr="00E67D26">
        <w:rPr>
          <w:color w:val="000000"/>
        </w:rPr>
        <w:t>, Somewhat active: 7500-9999 steps.day</w:t>
      </w:r>
      <w:r w:rsidRPr="00E67D26">
        <w:rPr>
          <w:color w:val="000000"/>
          <w:vertAlign w:val="superscript"/>
        </w:rPr>
        <w:t>-1</w:t>
      </w:r>
      <w:r w:rsidRPr="00E67D26">
        <w:rPr>
          <w:color w:val="000000"/>
        </w:rPr>
        <w:t>, Active: ≥10 000 steps.day</w:t>
      </w:r>
      <w:r w:rsidRPr="00E67D26">
        <w:rPr>
          <w:color w:val="000000"/>
          <w:vertAlign w:val="superscript"/>
        </w:rPr>
        <w:t>-1</w:t>
      </w:r>
      <w:r w:rsidRPr="00E67D26">
        <w:rPr>
          <w:color w:val="000000"/>
        </w:rPr>
        <w:t>, and Very active: ≥12 500 steps.day</w:t>
      </w:r>
      <w:r w:rsidRPr="00E67D26">
        <w:rPr>
          <w:color w:val="000000"/>
          <w:vertAlign w:val="superscript"/>
        </w:rPr>
        <w:t>-1</w:t>
      </w:r>
      <w:r>
        <w:rPr>
          <w:color w:val="000000"/>
        </w:rPr>
        <w:t xml:space="preserve"> </w:t>
      </w:r>
      <w:r>
        <w:rPr>
          <w:noProof/>
          <w:color w:val="000000"/>
        </w:rPr>
        <w:t>[12]</w:t>
      </w:r>
    </w:p>
    <w:p w:rsidR="00642A5B" w:rsidRDefault="00642A5B" w:rsidP="00642A5B">
      <w:pPr>
        <w:pStyle w:val="BodyText"/>
        <w:numPr>
          <w:ilvl w:val="0"/>
          <w:numId w:val="2"/>
        </w:numPr>
        <w:spacing w:line="480" w:lineRule="auto"/>
        <w:rPr>
          <w:color w:val="000000"/>
        </w:rPr>
      </w:pPr>
      <w:r>
        <w:rPr>
          <w:color w:val="000000"/>
        </w:rPr>
        <w:t>Frequency of each bout duration, where bout duration ranges from 1 minute to ≥420 minutes with 1 minute increments</w:t>
      </w:r>
    </w:p>
    <w:p w:rsidR="00642A5B" w:rsidRDefault="00642A5B" w:rsidP="00642A5B">
      <w:pPr>
        <w:pStyle w:val="BodyText"/>
        <w:numPr>
          <w:ilvl w:val="0"/>
          <w:numId w:val="2"/>
        </w:numPr>
        <w:spacing w:line="480" w:lineRule="auto"/>
        <w:rPr>
          <w:color w:val="000000"/>
        </w:rPr>
      </w:pPr>
      <w:r>
        <w:rPr>
          <w:color w:val="000000"/>
        </w:rPr>
        <w:t>Steps accumulated within each accelerometer count band: s</w:t>
      </w:r>
      <w:r w:rsidRPr="008D52E8">
        <w:rPr>
          <w:color w:val="000000"/>
        </w:rPr>
        <w:t xml:space="preserve">edentary (0-99 </w:t>
      </w:r>
      <w:r>
        <w:rPr>
          <w:color w:val="000000"/>
        </w:rPr>
        <w:t>cts</w:t>
      </w:r>
      <w:r w:rsidRPr="008D52E8">
        <w:rPr>
          <w:color w:val="000000"/>
        </w:rPr>
        <w:t>.min</w:t>
      </w:r>
      <w:r w:rsidRPr="008D52E8">
        <w:rPr>
          <w:color w:val="000000"/>
          <w:vertAlign w:val="superscript"/>
        </w:rPr>
        <w:t>-1</w:t>
      </w:r>
      <w:r w:rsidRPr="008D52E8">
        <w:rPr>
          <w:color w:val="000000"/>
        </w:rPr>
        <w:t>)</w:t>
      </w:r>
      <w:r>
        <w:rPr>
          <w:color w:val="000000"/>
        </w:rPr>
        <w:t xml:space="preserve">, </w:t>
      </w:r>
      <w:r w:rsidRPr="008D52E8">
        <w:rPr>
          <w:color w:val="000000"/>
        </w:rPr>
        <w:t xml:space="preserve">light (100-760 </w:t>
      </w:r>
      <w:r>
        <w:rPr>
          <w:color w:val="000000"/>
        </w:rPr>
        <w:t>cts</w:t>
      </w:r>
      <w:r w:rsidRPr="008D52E8">
        <w:rPr>
          <w:color w:val="000000"/>
        </w:rPr>
        <w:t>.min</w:t>
      </w:r>
      <w:r w:rsidRPr="008D52E8">
        <w:rPr>
          <w:color w:val="000000"/>
          <w:vertAlign w:val="superscript"/>
        </w:rPr>
        <w:t>-1</w:t>
      </w:r>
      <w:r w:rsidRPr="008D52E8">
        <w:rPr>
          <w:color w:val="000000"/>
        </w:rPr>
        <w:t>)</w:t>
      </w:r>
      <w:r>
        <w:rPr>
          <w:color w:val="000000"/>
        </w:rPr>
        <w:t xml:space="preserve">, </w:t>
      </w:r>
      <w:r w:rsidRPr="008D52E8">
        <w:rPr>
          <w:color w:val="000000"/>
        </w:rPr>
        <w:t>moderate</w:t>
      </w:r>
      <w:r>
        <w:rPr>
          <w:color w:val="000000"/>
        </w:rPr>
        <w:t>-1</w:t>
      </w:r>
      <w:r w:rsidRPr="008D52E8">
        <w:rPr>
          <w:color w:val="000000"/>
        </w:rPr>
        <w:t xml:space="preserve"> activity </w:t>
      </w:r>
      <w:r>
        <w:rPr>
          <w:color w:val="000000"/>
        </w:rPr>
        <w:t xml:space="preserve">(moderate-1: </w:t>
      </w:r>
      <w:r w:rsidRPr="008D52E8">
        <w:rPr>
          <w:color w:val="000000"/>
        </w:rPr>
        <w:t xml:space="preserve">760-1951 </w:t>
      </w:r>
      <w:r>
        <w:rPr>
          <w:color w:val="000000"/>
        </w:rPr>
        <w:t>cts</w:t>
      </w:r>
      <w:r w:rsidRPr="008D52E8">
        <w:rPr>
          <w:color w:val="000000"/>
        </w:rPr>
        <w:t>.min</w:t>
      </w:r>
      <w:r w:rsidRPr="008D52E8">
        <w:rPr>
          <w:color w:val="000000"/>
          <w:vertAlign w:val="superscript"/>
        </w:rPr>
        <w:t>-1</w:t>
      </w:r>
      <w:r>
        <w:rPr>
          <w:color w:val="000000"/>
        </w:rPr>
        <w:t>and moderate-2 to vigorous activity (≥</w:t>
      </w:r>
      <w:r w:rsidRPr="008D52E8">
        <w:rPr>
          <w:color w:val="000000"/>
        </w:rPr>
        <w:t>19</w:t>
      </w:r>
      <w:r>
        <w:rPr>
          <w:color w:val="000000"/>
        </w:rPr>
        <w:t>5</w:t>
      </w:r>
      <w:r w:rsidRPr="008D52E8">
        <w:rPr>
          <w:color w:val="000000"/>
        </w:rPr>
        <w:t xml:space="preserve">2 </w:t>
      </w:r>
      <w:r>
        <w:rPr>
          <w:color w:val="000000"/>
        </w:rPr>
        <w:t>cts</w:t>
      </w:r>
      <w:r w:rsidRPr="008D52E8">
        <w:rPr>
          <w:color w:val="000000"/>
        </w:rPr>
        <w:t>.min</w:t>
      </w:r>
      <w:r w:rsidRPr="008D52E8">
        <w:rPr>
          <w:color w:val="000000"/>
          <w:vertAlign w:val="superscript"/>
        </w:rPr>
        <w:t>-1</w:t>
      </w:r>
      <w:r w:rsidRPr="00FA3E89">
        <w:rPr>
          <w:color w:val="000000"/>
        </w:rPr>
        <w:t>)</w:t>
      </w:r>
      <w:r>
        <w:rPr>
          <w:color w:val="000000"/>
        </w:rPr>
        <w:t xml:space="preserve"> </w:t>
      </w:r>
      <w:r>
        <w:rPr>
          <w:noProof/>
          <w:color w:val="000000"/>
        </w:rPr>
        <w:t>[15]</w:t>
      </w:r>
    </w:p>
    <w:p w:rsidR="00642A5B" w:rsidRDefault="00642A5B" w:rsidP="00642A5B">
      <w:pPr>
        <w:pStyle w:val="BodyText"/>
        <w:numPr>
          <w:ilvl w:val="0"/>
          <w:numId w:val="2"/>
        </w:numPr>
        <w:spacing w:line="480" w:lineRule="auto"/>
        <w:rPr>
          <w:color w:val="000000"/>
        </w:rPr>
      </w:pPr>
      <w:r>
        <w:rPr>
          <w:color w:val="000000"/>
        </w:rPr>
        <w:t>Steps accumulated within each walking bout, where bout duration ranges from 1 minute to ≥420 minutes with 1 minute increments</w:t>
      </w:r>
    </w:p>
    <w:p w:rsidR="00642A5B" w:rsidRDefault="00642A5B" w:rsidP="00642A5B">
      <w:pPr>
        <w:pStyle w:val="BodyText"/>
        <w:numPr>
          <w:ilvl w:val="0"/>
          <w:numId w:val="2"/>
        </w:numPr>
        <w:spacing w:line="480" w:lineRule="auto"/>
        <w:rPr>
          <w:color w:val="000000"/>
        </w:rPr>
      </w:pPr>
      <w:r>
        <w:rPr>
          <w:color w:val="000000"/>
        </w:rPr>
        <w:t>Steps accumulated and t</w:t>
      </w:r>
      <w:r w:rsidRPr="00617170">
        <w:rPr>
          <w:color w:val="000000"/>
        </w:rPr>
        <w:t>ime spent in each step cadence band (steps.min</w:t>
      </w:r>
      <w:r w:rsidRPr="00617170">
        <w:rPr>
          <w:color w:val="000000"/>
          <w:vertAlign w:val="superscript"/>
        </w:rPr>
        <w:t>-1</w:t>
      </w:r>
      <w:r w:rsidRPr="00617170">
        <w:rPr>
          <w:color w:val="000000"/>
        </w:rPr>
        <w:t>): 0 steps.min-1, 1-19 steps.min</w:t>
      </w:r>
      <w:r w:rsidRPr="00617170">
        <w:rPr>
          <w:color w:val="000000"/>
          <w:vertAlign w:val="superscript"/>
        </w:rPr>
        <w:t>-1</w:t>
      </w:r>
      <w:r w:rsidRPr="00617170">
        <w:rPr>
          <w:color w:val="000000"/>
        </w:rPr>
        <w:t xml:space="preserve"> (Incidental movement), 20-39 steps.min</w:t>
      </w:r>
      <w:r w:rsidRPr="00617170">
        <w:rPr>
          <w:color w:val="000000"/>
          <w:vertAlign w:val="superscript"/>
        </w:rPr>
        <w:t>-1</w:t>
      </w:r>
      <w:r w:rsidRPr="00617170">
        <w:rPr>
          <w:color w:val="000000"/>
        </w:rPr>
        <w:t xml:space="preserve"> (Sporadic movement), 40-59 steps.min</w:t>
      </w:r>
      <w:r w:rsidRPr="00617170">
        <w:rPr>
          <w:color w:val="000000"/>
          <w:vertAlign w:val="superscript"/>
        </w:rPr>
        <w:t>-1</w:t>
      </w:r>
      <w:r w:rsidRPr="00617170">
        <w:rPr>
          <w:color w:val="000000"/>
        </w:rPr>
        <w:t xml:space="preserve"> (Purposeful steps), steps.min</w:t>
      </w:r>
      <w:r w:rsidRPr="00617170">
        <w:rPr>
          <w:color w:val="000000"/>
          <w:vertAlign w:val="superscript"/>
        </w:rPr>
        <w:t>-1</w:t>
      </w:r>
      <w:r w:rsidRPr="00617170">
        <w:rPr>
          <w:color w:val="000000"/>
        </w:rPr>
        <w:t xml:space="preserve"> (Slow walking), 80-99 steps.min</w:t>
      </w:r>
      <w:r w:rsidRPr="00617170">
        <w:rPr>
          <w:color w:val="000000"/>
          <w:vertAlign w:val="superscript"/>
        </w:rPr>
        <w:t>-1</w:t>
      </w:r>
      <w:r w:rsidRPr="00617170">
        <w:rPr>
          <w:color w:val="000000"/>
        </w:rPr>
        <w:t xml:space="preserve"> (Medium walking), 100-119 steps.min</w:t>
      </w:r>
      <w:r w:rsidRPr="00617170">
        <w:rPr>
          <w:color w:val="000000"/>
          <w:vertAlign w:val="superscript"/>
        </w:rPr>
        <w:t>-1</w:t>
      </w:r>
      <w:r w:rsidRPr="00617170">
        <w:rPr>
          <w:color w:val="000000"/>
        </w:rPr>
        <w:t xml:space="preserve"> (Brisk walking), ≥120 steps.min</w:t>
      </w:r>
      <w:r w:rsidRPr="00617170">
        <w:rPr>
          <w:color w:val="000000"/>
          <w:vertAlign w:val="superscript"/>
        </w:rPr>
        <w:t>-1</w:t>
      </w:r>
      <w:r w:rsidRPr="00617170">
        <w:rPr>
          <w:color w:val="000000"/>
        </w:rPr>
        <w:t xml:space="preserve"> (Including all faster ambulation)</w:t>
      </w:r>
      <w:r>
        <w:rPr>
          <w:color w:val="000000"/>
        </w:rPr>
        <w:t xml:space="preserve"> </w:t>
      </w:r>
      <w:r>
        <w:rPr>
          <w:noProof/>
          <w:color w:val="000000"/>
        </w:rPr>
        <w:t>[5]</w:t>
      </w:r>
    </w:p>
    <w:p w:rsidR="00642A5B" w:rsidRDefault="00642A5B" w:rsidP="00642A5B">
      <w:pPr>
        <w:pStyle w:val="BodyText"/>
        <w:numPr>
          <w:ilvl w:val="0"/>
          <w:numId w:val="2"/>
        </w:numPr>
        <w:spacing w:line="480" w:lineRule="auto"/>
        <w:rPr>
          <w:color w:val="000000"/>
        </w:rPr>
      </w:pPr>
      <w:proofErr w:type="spellStart"/>
      <w:r>
        <w:rPr>
          <w:color w:val="000000"/>
        </w:rPr>
        <w:lastRenderedPageBreak/>
        <w:t>Bouted</w:t>
      </w:r>
      <w:proofErr w:type="spellEnd"/>
      <w:r>
        <w:rPr>
          <w:color w:val="000000"/>
        </w:rPr>
        <w:t xml:space="preserve"> Steps: Steps accumulated for each </w:t>
      </w:r>
      <w:r w:rsidRPr="00C864FB">
        <w:rPr>
          <w:color w:val="000000"/>
        </w:rPr>
        <w:t xml:space="preserve">average cadence within a continuous bout of </w:t>
      </w:r>
      <w:r>
        <w:rPr>
          <w:color w:val="000000"/>
        </w:rPr>
        <w:t>steps, where bout duration ranges from 1 minute to ≥420 minutes with 1 minute increments</w:t>
      </w:r>
    </w:p>
    <w:p w:rsidR="00642A5B" w:rsidRPr="00C864FB" w:rsidRDefault="00642A5B" w:rsidP="00642A5B">
      <w:pPr>
        <w:pStyle w:val="BodyText"/>
        <w:numPr>
          <w:ilvl w:val="0"/>
          <w:numId w:val="2"/>
        </w:numPr>
        <w:spacing w:line="480" w:lineRule="auto"/>
        <w:rPr>
          <w:color w:val="000000"/>
        </w:rPr>
      </w:pPr>
      <w:proofErr w:type="spellStart"/>
      <w:r>
        <w:rPr>
          <w:color w:val="000000"/>
        </w:rPr>
        <w:t>Unbouted</w:t>
      </w:r>
      <w:proofErr w:type="spellEnd"/>
      <w:r>
        <w:rPr>
          <w:color w:val="000000"/>
        </w:rPr>
        <w:t xml:space="preserve"> Steps: </w:t>
      </w:r>
      <w:r w:rsidRPr="00C864FB">
        <w:rPr>
          <w:color w:val="000000"/>
        </w:rPr>
        <w:t xml:space="preserve">Steps accumulated </w:t>
      </w:r>
      <w:r>
        <w:rPr>
          <w:color w:val="000000"/>
        </w:rPr>
        <w:t xml:space="preserve">at </w:t>
      </w:r>
      <w:r w:rsidRPr="00C864FB">
        <w:rPr>
          <w:color w:val="000000"/>
        </w:rPr>
        <w:t xml:space="preserve">each minute-by-minute </w:t>
      </w:r>
      <w:r>
        <w:rPr>
          <w:color w:val="000000"/>
        </w:rPr>
        <w:t>step cadence</w:t>
      </w:r>
      <w:r w:rsidRPr="00C864FB">
        <w:rPr>
          <w:color w:val="000000"/>
        </w:rPr>
        <w:t xml:space="preserve"> </w:t>
      </w:r>
    </w:p>
    <w:p w:rsidR="00642A5B" w:rsidRDefault="00642A5B" w:rsidP="00642A5B">
      <w:pPr>
        <w:pStyle w:val="BodyText"/>
        <w:numPr>
          <w:ilvl w:val="0"/>
          <w:numId w:val="2"/>
        </w:numPr>
        <w:spacing w:line="480" w:lineRule="auto"/>
        <w:rPr>
          <w:color w:val="000000"/>
        </w:rPr>
      </w:pPr>
      <w:r>
        <w:rPr>
          <w:color w:val="000000"/>
        </w:rPr>
        <w:t>Longest walking bout (minutes), irrespective of step cadence</w:t>
      </w:r>
    </w:p>
    <w:p w:rsidR="00642A5B" w:rsidRDefault="00642A5B" w:rsidP="00642A5B">
      <w:pPr>
        <w:pStyle w:val="BodyText"/>
        <w:numPr>
          <w:ilvl w:val="0"/>
          <w:numId w:val="2"/>
        </w:numPr>
        <w:spacing w:line="480" w:lineRule="auto"/>
        <w:rPr>
          <w:color w:val="000000"/>
        </w:rPr>
      </w:pPr>
      <w:r>
        <w:rPr>
          <w:color w:val="000000"/>
        </w:rPr>
        <w:t>Peak 1-minute cadence (steps/</w:t>
      </w:r>
      <w:r w:rsidRPr="00617170">
        <w:rPr>
          <w:color w:val="000000"/>
        </w:rPr>
        <w:t>mi</w:t>
      </w:r>
      <w:r>
        <w:rPr>
          <w:color w:val="000000"/>
        </w:rPr>
        <w:t xml:space="preserve">n) </w:t>
      </w:r>
      <w:r>
        <w:rPr>
          <w:noProof/>
          <w:color w:val="000000"/>
        </w:rPr>
        <w:t>[5]</w:t>
      </w:r>
    </w:p>
    <w:p w:rsidR="00642A5B" w:rsidRDefault="00642A5B" w:rsidP="00642A5B">
      <w:pPr>
        <w:pStyle w:val="BodyText"/>
        <w:numPr>
          <w:ilvl w:val="0"/>
          <w:numId w:val="2"/>
        </w:numPr>
        <w:spacing w:line="480" w:lineRule="auto"/>
        <w:rPr>
          <w:color w:val="000000"/>
        </w:rPr>
      </w:pPr>
      <w:r>
        <w:rPr>
          <w:color w:val="000000"/>
        </w:rPr>
        <w:t>Peak consecutive and non-consecutive 30-minute cadence (steps/</w:t>
      </w:r>
      <w:r w:rsidRPr="00617170">
        <w:rPr>
          <w:color w:val="000000"/>
        </w:rPr>
        <w:t>mi</w:t>
      </w:r>
      <w:r>
        <w:rPr>
          <w:color w:val="000000"/>
        </w:rPr>
        <w:t xml:space="preserve">n) </w:t>
      </w:r>
      <w:r>
        <w:rPr>
          <w:noProof/>
          <w:color w:val="000000"/>
        </w:rPr>
        <w:t>[5]</w:t>
      </w:r>
    </w:p>
    <w:p w:rsidR="00642A5B" w:rsidRDefault="00642A5B" w:rsidP="00642A5B">
      <w:pPr>
        <w:pStyle w:val="BodyText"/>
        <w:numPr>
          <w:ilvl w:val="0"/>
          <w:numId w:val="2"/>
        </w:numPr>
        <w:spacing w:line="480" w:lineRule="auto"/>
        <w:rPr>
          <w:color w:val="000000"/>
        </w:rPr>
      </w:pPr>
      <w:r>
        <w:rPr>
          <w:color w:val="000000"/>
        </w:rPr>
        <w:t xml:space="preserve">Number of bouts for ≥1-, ≥10-, 1-, 2-, 5- and 10- minutes, and the maximum bout duration (minutes) for a step cadence ≥100 </w:t>
      </w:r>
      <w:r w:rsidRPr="00617170">
        <w:rPr>
          <w:color w:val="000000"/>
        </w:rPr>
        <w:t>steps.min</w:t>
      </w:r>
      <w:r w:rsidRPr="00617170">
        <w:rPr>
          <w:color w:val="000000"/>
          <w:vertAlign w:val="superscript"/>
        </w:rPr>
        <w:t>-1</w:t>
      </w:r>
      <w:r>
        <w:rPr>
          <w:color w:val="000000"/>
        </w:rPr>
        <w:t xml:space="preserve"> </w:t>
      </w:r>
      <w:r>
        <w:rPr>
          <w:noProof/>
          <w:color w:val="000000"/>
        </w:rPr>
        <w:t>[5, 13, 14]</w:t>
      </w:r>
    </w:p>
    <w:p w:rsidR="00642A5B" w:rsidRDefault="00642A5B" w:rsidP="00642A5B">
      <w:pPr>
        <w:pStyle w:val="BodyText"/>
        <w:numPr>
          <w:ilvl w:val="0"/>
          <w:numId w:val="4"/>
        </w:numPr>
        <w:spacing w:line="480" w:lineRule="auto"/>
      </w:pPr>
      <w:r w:rsidRPr="002054F8">
        <w:rPr>
          <w:i/>
          <w:color w:val="000000"/>
        </w:rPr>
        <w:t>G</w:t>
      </w:r>
      <w:r>
        <w:rPr>
          <w:color w:val="000000"/>
        </w:rPr>
        <w:t xml:space="preserve"> (</w:t>
      </w:r>
      <w:proofErr w:type="spellStart"/>
      <w:r>
        <w:rPr>
          <w:color w:val="000000"/>
        </w:rPr>
        <w:t>Gini</w:t>
      </w:r>
      <w:proofErr w:type="spellEnd"/>
      <w:r>
        <w:rPr>
          <w:color w:val="000000"/>
        </w:rPr>
        <w:t xml:space="preserve"> index) and S</w:t>
      </w:r>
      <w:r w:rsidRPr="00B43E84">
        <w:rPr>
          <w:color w:val="000000"/>
          <w:vertAlign w:val="subscript"/>
        </w:rPr>
        <w:t>2</w:t>
      </w:r>
      <w:r w:rsidRPr="00803A4D">
        <w:rPr>
          <w:color w:val="000000"/>
        </w:rPr>
        <w:t xml:space="preserve"> </w:t>
      </w:r>
      <w:r>
        <w:rPr>
          <w:color w:val="000000"/>
        </w:rPr>
        <w:t xml:space="preserve">(within-subject variability): </w:t>
      </w:r>
      <w:r>
        <w:t xml:space="preserve">A higher </w:t>
      </w:r>
      <w:r>
        <w:rPr>
          <w:color w:val="000000"/>
        </w:rPr>
        <w:t>S</w:t>
      </w:r>
      <w:r w:rsidRPr="00B43E84">
        <w:rPr>
          <w:color w:val="000000"/>
          <w:vertAlign w:val="subscript"/>
        </w:rPr>
        <w:t>2</w:t>
      </w:r>
      <w:r>
        <w:t xml:space="preserve"> is indicative of a walking pattern utilizing a more varied choice of bout lengths or cadence. The </w:t>
      </w:r>
      <w:proofErr w:type="spellStart"/>
      <w:r>
        <w:t>Gini</w:t>
      </w:r>
      <w:proofErr w:type="spellEnd"/>
      <w:r>
        <w:t xml:space="preserve"> index (</w:t>
      </w:r>
      <w:r w:rsidRPr="00DD2386">
        <w:rPr>
          <w:i/>
        </w:rPr>
        <w:t>G</w:t>
      </w:r>
      <w:r>
        <w:t xml:space="preserve">) characterises how total steps are accumulated from different step bout lengths or cadences. </w:t>
      </w:r>
      <w:r w:rsidRPr="00DD2386">
        <w:rPr>
          <w:i/>
        </w:rPr>
        <w:t>G</w:t>
      </w:r>
      <w:r>
        <w:t xml:space="preserve"> varies between 0 and 1. A high </w:t>
      </w:r>
      <w:r w:rsidRPr="00DD2386">
        <w:rPr>
          <w:i/>
        </w:rPr>
        <w:t>G</w:t>
      </w:r>
      <w:r>
        <w:t xml:space="preserve"> (closer to 1) indicates that long walking bouts or higher cadences contribute more to the pattern of accumulation. A low </w:t>
      </w:r>
      <w:r w:rsidRPr="00DD2386">
        <w:rPr>
          <w:i/>
        </w:rPr>
        <w:t>G</w:t>
      </w:r>
      <w:r>
        <w:t xml:space="preserve"> (closer to 0) indicates that the accumulation is more fragmented and that all walking bout lengths or cadences contribute equally to total steps </w:t>
      </w:r>
      <w:r>
        <w:rPr>
          <w:noProof/>
        </w:rPr>
        <w:t>[6, 7]</w:t>
      </w:r>
      <w:r>
        <w:t xml:space="preserve"> </w:t>
      </w:r>
    </w:p>
    <w:p w:rsidR="0054476A" w:rsidRDefault="0054476A" w:rsidP="0054476A">
      <w:pPr>
        <w:pStyle w:val="BodyText"/>
        <w:spacing w:line="480" w:lineRule="auto"/>
      </w:pPr>
    </w:p>
    <w:sectPr w:rsidR="0054476A" w:rsidSect="009673FB">
      <w:footerReference w:type="default" r:id="rId8"/>
      <w:pgSz w:w="11906" w:h="16838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0B6" w:rsidRDefault="004860B6" w:rsidP="00E15407">
      <w:r>
        <w:separator/>
      </w:r>
    </w:p>
  </w:endnote>
  <w:endnote w:type="continuationSeparator" w:id="0">
    <w:p w:rsidR="004860B6" w:rsidRDefault="004860B6" w:rsidP="00E15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339016"/>
      <w:docPartObj>
        <w:docPartGallery w:val="Page Numbers (Bottom of Page)"/>
        <w:docPartUnique/>
      </w:docPartObj>
    </w:sdtPr>
    <w:sdtContent>
      <w:p w:rsidR="00537CDB" w:rsidRDefault="002D56CC">
        <w:pPr>
          <w:pStyle w:val="Footer"/>
          <w:jc w:val="center"/>
        </w:pPr>
        <w:r>
          <w:fldChar w:fldCharType="begin"/>
        </w:r>
        <w:r w:rsidR="00682BE3">
          <w:instrText xml:space="preserve"> PAGE   \* MERGEFORMAT </w:instrText>
        </w:r>
        <w:r>
          <w:fldChar w:fldCharType="separate"/>
        </w:r>
        <w:r w:rsidR="009673FB">
          <w:rPr>
            <w:noProof/>
          </w:rPr>
          <w:t>2</w:t>
        </w:r>
        <w:r>
          <w:fldChar w:fldCharType="end"/>
        </w:r>
      </w:p>
    </w:sdtContent>
  </w:sdt>
  <w:p w:rsidR="00537CDB" w:rsidRDefault="004860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0B6" w:rsidRDefault="004860B6" w:rsidP="00E15407">
      <w:r>
        <w:separator/>
      </w:r>
    </w:p>
  </w:footnote>
  <w:footnote w:type="continuationSeparator" w:id="0">
    <w:p w:rsidR="004860B6" w:rsidRDefault="004860B6" w:rsidP="00E154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11EE4"/>
    <w:multiLevelType w:val="hybridMultilevel"/>
    <w:tmpl w:val="D5E09C3E"/>
    <w:lvl w:ilvl="0" w:tplc="6A8626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E21725"/>
    <w:multiLevelType w:val="hybridMultilevel"/>
    <w:tmpl w:val="43FED2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AE5FED"/>
    <w:multiLevelType w:val="hybridMultilevel"/>
    <w:tmpl w:val="A7865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396AA4"/>
    <w:multiLevelType w:val="hybridMultilevel"/>
    <w:tmpl w:val="D598E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MC Res Note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vpf55pw8ere26eatx5xpdxnfz95d9e252vr&quot;&gt;StepDistribution&lt;record-ids&gt;&lt;item&gt;158&lt;/item&gt;&lt;item&gt;167&lt;/item&gt;&lt;item&gt;168&lt;/item&gt;&lt;item&gt;171&lt;/item&gt;&lt;item&gt;173&lt;/item&gt;&lt;item&gt;174&lt;/item&gt;&lt;item&gt;175&lt;/item&gt;&lt;item&gt;176&lt;/item&gt;&lt;item&gt;177&lt;/item&gt;&lt;/record-ids&gt;&lt;/item&gt;&lt;/Libraries&gt;"/>
    <w:docVar w:name="REFMGR.InstantFormat" w:val="&lt;ENInstantFormat&gt;&lt;Enabled&gt;1&lt;/Enabled&gt;&lt;ScanUnformatted&gt;1&lt;/ScanUnformatted&gt;&lt;ScanChanges&gt;1&lt;/ScanChanges&gt;&lt;/ENInstantFormat&gt;"/>
    <w:docVar w:name="REFMGR.Layout" w:val="&lt;ENLayout&gt;&lt;Style&gt;G:\IOMEGA BROWN 250GB\RESEARCH\Projects\Sedentary_Break-Accelerometry\Submission_papers\BMCRN_Submission_2019\BMC Research Notes.os&lt;/Style&gt;&lt;LeftDelim&gt;{&lt;/LeftDelim&gt;&lt;RightDelim&gt;}&lt;/RightDelim&gt;&lt;FontName&gt;Times New Roman&lt;/FontName&gt;&lt;FontSize&gt;12&lt;/FontSize&gt;&lt;ReflistTitle&gt;&lt;style face=&quot;bold&quot; font=&quot;Arial&quot; size=&quot;16&quot;&gt;References&lt;/style&gt;&lt;/ReflistTitle&gt;&lt;StartingRefnum&gt;1&lt;/StartingRefnum&gt;&lt;FirstLineIndent&gt;0&lt;/FirstLineIndent&gt;&lt;HangingIndent&gt;0&lt;/HangingIndent&gt;&lt;LineSpacing&gt;0&lt;/LineSpacing&gt;&lt;SpaceAfter&gt;1&lt;/SpaceAfter&gt;&lt;ReflistOrder&gt;0&lt;/ReflistOrder&gt;&lt;CitationOrder&gt;0&lt;/CitationOrder&gt;&lt;NumberReferences&gt;1&lt;/NumberReferences&gt;&lt;ShowRecordID&gt;0&lt;/ShowRecordID&gt;&lt;ShowNotes&gt;0&lt;/ShowNotes&gt;&lt;ShowAbstract&gt;0&lt;/ShowAbstract&gt;&lt;ShowReprint&gt;0&lt;/ShowReprint&gt;&lt;ShowKeywords&gt;0&lt;/ShowKeywords&gt;&lt;/ENLayout&gt;"/>
    <w:docVar w:name="REFMGR.Libraries" w:val="&lt;ENLibraries&gt;&lt;Libraries&gt;&lt;item&gt;sedentary_break_software_comparison&lt;/item&gt;&lt;item&gt;PhD&lt;/item&gt;&lt;/Libraries&gt;&lt;/ENLibraries&gt;"/>
  </w:docVars>
  <w:rsids>
    <w:rsidRoot w:val="00412652"/>
    <w:rsid w:val="00001FAE"/>
    <w:rsid w:val="00007580"/>
    <w:rsid w:val="00010F2D"/>
    <w:rsid w:val="00017E50"/>
    <w:rsid w:val="00024A9A"/>
    <w:rsid w:val="00025F5E"/>
    <w:rsid w:val="00031CC6"/>
    <w:rsid w:val="0003298C"/>
    <w:rsid w:val="00036E78"/>
    <w:rsid w:val="0004719A"/>
    <w:rsid w:val="0005073D"/>
    <w:rsid w:val="0005225B"/>
    <w:rsid w:val="00053FF1"/>
    <w:rsid w:val="00054B3D"/>
    <w:rsid w:val="00055D0E"/>
    <w:rsid w:val="00061798"/>
    <w:rsid w:val="00062183"/>
    <w:rsid w:val="00064318"/>
    <w:rsid w:val="00082AAA"/>
    <w:rsid w:val="00084DC0"/>
    <w:rsid w:val="00093D48"/>
    <w:rsid w:val="000958CB"/>
    <w:rsid w:val="000A2558"/>
    <w:rsid w:val="000A25E9"/>
    <w:rsid w:val="000A355E"/>
    <w:rsid w:val="000A6CD5"/>
    <w:rsid w:val="000C23C1"/>
    <w:rsid w:val="000C50A6"/>
    <w:rsid w:val="000D1DE0"/>
    <w:rsid w:val="000D58BA"/>
    <w:rsid w:val="000D5D2C"/>
    <w:rsid w:val="000E0D52"/>
    <w:rsid w:val="000E2D79"/>
    <w:rsid w:val="000F099F"/>
    <w:rsid w:val="000F60B5"/>
    <w:rsid w:val="001047FA"/>
    <w:rsid w:val="00106E3E"/>
    <w:rsid w:val="00113611"/>
    <w:rsid w:val="00117F48"/>
    <w:rsid w:val="00125D4F"/>
    <w:rsid w:val="00137C81"/>
    <w:rsid w:val="00140DA5"/>
    <w:rsid w:val="00156203"/>
    <w:rsid w:val="00160721"/>
    <w:rsid w:val="00161200"/>
    <w:rsid w:val="00163196"/>
    <w:rsid w:val="00164F02"/>
    <w:rsid w:val="0018788B"/>
    <w:rsid w:val="001A3783"/>
    <w:rsid w:val="001A5395"/>
    <w:rsid w:val="001B59AB"/>
    <w:rsid w:val="001C03D1"/>
    <w:rsid w:val="001C34A2"/>
    <w:rsid w:val="001D0426"/>
    <w:rsid w:val="001D3280"/>
    <w:rsid w:val="001F0C5E"/>
    <w:rsid w:val="002054F8"/>
    <w:rsid w:val="002123E7"/>
    <w:rsid w:val="002214B3"/>
    <w:rsid w:val="002219E7"/>
    <w:rsid w:val="00223640"/>
    <w:rsid w:val="00223CE0"/>
    <w:rsid w:val="0023529C"/>
    <w:rsid w:val="00240AEA"/>
    <w:rsid w:val="00241E6D"/>
    <w:rsid w:val="002441D3"/>
    <w:rsid w:val="002450AA"/>
    <w:rsid w:val="002574D5"/>
    <w:rsid w:val="0026006C"/>
    <w:rsid w:val="00260D9A"/>
    <w:rsid w:val="0026103B"/>
    <w:rsid w:val="00266B0E"/>
    <w:rsid w:val="00277287"/>
    <w:rsid w:val="002779E2"/>
    <w:rsid w:val="00285FC1"/>
    <w:rsid w:val="002A69DC"/>
    <w:rsid w:val="002B18F1"/>
    <w:rsid w:val="002C0571"/>
    <w:rsid w:val="002C6E86"/>
    <w:rsid w:val="002C7CDB"/>
    <w:rsid w:val="002D445A"/>
    <w:rsid w:val="002D56CC"/>
    <w:rsid w:val="002E3413"/>
    <w:rsid w:val="002E71E8"/>
    <w:rsid w:val="002F156D"/>
    <w:rsid w:val="002F3DEE"/>
    <w:rsid w:val="002F4329"/>
    <w:rsid w:val="002F483D"/>
    <w:rsid w:val="00310029"/>
    <w:rsid w:val="003248DA"/>
    <w:rsid w:val="00324D5B"/>
    <w:rsid w:val="00340638"/>
    <w:rsid w:val="00345B39"/>
    <w:rsid w:val="003502D8"/>
    <w:rsid w:val="00354831"/>
    <w:rsid w:val="00356BFC"/>
    <w:rsid w:val="00360248"/>
    <w:rsid w:val="003611B6"/>
    <w:rsid w:val="003824D1"/>
    <w:rsid w:val="00385B59"/>
    <w:rsid w:val="003878DF"/>
    <w:rsid w:val="003A25FF"/>
    <w:rsid w:val="003A2D9C"/>
    <w:rsid w:val="003A4AE2"/>
    <w:rsid w:val="003A77BA"/>
    <w:rsid w:val="003D03CE"/>
    <w:rsid w:val="003D1149"/>
    <w:rsid w:val="003D1B10"/>
    <w:rsid w:val="003D5F4D"/>
    <w:rsid w:val="003D7D65"/>
    <w:rsid w:val="003E2861"/>
    <w:rsid w:val="003E6456"/>
    <w:rsid w:val="003F232E"/>
    <w:rsid w:val="00404628"/>
    <w:rsid w:val="00404FBA"/>
    <w:rsid w:val="0041152E"/>
    <w:rsid w:val="0041175A"/>
    <w:rsid w:val="00412652"/>
    <w:rsid w:val="0042666A"/>
    <w:rsid w:val="00436999"/>
    <w:rsid w:val="004373A3"/>
    <w:rsid w:val="00443705"/>
    <w:rsid w:val="00450399"/>
    <w:rsid w:val="004527D2"/>
    <w:rsid w:val="00455785"/>
    <w:rsid w:val="00455D41"/>
    <w:rsid w:val="00457DDF"/>
    <w:rsid w:val="00461C5F"/>
    <w:rsid w:val="00463A8D"/>
    <w:rsid w:val="0046795C"/>
    <w:rsid w:val="0047264E"/>
    <w:rsid w:val="00480897"/>
    <w:rsid w:val="00482A84"/>
    <w:rsid w:val="004860B6"/>
    <w:rsid w:val="00486F4C"/>
    <w:rsid w:val="0048727D"/>
    <w:rsid w:val="004930D9"/>
    <w:rsid w:val="00497D84"/>
    <w:rsid w:val="004A0E8C"/>
    <w:rsid w:val="004A17E6"/>
    <w:rsid w:val="004B1177"/>
    <w:rsid w:val="004B256B"/>
    <w:rsid w:val="004B611B"/>
    <w:rsid w:val="004B7644"/>
    <w:rsid w:val="004C2F7D"/>
    <w:rsid w:val="004D105F"/>
    <w:rsid w:val="004D3E01"/>
    <w:rsid w:val="004E2FA8"/>
    <w:rsid w:val="004E371D"/>
    <w:rsid w:val="004F068B"/>
    <w:rsid w:val="004F2E4E"/>
    <w:rsid w:val="004F44F5"/>
    <w:rsid w:val="004F554E"/>
    <w:rsid w:val="00507BD2"/>
    <w:rsid w:val="00512430"/>
    <w:rsid w:val="00515494"/>
    <w:rsid w:val="00516A54"/>
    <w:rsid w:val="0052609A"/>
    <w:rsid w:val="00526F7E"/>
    <w:rsid w:val="0053021C"/>
    <w:rsid w:val="005329BB"/>
    <w:rsid w:val="0053654F"/>
    <w:rsid w:val="00540511"/>
    <w:rsid w:val="0054476A"/>
    <w:rsid w:val="00555F51"/>
    <w:rsid w:val="005577FD"/>
    <w:rsid w:val="00565FBE"/>
    <w:rsid w:val="00570656"/>
    <w:rsid w:val="00570836"/>
    <w:rsid w:val="00572859"/>
    <w:rsid w:val="00593A86"/>
    <w:rsid w:val="00593AAC"/>
    <w:rsid w:val="00594304"/>
    <w:rsid w:val="005A433D"/>
    <w:rsid w:val="005A4AE7"/>
    <w:rsid w:val="005C5C62"/>
    <w:rsid w:val="005C642B"/>
    <w:rsid w:val="005D29E3"/>
    <w:rsid w:val="005F5B5C"/>
    <w:rsid w:val="005F7635"/>
    <w:rsid w:val="006004C4"/>
    <w:rsid w:val="00606890"/>
    <w:rsid w:val="00610250"/>
    <w:rsid w:val="00610409"/>
    <w:rsid w:val="006128E2"/>
    <w:rsid w:val="00617170"/>
    <w:rsid w:val="00617D95"/>
    <w:rsid w:val="00625398"/>
    <w:rsid w:val="00626924"/>
    <w:rsid w:val="00632245"/>
    <w:rsid w:val="00633A7F"/>
    <w:rsid w:val="00636632"/>
    <w:rsid w:val="00641856"/>
    <w:rsid w:val="00642A5B"/>
    <w:rsid w:val="00657C97"/>
    <w:rsid w:val="00665D2D"/>
    <w:rsid w:val="00666190"/>
    <w:rsid w:val="00666942"/>
    <w:rsid w:val="006703DC"/>
    <w:rsid w:val="00674AD8"/>
    <w:rsid w:val="006750DE"/>
    <w:rsid w:val="00681813"/>
    <w:rsid w:val="00682BE3"/>
    <w:rsid w:val="006831D1"/>
    <w:rsid w:val="006862C6"/>
    <w:rsid w:val="006906B1"/>
    <w:rsid w:val="006942AF"/>
    <w:rsid w:val="00694B82"/>
    <w:rsid w:val="006A05D7"/>
    <w:rsid w:val="006B0A57"/>
    <w:rsid w:val="006C2EFE"/>
    <w:rsid w:val="006D602D"/>
    <w:rsid w:val="006E28DD"/>
    <w:rsid w:val="006E2ACD"/>
    <w:rsid w:val="006E4273"/>
    <w:rsid w:val="006F0F1D"/>
    <w:rsid w:val="006F1689"/>
    <w:rsid w:val="006F3DEC"/>
    <w:rsid w:val="006F4DAF"/>
    <w:rsid w:val="0070026E"/>
    <w:rsid w:val="0070238B"/>
    <w:rsid w:val="00707D40"/>
    <w:rsid w:val="00710298"/>
    <w:rsid w:val="0071231E"/>
    <w:rsid w:val="00712DC2"/>
    <w:rsid w:val="00721B49"/>
    <w:rsid w:val="0074166B"/>
    <w:rsid w:val="00747B43"/>
    <w:rsid w:val="007551F4"/>
    <w:rsid w:val="007732A5"/>
    <w:rsid w:val="00781A04"/>
    <w:rsid w:val="00785465"/>
    <w:rsid w:val="00791895"/>
    <w:rsid w:val="0079362B"/>
    <w:rsid w:val="007A6235"/>
    <w:rsid w:val="007B3A18"/>
    <w:rsid w:val="007C021C"/>
    <w:rsid w:val="007C039E"/>
    <w:rsid w:val="007C456F"/>
    <w:rsid w:val="007D13C2"/>
    <w:rsid w:val="007D3EDA"/>
    <w:rsid w:val="007D476F"/>
    <w:rsid w:val="007E0D99"/>
    <w:rsid w:val="007E5DE0"/>
    <w:rsid w:val="00803A4D"/>
    <w:rsid w:val="00813362"/>
    <w:rsid w:val="0082164A"/>
    <w:rsid w:val="00821EC8"/>
    <w:rsid w:val="00831832"/>
    <w:rsid w:val="00831FA9"/>
    <w:rsid w:val="008461D0"/>
    <w:rsid w:val="00862CE5"/>
    <w:rsid w:val="00863043"/>
    <w:rsid w:val="00864BFB"/>
    <w:rsid w:val="00864E5C"/>
    <w:rsid w:val="0086625B"/>
    <w:rsid w:val="00882530"/>
    <w:rsid w:val="008875F6"/>
    <w:rsid w:val="008B2E4C"/>
    <w:rsid w:val="008B492D"/>
    <w:rsid w:val="008B5F1C"/>
    <w:rsid w:val="008B6E02"/>
    <w:rsid w:val="008B7882"/>
    <w:rsid w:val="008C28A4"/>
    <w:rsid w:val="008E14A4"/>
    <w:rsid w:val="008E1B57"/>
    <w:rsid w:val="008F245F"/>
    <w:rsid w:val="008F44F7"/>
    <w:rsid w:val="00901946"/>
    <w:rsid w:val="00910C4C"/>
    <w:rsid w:val="009220DB"/>
    <w:rsid w:val="009238F8"/>
    <w:rsid w:val="00924AE7"/>
    <w:rsid w:val="00931FC5"/>
    <w:rsid w:val="00940B7B"/>
    <w:rsid w:val="00945D92"/>
    <w:rsid w:val="009523AC"/>
    <w:rsid w:val="0096734F"/>
    <w:rsid w:val="009673FB"/>
    <w:rsid w:val="009735BE"/>
    <w:rsid w:val="00975987"/>
    <w:rsid w:val="0097748A"/>
    <w:rsid w:val="009844F6"/>
    <w:rsid w:val="00984A57"/>
    <w:rsid w:val="0099529C"/>
    <w:rsid w:val="00995B7F"/>
    <w:rsid w:val="00997D84"/>
    <w:rsid w:val="009A13AD"/>
    <w:rsid w:val="009B5FC6"/>
    <w:rsid w:val="009C2CB2"/>
    <w:rsid w:val="009C766F"/>
    <w:rsid w:val="009D2D91"/>
    <w:rsid w:val="009D401A"/>
    <w:rsid w:val="009D4F2E"/>
    <w:rsid w:val="009F6720"/>
    <w:rsid w:val="00A003E4"/>
    <w:rsid w:val="00A00865"/>
    <w:rsid w:val="00A00B04"/>
    <w:rsid w:val="00A021B0"/>
    <w:rsid w:val="00A02732"/>
    <w:rsid w:val="00A0726E"/>
    <w:rsid w:val="00A1622D"/>
    <w:rsid w:val="00A17D0C"/>
    <w:rsid w:val="00A21FAF"/>
    <w:rsid w:val="00A27C0F"/>
    <w:rsid w:val="00A372D8"/>
    <w:rsid w:val="00A4492A"/>
    <w:rsid w:val="00A51318"/>
    <w:rsid w:val="00A54630"/>
    <w:rsid w:val="00A55A89"/>
    <w:rsid w:val="00A633F5"/>
    <w:rsid w:val="00A6530E"/>
    <w:rsid w:val="00A66D5D"/>
    <w:rsid w:val="00A731BC"/>
    <w:rsid w:val="00A73D6D"/>
    <w:rsid w:val="00A825EE"/>
    <w:rsid w:val="00A9764F"/>
    <w:rsid w:val="00AA2302"/>
    <w:rsid w:val="00AA5AA7"/>
    <w:rsid w:val="00AA74B1"/>
    <w:rsid w:val="00AC3C7D"/>
    <w:rsid w:val="00AC7B31"/>
    <w:rsid w:val="00AD52FE"/>
    <w:rsid w:val="00AF4882"/>
    <w:rsid w:val="00B161DB"/>
    <w:rsid w:val="00B30243"/>
    <w:rsid w:val="00B304EF"/>
    <w:rsid w:val="00B3558A"/>
    <w:rsid w:val="00B43AC3"/>
    <w:rsid w:val="00B43E84"/>
    <w:rsid w:val="00B453B7"/>
    <w:rsid w:val="00B47BB4"/>
    <w:rsid w:val="00B53A66"/>
    <w:rsid w:val="00B55680"/>
    <w:rsid w:val="00B608DC"/>
    <w:rsid w:val="00B67779"/>
    <w:rsid w:val="00B81F15"/>
    <w:rsid w:val="00B918B7"/>
    <w:rsid w:val="00B94B4D"/>
    <w:rsid w:val="00BA1760"/>
    <w:rsid w:val="00BA3C4E"/>
    <w:rsid w:val="00BA5216"/>
    <w:rsid w:val="00BB0EAC"/>
    <w:rsid w:val="00BD0A60"/>
    <w:rsid w:val="00BD4182"/>
    <w:rsid w:val="00BE3205"/>
    <w:rsid w:val="00BE4006"/>
    <w:rsid w:val="00BF4C76"/>
    <w:rsid w:val="00C04D86"/>
    <w:rsid w:val="00C10F30"/>
    <w:rsid w:val="00C111C0"/>
    <w:rsid w:val="00C25A9E"/>
    <w:rsid w:val="00C25B43"/>
    <w:rsid w:val="00C261C7"/>
    <w:rsid w:val="00C30AE0"/>
    <w:rsid w:val="00C339FA"/>
    <w:rsid w:val="00C347B0"/>
    <w:rsid w:val="00C34D14"/>
    <w:rsid w:val="00C360DC"/>
    <w:rsid w:val="00C409E4"/>
    <w:rsid w:val="00C55AF1"/>
    <w:rsid w:val="00C62C83"/>
    <w:rsid w:val="00C63051"/>
    <w:rsid w:val="00C864FB"/>
    <w:rsid w:val="00C97E5C"/>
    <w:rsid w:val="00CA044C"/>
    <w:rsid w:val="00CA2CCA"/>
    <w:rsid w:val="00CA339A"/>
    <w:rsid w:val="00CA6FBA"/>
    <w:rsid w:val="00CB46C4"/>
    <w:rsid w:val="00CC1563"/>
    <w:rsid w:val="00CC37B3"/>
    <w:rsid w:val="00CC4CD1"/>
    <w:rsid w:val="00CD6955"/>
    <w:rsid w:val="00CE04C2"/>
    <w:rsid w:val="00D04293"/>
    <w:rsid w:val="00D47C8B"/>
    <w:rsid w:val="00D52B15"/>
    <w:rsid w:val="00D55320"/>
    <w:rsid w:val="00D63907"/>
    <w:rsid w:val="00D81725"/>
    <w:rsid w:val="00D83F69"/>
    <w:rsid w:val="00D86513"/>
    <w:rsid w:val="00D87296"/>
    <w:rsid w:val="00D96244"/>
    <w:rsid w:val="00D96557"/>
    <w:rsid w:val="00DA13C3"/>
    <w:rsid w:val="00DA629C"/>
    <w:rsid w:val="00DC0D7D"/>
    <w:rsid w:val="00DC4F17"/>
    <w:rsid w:val="00DD2386"/>
    <w:rsid w:val="00DD32D6"/>
    <w:rsid w:val="00DD643F"/>
    <w:rsid w:val="00DD6B32"/>
    <w:rsid w:val="00DD6C8F"/>
    <w:rsid w:val="00DF19F4"/>
    <w:rsid w:val="00E012DF"/>
    <w:rsid w:val="00E055C1"/>
    <w:rsid w:val="00E0603C"/>
    <w:rsid w:val="00E15407"/>
    <w:rsid w:val="00E20B02"/>
    <w:rsid w:val="00E23749"/>
    <w:rsid w:val="00E257B9"/>
    <w:rsid w:val="00E26D7F"/>
    <w:rsid w:val="00E34E0F"/>
    <w:rsid w:val="00E35DEF"/>
    <w:rsid w:val="00E465C1"/>
    <w:rsid w:val="00E466F2"/>
    <w:rsid w:val="00E52B88"/>
    <w:rsid w:val="00E6747A"/>
    <w:rsid w:val="00E67D26"/>
    <w:rsid w:val="00E72399"/>
    <w:rsid w:val="00E74B8B"/>
    <w:rsid w:val="00E810B1"/>
    <w:rsid w:val="00E84817"/>
    <w:rsid w:val="00E8544F"/>
    <w:rsid w:val="00E85665"/>
    <w:rsid w:val="00E90478"/>
    <w:rsid w:val="00E951E3"/>
    <w:rsid w:val="00EA66D5"/>
    <w:rsid w:val="00EA7157"/>
    <w:rsid w:val="00EB2E23"/>
    <w:rsid w:val="00EB3A40"/>
    <w:rsid w:val="00EC655F"/>
    <w:rsid w:val="00EE26F8"/>
    <w:rsid w:val="00EE4893"/>
    <w:rsid w:val="00EF2C14"/>
    <w:rsid w:val="00F05264"/>
    <w:rsid w:val="00F2277F"/>
    <w:rsid w:val="00F33FAE"/>
    <w:rsid w:val="00F47DF0"/>
    <w:rsid w:val="00F516E1"/>
    <w:rsid w:val="00F64A69"/>
    <w:rsid w:val="00F708A6"/>
    <w:rsid w:val="00F7175B"/>
    <w:rsid w:val="00F75FFB"/>
    <w:rsid w:val="00F813AE"/>
    <w:rsid w:val="00F85824"/>
    <w:rsid w:val="00F91F7A"/>
    <w:rsid w:val="00F93D6F"/>
    <w:rsid w:val="00F93F7D"/>
    <w:rsid w:val="00F971C1"/>
    <w:rsid w:val="00FA4386"/>
    <w:rsid w:val="00FB0ED6"/>
    <w:rsid w:val="00FC1735"/>
    <w:rsid w:val="00FC17A0"/>
    <w:rsid w:val="00FD1E50"/>
    <w:rsid w:val="00FD5A7B"/>
    <w:rsid w:val="00FE33FF"/>
    <w:rsid w:val="00FE4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126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12652"/>
    <w:pPr>
      <w:keepNext/>
      <w:spacing w:before="240" w:after="60"/>
      <w:outlineLvl w:val="1"/>
    </w:pPr>
    <w:rPr>
      <w:rFonts w:ascii="Arial" w:hAnsi="Arial" w:cs="Arial"/>
      <w:b/>
      <w:bCs/>
      <w:sz w:val="22"/>
      <w:szCs w:val="28"/>
    </w:rPr>
  </w:style>
  <w:style w:type="paragraph" w:styleId="Heading3">
    <w:name w:val="heading 3"/>
    <w:basedOn w:val="Normal"/>
    <w:next w:val="Normal"/>
    <w:link w:val="Heading3Char"/>
    <w:qFormat/>
    <w:rsid w:val="00412652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2652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412652"/>
    <w:rPr>
      <w:rFonts w:ascii="Arial" w:eastAsia="Times New Roman" w:hAnsi="Arial" w:cs="Arial"/>
      <w:b/>
      <w:bCs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412652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rsid w:val="00412652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412652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entity1">
    <w:name w:val="entity1"/>
    <w:basedOn w:val="DefaultParagraphFont"/>
    <w:rsid w:val="00412652"/>
    <w:rPr>
      <w:rFonts w:ascii="Times New Roman" w:hAnsi="Times New Roman" w:cs="Times New Roman" w:hint="default"/>
    </w:rPr>
  </w:style>
  <w:style w:type="paragraph" w:customStyle="1" w:styleId="justify">
    <w:name w:val="justify"/>
    <w:basedOn w:val="Normal"/>
    <w:rsid w:val="00412652"/>
    <w:pPr>
      <w:spacing w:before="100" w:beforeAutospacing="1" w:after="100" w:afterAutospacing="1"/>
      <w:jc w:val="both"/>
    </w:pPr>
    <w:rPr>
      <w:rFonts w:ascii="Verdana" w:eastAsia="Arial Unicode MS" w:hAnsi="Verdana" w:cs="Arial Unicode MS"/>
      <w:sz w:val="20"/>
      <w:szCs w:val="20"/>
    </w:rPr>
  </w:style>
  <w:style w:type="paragraph" w:styleId="NormalWeb">
    <w:name w:val="Normal (Web)"/>
    <w:basedOn w:val="Normal"/>
    <w:rsid w:val="0041265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smallhead">
    <w:name w:val="smallhead"/>
    <w:basedOn w:val="DefaultParagraphFont"/>
    <w:rsid w:val="00412652"/>
  </w:style>
  <w:style w:type="character" w:styleId="Hyperlink">
    <w:name w:val="Hyperlink"/>
    <w:basedOn w:val="DefaultParagraphFont"/>
    <w:rsid w:val="00412652"/>
    <w:rPr>
      <w:color w:val="0000FF"/>
      <w:u w:val="single"/>
    </w:rPr>
  </w:style>
  <w:style w:type="paragraph" w:styleId="BodyText">
    <w:name w:val="Body Text"/>
    <w:basedOn w:val="Normal"/>
    <w:link w:val="BodyTextChar"/>
    <w:rsid w:val="0041265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1265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Index1">
    <w:name w:val="index 1"/>
    <w:basedOn w:val="Normal"/>
    <w:next w:val="Normal"/>
    <w:semiHidden/>
    <w:rsid w:val="00412652"/>
    <w:pPr>
      <w:spacing w:line="360" w:lineRule="atLeast"/>
    </w:pPr>
    <w:rPr>
      <w:szCs w:val="20"/>
    </w:rPr>
  </w:style>
  <w:style w:type="paragraph" w:styleId="DocumentMap">
    <w:name w:val="Document Map"/>
    <w:basedOn w:val="Normal"/>
    <w:link w:val="DocumentMapChar"/>
    <w:semiHidden/>
    <w:rsid w:val="00412652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412652"/>
    <w:rPr>
      <w:rFonts w:ascii="Tahoma" w:eastAsia="Times New Roman" w:hAnsi="Tahoma" w:cs="Tahoma"/>
      <w:sz w:val="24"/>
      <w:szCs w:val="24"/>
      <w:shd w:val="clear" w:color="auto" w:fill="000080"/>
      <w:lang w:val="en-GB"/>
    </w:rPr>
  </w:style>
  <w:style w:type="paragraph" w:styleId="Footer">
    <w:name w:val="footer"/>
    <w:basedOn w:val="Normal"/>
    <w:link w:val="FooterChar"/>
    <w:uiPriority w:val="99"/>
    <w:rsid w:val="004126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2652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412652"/>
  </w:style>
  <w:style w:type="table" w:styleId="TableGrid">
    <w:name w:val="Table Grid"/>
    <w:basedOn w:val="TableNormal"/>
    <w:rsid w:val="00412652"/>
    <w:pPr>
      <w:spacing w:after="0" w:line="360" w:lineRule="atLeast"/>
    </w:pPr>
    <w:rPr>
      <w:rFonts w:ascii="Tms Rmn" w:eastAsia="Times New Roman" w:hAnsi="Tms Rm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4126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2652"/>
    <w:rPr>
      <w:rFonts w:ascii="Tahoma" w:eastAsia="Times New Roman" w:hAnsi="Tahoma" w:cs="Tahoma"/>
      <w:sz w:val="16"/>
      <w:szCs w:val="16"/>
      <w:lang w:val="en-GB"/>
    </w:rPr>
  </w:style>
  <w:style w:type="character" w:styleId="FollowedHyperlink">
    <w:name w:val="FollowedHyperlink"/>
    <w:basedOn w:val="DefaultParagraphFont"/>
    <w:rsid w:val="00412652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12652"/>
    <w:rPr>
      <w:color w:val="808080"/>
    </w:rPr>
  </w:style>
  <w:style w:type="character" w:styleId="CommentReference">
    <w:name w:val="annotation reference"/>
    <w:basedOn w:val="DefaultParagraphFont"/>
    <w:rsid w:val="00412652"/>
    <w:rPr>
      <w:sz w:val="16"/>
      <w:szCs w:val="16"/>
    </w:rPr>
  </w:style>
  <w:style w:type="paragraph" w:styleId="CommentText">
    <w:name w:val="annotation text"/>
    <w:basedOn w:val="Normal"/>
    <w:link w:val="CommentTextChar"/>
    <w:rsid w:val="004126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1265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4126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12652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E154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540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D04293"/>
  </w:style>
  <w:style w:type="paragraph" w:customStyle="1" w:styleId="EndNoteBibliographyTitle">
    <w:name w:val="EndNote Bibliography Title"/>
    <w:basedOn w:val="Normal"/>
    <w:link w:val="EndNoteBibliographyTitleChar"/>
    <w:rsid w:val="001A3783"/>
    <w:pPr>
      <w:jc w:val="center"/>
    </w:pPr>
    <w:rPr>
      <w:noProof/>
      <w:lang w:val="en-US"/>
    </w:rPr>
  </w:style>
  <w:style w:type="character" w:customStyle="1" w:styleId="EndNoteBibliographyTitleChar">
    <w:name w:val="EndNote Bibliography Title Char"/>
    <w:basedOn w:val="BodyTextChar"/>
    <w:link w:val="EndNoteBibliographyTitle"/>
    <w:rsid w:val="001A3783"/>
    <w:rPr>
      <w:noProof/>
    </w:rPr>
  </w:style>
  <w:style w:type="paragraph" w:customStyle="1" w:styleId="EndNoteBibliography">
    <w:name w:val="EndNote Bibliography"/>
    <w:basedOn w:val="Normal"/>
    <w:link w:val="EndNoteBibliographyChar"/>
    <w:rsid w:val="001A3783"/>
    <w:rPr>
      <w:noProof/>
      <w:lang w:val="en-US"/>
    </w:rPr>
  </w:style>
  <w:style w:type="character" w:customStyle="1" w:styleId="EndNoteBibliographyChar">
    <w:name w:val="EndNote Bibliography Char"/>
    <w:basedOn w:val="BodyTextChar"/>
    <w:link w:val="EndNoteBibliography"/>
    <w:rsid w:val="001A3783"/>
    <w:rPr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FA38DC-9909-45F7-AA9E-849D2D2B1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19</cp:revision>
  <cp:lastPrinted>2021-10-19T12:16:00Z</cp:lastPrinted>
  <dcterms:created xsi:type="dcterms:W3CDTF">2021-10-07T07:58:00Z</dcterms:created>
  <dcterms:modified xsi:type="dcterms:W3CDTF">2021-10-19T12:17:00Z</dcterms:modified>
</cp:coreProperties>
</file>