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E412" w14:textId="08885056" w:rsidR="00A8084C" w:rsidRPr="00A8084C" w:rsidRDefault="00A8084C" w:rsidP="00A8084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369DD">
        <w:rPr>
          <w:rFonts w:ascii="Times New Roman" w:hAnsi="Times New Roman" w:cs="Times New Roman"/>
          <w:b/>
          <w:sz w:val="28"/>
        </w:rPr>
        <w:t>Appendix</w:t>
      </w:r>
    </w:p>
    <w:p w14:paraId="65A4F13A" w14:textId="77777777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9948267" w14:textId="3555A451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471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A47176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Six simulation scenarios for studying </w:t>
      </w:r>
      <w:r>
        <w:rPr>
          <w:rFonts w:ascii="Times New Roman" w:eastAsia="Times New Roman" w:hAnsi="Times New Roman" w:cs="Times New Roman"/>
          <w:sz w:val="22"/>
          <w:szCs w:val="22"/>
        </w:rPr>
        <w:t>power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testing treatment effect of intervention B using a constant correlation parameter. In the </w:t>
      </w:r>
      <w:r w:rsidR="006232A5">
        <w:rPr>
          <w:rFonts w:ascii="Times New Roman" w:eastAsia="Times New Roman" w:hAnsi="Times New Roman" w:cs="Times New Roman"/>
          <w:sz w:val="22"/>
          <w:szCs w:val="22"/>
        </w:rPr>
        <w:t>six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scenarios, we vary number of clusters in each sequence (</w:t>
      </w:r>
      <m:oMath>
        <m:r>
          <w:rPr>
            <w:rFonts w:ascii="Cambria Math" w:eastAsia="Times New Roman" w:hAnsi="Cambria Math" w:cs="Times New Roman"/>
            <w:sz w:val="22"/>
            <w:szCs w:val="22"/>
          </w:rPr>
          <m:t>I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), different coefficients of variation for cluster sizes (</w:t>
      </w:r>
      <m:oMath>
        <m:r>
          <w:rPr>
            <w:rFonts w:ascii="Cambria Math" w:eastAsia="Times New Roman" w:hAnsi="Cambria Math" w:cs="Times New Roman"/>
            <w:sz w:val="22"/>
            <w:szCs w:val="22"/>
          </w:rPr>
          <m:t>cv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), different ICCs (</w:t>
      </w:r>
      <m:oMath>
        <m:r>
          <w:rPr>
            <w:rFonts w:ascii="Cambria Math" w:eastAsia="Times New Roman" w:hAnsi="Cambria Math" w:cs="Times New Roman"/>
            <w:sz w:val="22"/>
            <w:szCs w:val="22"/>
          </w:rPr>
          <m:t>α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), different baseline event rates (baseline), different designs in Figure 2 (Design), and varying effect sizes (1-effect size), respectively.</w:t>
      </w: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350"/>
        <w:gridCol w:w="990"/>
        <w:gridCol w:w="1620"/>
        <w:gridCol w:w="1350"/>
        <w:gridCol w:w="990"/>
        <w:gridCol w:w="1987"/>
      </w:tblGrid>
      <w:tr w:rsidR="00A8084C" w:rsidRPr="001D7CC0" w14:paraId="7A95E039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15BA7F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Scenario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47CD5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19DE3F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cv</m:t>
                </m:r>
              </m:oMath>
            </m:oMathPara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40492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429097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B1D8C7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(Figure 2)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D64806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1- effect size</w:t>
            </w:r>
          </w:p>
        </w:tc>
      </w:tr>
      <w:tr w:rsidR="00A8084C" w:rsidRPr="001D7CC0" w14:paraId="5A8B5D1B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2C7E6F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F3655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12,18,36,60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82D65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66133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5FADFD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6A3F48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0A7083" w14:textId="7B3BB602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 xml:space="preserve">          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=0.7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 xml:space="preserve">          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=0.75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8084C" w:rsidRPr="001D7CC0" w14:paraId="662A6269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F7FB70A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9DD97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AD8EF7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(0,1,0.1)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526B8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F4E78C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63D235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8407C1" w14:textId="77777777" w:rsidR="00A8084C" w:rsidRPr="0048317D" w:rsidRDefault="00A8084C" w:rsidP="003425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3338FB0E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0E342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F4A0FA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D06F9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56ADE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(0.01,0.1,0.02)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59746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D3107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2CAEC2" w14:textId="77777777" w:rsidR="00A8084C" w:rsidRPr="0048317D" w:rsidRDefault="00A8084C" w:rsidP="003425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38F3332D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C0412D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548CC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A904E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2F147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31430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(0.1,0.5,0.1)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E4E13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A1096C" w14:textId="77777777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5043A4F4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4FF0F0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EF620C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91212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B2ABBD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735D2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CAA0A8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2A-2F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81F291" w14:textId="77777777" w:rsidR="00A8084C" w:rsidRPr="0048317D" w:rsidRDefault="00A8084C" w:rsidP="003425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254933BA" w14:textId="77777777" w:rsidTr="003425C6">
        <w:trPr>
          <w:trHeight w:val="556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E1BFD48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D0886D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0E8C3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2548C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651836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5EB25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EDCFCA" w14:textId="3D6A2F8B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0.4,0.8,0.05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=0.75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4523B05" w14:textId="77777777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1AED720" w14:textId="39D89D01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471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Six simulation scenarios for studying </w:t>
      </w:r>
      <w:r>
        <w:rPr>
          <w:rFonts w:ascii="Times New Roman" w:eastAsia="Times New Roman" w:hAnsi="Times New Roman" w:cs="Times New Roman"/>
          <w:sz w:val="22"/>
          <w:szCs w:val="22"/>
        </w:rPr>
        <w:t>power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testing treatment effect of intervention B using two correlation parameters in the common block exchangeable correlation structure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2"/>
          <w:szCs w:val="22"/>
        </w:rPr>
        <w:t xml:space="preserve">).  </w:t>
      </w: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350"/>
        <w:gridCol w:w="900"/>
        <w:gridCol w:w="1710"/>
        <w:gridCol w:w="1350"/>
        <w:gridCol w:w="990"/>
        <w:gridCol w:w="1987"/>
      </w:tblGrid>
      <w:tr w:rsidR="00A8084C" w:rsidRPr="001D7CC0" w14:paraId="0595FDF1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B7FDC31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Scenario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2EF70D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C890D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cv</m:t>
                </m:r>
              </m:oMath>
            </m:oMathPara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69E0F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 xml:space="preserve">) </m:t>
                </m:r>
              </m:oMath>
            </m:oMathPara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E79787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ACFA4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(Figure 2)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0B10F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1- effect size</w:t>
            </w:r>
          </w:p>
        </w:tc>
      </w:tr>
      <w:tr w:rsidR="00A8084C" w:rsidRPr="001D7CC0" w14:paraId="076B0723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63BBAD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7C0EC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12,18,36,60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50542A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B9C7F8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(0.03,0.015)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39407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6B3175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5524A1" w14:textId="653350C3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 xml:space="preserve">          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=0.7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 xml:space="preserve">          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=0.75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8084C" w:rsidRPr="001D7CC0" w14:paraId="70D37AA9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FFD8A9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BB1B5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140FC7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(0,1,0.1)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AE09D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(0.03,0.015)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BCD1C1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C79FA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436DAD" w14:textId="77777777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21144951" w14:textId="77777777" w:rsidTr="003425C6">
        <w:trPr>
          <w:trHeight w:val="664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15862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C766A5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B9ACDE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29B430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=0.03,0.06,0.1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=(0.01,</w:t>
            </w:r>
            <m:oMath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,0.01)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F272BA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28028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F55D97" w14:textId="77777777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15997AB1" w14:textId="77777777" w:rsidTr="003425C6">
        <w:trPr>
          <w:trHeight w:val="360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4D6BA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27236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871D48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7B49B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(0.03,0.015)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C6F2ED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(0.1,0.5,0.1)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624FF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A22606" w14:textId="77777777" w:rsidR="00A8084C" w:rsidRPr="0048317D" w:rsidRDefault="00A8084C" w:rsidP="003425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0091959B" w14:textId="77777777" w:rsidTr="003425C6">
        <w:trPr>
          <w:trHeight w:val="295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C0488DB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03080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571563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DC3695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(0.03,0.015)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26ADC5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E54EE2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2A-2F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1018BB" w14:textId="77777777" w:rsidR="00A8084C" w:rsidRPr="0048317D" w:rsidRDefault="00A8084C" w:rsidP="003425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084C" w:rsidRPr="001D7CC0" w14:paraId="2A7E7F67" w14:textId="77777777" w:rsidTr="003425C6">
        <w:trPr>
          <w:trHeight w:val="763"/>
          <w:jc w:val="center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C24FC59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F1E681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824D821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8427BA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(0.03,0.015)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F4FE2F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C83554" w14:textId="77777777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317D">
              <w:rPr>
                <w:rFonts w:ascii="Times New Roman" w:eastAsia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B2B2B4" w14:textId="1717CD74" w:rsidR="00A8084C" w:rsidRPr="0048317D" w:rsidRDefault="00A8084C" w:rsidP="00342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0.4,0.8,0.05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0.75</m:t>
              </m:r>
            </m:oMath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51EA6E5B" w14:textId="017FC820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E2D1F3C" w14:textId="2E1E7429" w:rsidR="000E3396" w:rsidRDefault="000E3396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Table S3:</w:t>
      </w:r>
      <w:r w:rsidRPr="002E653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>19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combinations of </w:t>
      </w:r>
      <w:r w:rsidR="00B05DEA" w:rsidRPr="002E6531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two correlation parameters </w:t>
      </w:r>
      <w:r w:rsidR="00B05DEA" w:rsidRPr="002E6531">
        <w:rPr>
          <w:rFonts w:ascii="Times New Roman" w:eastAsia="Times New Roman" w:hAnsi="Times New Roman" w:cs="Times New Roman"/>
          <w:sz w:val="22"/>
          <w:szCs w:val="22"/>
        </w:rPr>
        <w:t>for simulations using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 the common block exchangeable correlation structure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</w:rPr>
              <m:t>1</m:t>
            </m:r>
          </m:sub>
        </m:sSub>
      </m:oMath>
      <w:r w:rsidRPr="002E6531">
        <w:rPr>
          <w:rFonts w:ascii="Times New Roman" w:eastAsia="Times New Roman" w:hAnsi="Times New Roman" w:cs="Times New Roman"/>
          <w:sz w:val="22"/>
          <w:szCs w:val="22"/>
        </w:rPr>
        <w:t>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3560"/>
        <w:gridCol w:w="1240"/>
        <w:gridCol w:w="1420"/>
      </w:tblGrid>
      <w:tr w:rsidR="000E3396" w:rsidRPr="000E3396" w14:paraId="04A01F29" w14:textId="77777777" w:rsidTr="000E3396">
        <w:trPr>
          <w:trHeight w:val="5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C5DD" w14:textId="77777777" w:rsidR="000E3396" w:rsidRPr="000E3396" w:rsidRDefault="000E3396" w:rsidP="000E3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396">
              <w:rPr>
                <w:rFonts w:ascii="Times New Roman" w:eastAsia="Times New Roman" w:hAnsi="Times New Roman" w:cs="Times New Roman"/>
                <w:color w:val="000000"/>
              </w:rPr>
              <w:t>Combination index of correlations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B54" w14:textId="77FFFD6C" w:rsidR="000E3396" w:rsidRPr="000E3396" w:rsidRDefault="000E3396" w:rsidP="000E339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  <w:p w14:paraId="32AA03E8" w14:textId="77777777" w:rsidR="000E3396" w:rsidRPr="000E3396" w:rsidRDefault="000E3396" w:rsidP="000E339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27F8648" w14:textId="1E206742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6A5" w14:textId="77777777" w:rsidR="000E3396" w:rsidRPr="000E3396" w:rsidRDefault="000E3396" w:rsidP="000E339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  <w:p w14:paraId="714F2735" w14:textId="3F64B5DF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3396" w:rsidRPr="000E3396" w14:paraId="76C114BF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81887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219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759F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E3396" w:rsidRPr="000E3396" w14:paraId="5D8F7C03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5E83C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195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E86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0E3396" w:rsidRPr="000E3396" w14:paraId="1C48132F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5570E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75E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E79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0E3396" w:rsidRPr="000E3396" w14:paraId="711A07D9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4A2C8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8AD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3A1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E3396" w:rsidRPr="000E3396" w14:paraId="3D811AC0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C1129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1926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D0A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0E3396" w:rsidRPr="000E3396" w14:paraId="0922E63E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C03CE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753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BB8D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0E3396" w:rsidRPr="000E3396" w14:paraId="19F6EDF2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7A015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0B03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392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0E3396" w:rsidRPr="000E3396" w14:paraId="178BB0CD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31197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9BEE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DDA5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0E3396" w:rsidRPr="000E3396" w14:paraId="298A3061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A623E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C016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47B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0E3396" w:rsidRPr="000E3396" w14:paraId="5BCE72F4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ED015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D1C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FF3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E3396" w:rsidRPr="000E3396" w14:paraId="79587C7D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CE724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0427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F39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0E3396" w:rsidRPr="000E3396" w14:paraId="569EC259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CBEFF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1294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EB8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0E3396" w:rsidRPr="000E3396" w14:paraId="2F2B5221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2B171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F1C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4D1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0E3396" w:rsidRPr="000E3396" w14:paraId="1A6C3C8F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A8B6A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29AA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586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0E3396" w:rsidRPr="000E3396" w14:paraId="69844FC3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BFC8F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E625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E5E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0E3396" w:rsidRPr="000E3396" w14:paraId="588AE462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4D02C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E3C7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212F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0E3396" w:rsidRPr="000E3396" w14:paraId="4797A7EA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87B69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55FE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BDD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0E3396" w:rsidRPr="000E3396" w14:paraId="5053E7EB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1928D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FD31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611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0E3396" w:rsidRPr="000E3396" w14:paraId="2F6DB6AB" w14:textId="77777777" w:rsidTr="000E3396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4EF9F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8B03" w14:textId="77777777" w:rsidR="000E3396" w:rsidRPr="000E3396" w:rsidRDefault="000E3396" w:rsidP="000E33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3A4" w14:textId="77777777" w:rsidR="000E3396" w:rsidRPr="000E3396" w:rsidRDefault="000E3396" w:rsidP="000E33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39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</w:tbl>
    <w:p w14:paraId="20F7578D" w14:textId="77777777" w:rsidR="00A8084C" w:rsidRDefault="00A8084C" w:rsidP="00A808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C0449FF" w14:textId="615B0C7A" w:rsidR="00A8084C" w:rsidRDefault="00A8084C"/>
    <w:p w14:paraId="7CFA9E60" w14:textId="359AC4F5" w:rsidR="00B05DEA" w:rsidRDefault="00B05DEA"/>
    <w:p w14:paraId="0D82BD0E" w14:textId="6B9B7197" w:rsidR="00B05DEA" w:rsidRDefault="00B05DEA"/>
    <w:p w14:paraId="45618DD7" w14:textId="4A8B3ECE" w:rsidR="00B05DEA" w:rsidRDefault="00B05DEA"/>
    <w:p w14:paraId="5AF54C89" w14:textId="0F860C99" w:rsidR="00B05DEA" w:rsidRDefault="00B05DEA"/>
    <w:p w14:paraId="249E017B" w14:textId="5CAB927D" w:rsidR="00B05DEA" w:rsidRDefault="00B05DEA"/>
    <w:p w14:paraId="3D1FB833" w14:textId="04EA60DC" w:rsidR="00B05DEA" w:rsidRDefault="00B05DEA"/>
    <w:p w14:paraId="2E9293B7" w14:textId="4839AB5F" w:rsidR="00B05DEA" w:rsidRDefault="00B05DEA"/>
    <w:p w14:paraId="677037D2" w14:textId="571A6B19" w:rsidR="00B05DEA" w:rsidRDefault="00B05DEA"/>
    <w:p w14:paraId="2B8B88EE" w14:textId="2310ED0D" w:rsidR="00B05DEA" w:rsidRDefault="00B05DEA"/>
    <w:p w14:paraId="5B62D65A" w14:textId="79C6113C" w:rsidR="00B05DEA" w:rsidRDefault="00B05DEA"/>
    <w:p w14:paraId="3E902322" w14:textId="4739B48D" w:rsidR="00B05DEA" w:rsidRDefault="00293206">
      <w:r>
        <w:rPr>
          <w:noProof/>
        </w:rPr>
        <w:lastRenderedPageBreak/>
        <w:drawing>
          <wp:inline distT="0" distB="0" distL="0" distR="0" wp14:anchorId="0BD06A28" wp14:editId="5AADDD5F">
            <wp:extent cx="5943600" cy="3784600"/>
            <wp:effectExtent l="0" t="0" r="0" b="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2374B" w14:textId="77777777" w:rsidR="002E6531" w:rsidRDefault="002E653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609985" w14:textId="1397656D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653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Figure </w:t>
      </w:r>
      <w:r w:rsidRPr="002E653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S1 </w:t>
      </w:r>
      <w:r w:rsidRPr="002E6531">
        <w:rPr>
          <w:rFonts w:ascii="Times New Roman" w:eastAsia="Times New Roman" w:hAnsi="Times New Roman" w:cs="Times New Roman"/>
          <w:b/>
          <w:bCs/>
          <w:sz w:val="22"/>
          <w:szCs w:val="22"/>
        </w:rPr>
        <w:t>A-F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. The empirical type I error rate for testing the treatment effect of B in six different scenarios in Table 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 using the 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>misspecified exchangeable</w:t>
      </w:r>
      <w:r w:rsidRPr="002E6531">
        <w:rPr>
          <w:rFonts w:ascii="Times New Roman" w:eastAsia="Times New Roman" w:hAnsi="Times New Roman" w:cs="Times New Roman"/>
          <w:sz w:val="22"/>
          <w:szCs w:val="22"/>
        </w:rPr>
        <w:t xml:space="preserve"> working correlation structure. The gray band in each plot represents 95% confidence interval of the nominal type I error rate 0.05.</w:t>
      </w:r>
    </w:p>
    <w:p w14:paraId="321ACB9C" w14:textId="4901DE50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7BA7734" w14:textId="777C056A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E8B98D" w14:textId="5A2354C6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8782831" w14:textId="54AAA7BB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1F19929" w14:textId="1C8D86C6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781B57" w14:textId="26BDC866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9BDCB31" w14:textId="61290458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D98933C" w14:textId="61555AE2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28C7422" w14:textId="015002A3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581E939" w14:textId="13DD30E3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7A9392D" w14:textId="22033C7B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133F8F2" w14:textId="71E259F1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3A16079" w14:textId="30FEC76B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93515F5" w14:textId="449839C9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EEDAF6F" w14:textId="1F6FFFE1" w:rsidR="002E6531" w:rsidRDefault="002E6531" w:rsidP="002E653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6046E0E" w14:textId="1C6DE257" w:rsidR="002E6531" w:rsidRDefault="00293206" w:rsidP="002E653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E90E791" wp14:editId="12766F06">
            <wp:extent cx="5943600" cy="3886200"/>
            <wp:effectExtent l="0" t="0" r="0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7AA8" w14:textId="269073BE" w:rsidR="002E6531" w:rsidRDefault="002E6531" w:rsidP="002E65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A2AD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S2 </w:t>
      </w:r>
      <w:r w:rsidRPr="00BA2AD2">
        <w:rPr>
          <w:rFonts w:ascii="Times New Roman" w:eastAsia="Times New Roman" w:hAnsi="Times New Roman" w:cs="Times New Roman"/>
          <w:b/>
          <w:bCs/>
          <w:sz w:val="22"/>
          <w:szCs w:val="22"/>
        </w:rPr>
        <w:t>A-F.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statistical power 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 xml:space="preserve">for testing non-zero treatment effect of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eastAsia="Times New Roman" w:hAnsi="Times New Roman" w:cs="Times New Roman"/>
          <w:sz w:val="22"/>
          <w:szCs w:val="22"/>
        </w:rPr>
        <w:t>six different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 xml:space="preserve"> scenarios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 Table S1 using the true 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>working correlation structure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8E6E37">
        <w:rPr>
          <w:rFonts w:ascii="Times New Roman" w:eastAsia="Times New Roman" w:hAnsi="Times New Roman" w:cs="Times New Roman"/>
          <w:sz w:val="22"/>
          <w:szCs w:val="22"/>
        </w:rPr>
        <w:t>The empirical power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the eight tests is shown with the predicted power calculated from equation (5).</w:t>
      </w:r>
    </w:p>
    <w:p w14:paraId="02BC01E3" w14:textId="77777777" w:rsidR="002E6531" w:rsidRPr="002E6531" w:rsidRDefault="002E6531" w:rsidP="002E6531">
      <w:pPr>
        <w:spacing w:line="360" w:lineRule="auto"/>
        <w:rPr>
          <w:sz w:val="22"/>
          <w:szCs w:val="22"/>
        </w:rPr>
      </w:pPr>
    </w:p>
    <w:sectPr w:rsidR="002E6531" w:rsidRPr="002E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C"/>
    <w:rsid w:val="000E3396"/>
    <w:rsid w:val="00293206"/>
    <w:rsid w:val="002E6531"/>
    <w:rsid w:val="006232A5"/>
    <w:rsid w:val="00A8084C"/>
    <w:rsid w:val="00B05DEA"/>
    <w:rsid w:val="00B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BDC5"/>
  <w15:chartTrackingRefBased/>
  <w15:docId w15:val="{C40EBCFA-F605-8E4D-8356-131C29B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Peng, Jing</dc:creator>
  <cp:keywords/>
  <dc:description/>
  <cp:lastModifiedBy>Peng, Jing</cp:lastModifiedBy>
  <cp:revision>2</cp:revision>
  <dcterms:created xsi:type="dcterms:W3CDTF">2021-07-26T00:00:00Z</dcterms:created>
  <dcterms:modified xsi:type="dcterms:W3CDTF">2021-07-26T01:16:00Z</dcterms:modified>
</cp:coreProperties>
</file>