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56" w:rsidRPr="00D85271" w:rsidRDefault="00805556" w:rsidP="00805556">
      <w:pPr>
        <w:ind w:firstLineChars="200" w:firstLine="420"/>
        <w:rPr>
          <w:rFonts w:ascii="Times New Roman" w:hAnsi="Times New Roman"/>
        </w:rPr>
      </w:pPr>
      <w:r w:rsidRPr="00D85271">
        <w:rPr>
          <w:rFonts w:ascii="Times New Roman" w:hAnsi="Times New Roman"/>
        </w:rPr>
        <w:t>Table s1 Pharmaceutical ingredients of Qinzhuliangxue granules</w:t>
      </w:r>
    </w:p>
    <w:tbl>
      <w:tblPr>
        <w:tblStyle w:val="TableGrid"/>
        <w:tblpPr w:leftFromText="180" w:rightFromText="180" w:vertAnchor="text" w:horzAnchor="page" w:tblpX="1771" w:tblpY="317"/>
        <w:tblOverlap w:val="never"/>
        <w:tblW w:w="85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507"/>
        <w:gridCol w:w="3190"/>
        <w:gridCol w:w="1815"/>
        <w:gridCol w:w="1006"/>
      </w:tblGrid>
      <w:tr w:rsidR="00805556" w:rsidRPr="00F22AF5" w:rsidTr="00D03020"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Chinese name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Chinese name (Pinyin)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Pharmaceutical name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English name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Dosage (grams)</w:t>
            </w:r>
          </w:p>
        </w:tc>
      </w:tr>
      <w:tr w:rsidR="00805556" w:rsidRPr="00F22AF5" w:rsidTr="00D03020">
        <w:tc>
          <w:tcPr>
            <w:tcW w:w="1001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rFonts w:hint="eastAsia"/>
                <w:szCs w:val="21"/>
              </w:rPr>
              <w:t>黄芩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Huangqin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  <w:shd w:val="clear" w:color="auto" w:fill="FFFFFF"/>
              </w:rPr>
            </w:pPr>
            <w:r w:rsidRPr="00D85271">
              <w:rPr>
                <w:i/>
                <w:iCs/>
                <w:szCs w:val="21"/>
                <w:shd w:val="clear" w:color="auto" w:fill="FFFFFF"/>
              </w:rPr>
              <w:t>Scutellaria baicalensis</w:t>
            </w:r>
            <w:r w:rsidRPr="00D85271">
              <w:rPr>
                <w:szCs w:val="21"/>
                <w:shd w:val="clear" w:color="auto" w:fill="FFFFFF"/>
              </w:rPr>
              <w:t xml:space="preserve"> Georgi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  <w:shd w:val="clear" w:color="auto" w:fill="FFFFFF"/>
              </w:rPr>
            </w:pPr>
            <w:r w:rsidRPr="00D85271">
              <w:rPr>
                <w:szCs w:val="21"/>
                <w:shd w:val="clear" w:color="auto" w:fill="FFFFFF"/>
              </w:rPr>
              <w:t>Radix scutellariae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15</w:t>
            </w:r>
          </w:p>
        </w:tc>
      </w:tr>
      <w:tr w:rsidR="00805556" w:rsidRPr="00F22AF5" w:rsidTr="00D03020">
        <w:tc>
          <w:tcPr>
            <w:tcW w:w="1001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rFonts w:hint="eastAsia"/>
                <w:szCs w:val="21"/>
              </w:rPr>
              <w:t>珍珠母</w:t>
            </w:r>
          </w:p>
        </w:tc>
        <w:tc>
          <w:tcPr>
            <w:tcW w:w="1507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Zhenzhumu</w:t>
            </w:r>
          </w:p>
        </w:tc>
        <w:tc>
          <w:tcPr>
            <w:tcW w:w="3190" w:type="dxa"/>
          </w:tcPr>
          <w:p w:rsidR="00805556" w:rsidRPr="00D85271" w:rsidRDefault="00805556" w:rsidP="00D03020">
            <w:pPr>
              <w:rPr>
                <w:szCs w:val="21"/>
                <w:shd w:val="clear" w:color="auto" w:fill="FFFFFF"/>
              </w:rPr>
            </w:pPr>
            <w:r w:rsidRPr="00D85271">
              <w:rPr>
                <w:rFonts w:eastAsia="Microsoft YaHei"/>
                <w:szCs w:val="21"/>
                <w:shd w:val="clear" w:color="auto" w:fill="FFFFFF"/>
              </w:rPr>
              <w:t>Margaritifera Concha</w:t>
            </w:r>
          </w:p>
        </w:tc>
        <w:tc>
          <w:tcPr>
            <w:tcW w:w="1815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  <w:shd w:val="clear" w:color="auto" w:fill="FFFFFF"/>
              </w:rPr>
              <w:t>mother-of-pearl</w:t>
            </w:r>
          </w:p>
        </w:tc>
        <w:tc>
          <w:tcPr>
            <w:tcW w:w="1006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30</w:t>
            </w:r>
          </w:p>
        </w:tc>
      </w:tr>
      <w:tr w:rsidR="00805556" w:rsidRPr="00F22AF5" w:rsidTr="00D03020">
        <w:tc>
          <w:tcPr>
            <w:tcW w:w="1001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rFonts w:hint="eastAsia"/>
                <w:szCs w:val="21"/>
              </w:rPr>
              <w:t>牡丹皮</w:t>
            </w:r>
          </w:p>
        </w:tc>
        <w:tc>
          <w:tcPr>
            <w:tcW w:w="1507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Mudanpi</w:t>
            </w:r>
          </w:p>
        </w:tc>
        <w:tc>
          <w:tcPr>
            <w:tcW w:w="3190" w:type="dxa"/>
          </w:tcPr>
          <w:p w:rsidR="00805556" w:rsidRPr="00D85271" w:rsidRDefault="00805556" w:rsidP="00D03020">
            <w:pPr>
              <w:rPr>
                <w:szCs w:val="21"/>
                <w:shd w:val="clear" w:color="auto" w:fill="F1F1F1"/>
              </w:rPr>
            </w:pPr>
            <w:r w:rsidRPr="00D85271">
              <w:rPr>
                <w:i/>
                <w:iCs/>
                <w:szCs w:val="21"/>
                <w:shd w:val="clear" w:color="auto" w:fill="FFFFFF"/>
              </w:rPr>
              <w:t xml:space="preserve">Paenoina </w:t>
            </w:r>
            <w:r>
              <w:rPr>
                <w:i/>
                <w:iCs/>
                <w:szCs w:val="21"/>
                <w:shd w:val="clear" w:color="auto" w:fill="FFFFFF"/>
              </w:rPr>
              <w:t>s</w:t>
            </w:r>
            <w:r w:rsidRPr="00D85271">
              <w:rPr>
                <w:i/>
                <w:iCs/>
                <w:szCs w:val="21"/>
                <w:shd w:val="clear" w:color="auto" w:fill="FFFFFF"/>
              </w:rPr>
              <w:t>uffruticosa</w:t>
            </w:r>
            <w:r w:rsidRPr="00D85271">
              <w:rPr>
                <w:szCs w:val="21"/>
                <w:shd w:val="clear" w:color="auto" w:fill="FFFFFF"/>
              </w:rPr>
              <w:t xml:space="preserve"> Andr</w:t>
            </w:r>
          </w:p>
        </w:tc>
        <w:tc>
          <w:tcPr>
            <w:tcW w:w="1815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  <w:shd w:val="clear" w:color="auto" w:fill="F1F1F1"/>
              </w:rPr>
              <w:t>Cortex moudan </w:t>
            </w:r>
          </w:p>
        </w:tc>
        <w:tc>
          <w:tcPr>
            <w:tcW w:w="1006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15</w:t>
            </w:r>
          </w:p>
        </w:tc>
      </w:tr>
      <w:tr w:rsidR="00805556" w:rsidRPr="00F22AF5" w:rsidTr="00D03020">
        <w:tc>
          <w:tcPr>
            <w:tcW w:w="1001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rFonts w:hint="eastAsia"/>
                <w:szCs w:val="21"/>
              </w:rPr>
              <w:t>紫草</w:t>
            </w:r>
          </w:p>
        </w:tc>
        <w:tc>
          <w:tcPr>
            <w:tcW w:w="1507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Zicao</w:t>
            </w:r>
          </w:p>
        </w:tc>
        <w:tc>
          <w:tcPr>
            <w:tcW w:w="3190" w:type="dxa"/>
          </w:tcPr>
          <w:p w:rsidR="00805556" w:rsidRPr="00D85271" w:rsidRDefault="00805556" w:rsidP="00D03020">
            <w:pPr>
              <w:rPr>
                <w:i/>
                <w:szCs w:val="21"/>
                <w:shd w:val="clear" w:color="auto" w:fill="FFFFFF"/>
              </w:rPr>
            </w:pPr>
            <w:r w:rsidRPr="00D85271">
              <w:rPr>
                <w:i/>
                <w:szCs w:val="21"/>
                <w:shd w:val="clear" w:color="auto" w:fill="FFFFFF"/>
              </w:rPr>
              <w:t>Lithospermum erythrorhizon</w:t>
            </w:r>
            <w:r w:rsidRPr="00D85271">
              <w:rPr>
                <w:szCs w:val="21"/>
                <w:shd w:val="clear" w:color="auto" w:fill="FFFFFF"/>
              </w:rPr>
              <w:t> Sieb. et Zucc.</w:t>
            </w:r>
          </w:p>
        </w:tc>
        <w:tc>
          <w:tcPr>
            <w:tcW w:w="1815" w:type="dxa"/>
          </w:tcPr>
          <w:p w:rsidR="00805556" w:rsidRPr="00D85271" w:rsidRDefault="00805556" w:rsidP="00D03020">
            <w:pPr>
              <w:rPr>
                <w:szCs w:val="21"/>
                <w:shd w:val="clear" w:color="auto" w:fill="FFFFFF"/>
              </w:rPr>
            </w:pPr>
            <w:r w:rsidRPr="00D85271">
              <w:rPr>
                <w:szCs w:val="21"/>
                <w:shd w:val="clear" w:color="auto" w:fill="FFFFFF"/>
              </w:rPr>
              <w:t>Radix arnebiae</w:t>
            </w:r>
          </w:p>
        </w:tc>
        <w:tc>
          <w:tcPr>
            <w:tcW w:w="1006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12</w:t>
            </w:r>
          </w:p>
        </w:tc>
      </w:tr>
      <w:tr w:rsidR="00805556" w:rsidRPr="00F22AF5" w:rsidTr="00D03020">
        <w:tc>
          <w:tcPr>
            <w:tcW w:w="1001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rFonts w:hint="eastAsia"/>
                <w:szCs w:val="21"/>
              </w:rPr>
              <w:t>防风</w:t>
            </w:r>
          </w:p>
        </w:tc>
        <w:tc>
          <w:tcPr>
            <w:tcW w:w="1507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Fangfeng</w:t>
            </w:r>
          </w:p>
        </w:tc>
        <w:tc>
          <w:tcPr>
            <w:tcW w:w="3190" w:type="dxa"/>
          </w:tcPr>
          <w:p w:rsidR="00805556" w:rsidRPr="00D85271" w:rsidRDefault="00805556" w:rsidP="00D03020">
            <w:pPr>
              <w:rPr>
                <w:i/>
                <w:szCs w:val="21"/>
                <w:shd w:val="clear" w:color="auto" w:fill="FFFFFF"/>
              </w:rPr>
            </w:pPr>
            <w:r w:rsidRPr="00D85271">
              <w:rPr>
                <w:i/>
                <w:szCs w:val="21"/>
                <w:shd w:val="clear" w:color="auto" w:fill="FFFFFF"/>
              </w:rPr>
              <w:t>Saposhnikovia divaricata</w:t>
            </w:r>
            <w:r w:rsidRPr="00D85271">
              <w:rPr>
                <w:szCs w:val="21"/>
                <w:shd w:val="clear" w:color="auto" w:fill="FFFFFF"/>
              </w:rPr>
              <w:t> (Trucz.) Schischk.</w:t>
            </w:r>
          </w:p>
        </w:tc>
        <w:tc>
          <w:tcPr>
            <w:tcW w:w="1815" w:type="dxa"/>
          </w:tcPr>
          <w:p w:rsidR="00805556" w:rsidRPr="00D85271" w:rsidRDefault="00805556" w:rsidP="00D03020">
            <w:pPr>
              <w:rPr>
                <w:szCs w:val="21"/>
                <w:shd w:val="clear" w:color="auto" w:fill="FFFFFF"/>
              </w:rPr>
            </w:pPr>
            <w:r w:rsidRPr="00D85271">
              <w:rPr>
                <w:szCs w:val="21"/>
                <w:shd w:val="clear" w:color="auto" w:fill="FFFFFF"/>
              </w:rPr>
              <w:t>Divaricate saposhniovia root</w:t>
            </w:r>
          </w:p>
        </w:tc>
        <w:tc>
          <w:tcPr>
            <w:tcW w:w="1006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12</w:t>
            </w:r>
          </w:p>
        </w:tc>
      </w:tr>
      <w:tr w:rsidR="00805556" w:rsidRPr="00F22AF5" w:rsidTr="00D03020">
        <w:tc>
          <w:tcPr>
            <w:tcW w:w="1001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rFonts w:hint="eastAsia"/>
                <w:szCs w:val="21"/>
              </w:rPr>
              <w:t>灵磁石</w:t>
            </w:r>
          </w:p>
        </w:tc>
        <w:tc>
          <w:tcPr>
            <w:tcW w:w="1507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Lingcishi</w:t>
            </w:r>
          </w:p>
        </w:tc>
        <w:tc>
          <w:tcPr>
            <w:tcW w:w="3190" w:type="dxa"/>
          </w:tcPr>
          <w:p w:rsidR="00805556" w:rsidRPr="00D85271" w:rsidRDefault="00805556" w:rsidP="00D03020">
            <w:pPr>
              <w:rPr>
                <w:szCs w:val="21"/>
                <w:shd w:val="clear" w:color="auto" w:fill="FFFFFF"/>
              </w:rPr>
            </w:pPr>
            <w:r w:rsidRPr="00D85271">
              <w:rPr>
                <w:szCs w:val="21"/>
                <w:shd w:val="clear" w:color="auto" w:fill="FFFFFF"/>
              </w:rPr>
              <w:t>Magnetite</w:t>
            </w:r>
          </w:p>
        </w:tc>
        <w:tc>
          <w:tcPr>
            <w:tcW w:w="1815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  <w:shd w:val="clear" w:color="auto" w:fill="FFFFFF"/>
              </w:rPr>
              <w:t>Magnetitum</w:t>
            </w:r>
          </w:p>
        </w:tc>
        <w:tc>
          <w:tcPr>
            <w:tcW w:w="1006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30</w:t>
            </w:r>
          </w:p>
        </w:tc>
      </w:tr>
      <w:tr w:rsidR="00805556" w:rsidRPr="00F22AF5" w:rsidTr="00D03020">
        <w:tc>
          <w:tcPr>
            <w:tcW w:w="1001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rFonts w:hint="eastAsia"/>
                <w:szCs w:val="21"/>
              </w:rPr>
              <w:t>生牡蛎</w:t>
            </w:r>
          </w:p>
        </w:tc>
        <w:tc>
          <w:tcPr>
            <w:tcW w:w="1507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Shengmuli</w:t>
            </w:r>
          </w:p>
        </w:tc>
        <w:tc>
          <w:tcPr>
            <w:tcW w:w="3190" w:type="dxa"/>
          </w:tcPr>
          <w:p w:rsidR="00805556" w:rsidRPr="00D85271" w:rsidRDefault="00805556" w:rsidP="00D03020">
            <w:pPr>
              <w:rPr>
                <w:rStyle w:val="Emphasis"/>
                <w:i w:val="0"/>
                <w:szCs w:val="21"/>
                <w:shd w:val="clear" w:color="auto" w:fill="FFFFFF"/>
              </w:rPr>
            </w:pPr>
            <w:r>
              <w:rPr>
                <w:rStyle w:val="Emphasis"/>
                <w:szCs w:val="21"/>
                <w:shd w:val="clear" w:color="auto" w:fill="FFFFFF"/>
              </w:rPr>
              <w:t>O</w:t>
            </w:r>
            <w:r w:rsidRPr="00D85271">
              <w:rPr>
                <w:rStyle w:val="Emphasis"/>
                <w:szCs w:val="21"/>
                <w:shd w:val="clear" w:color="auto" w:fill="FFFFFF"/>
              </w:rPr>
              <w:t xml:space="preserve">strea gigas </w:t>
            </w:r>
            <w:r w:rsidRPr="00D85271">
              <w:rPr>
                <w:rStyle w:val="Emphasis"/>
                <w:iCs/>
                <w:szCs w:val="21"/>
                <w:shd w:val="clear" w:color="auto" w:fill="FFFFFF"/>
              </w:rPr>
              <w:t>Thunberg</w:t>
            </w:r>
          </w:p>
        </w:tc>
        <w:tc>
          <w:tcPr>
            <w:tcW w:w="1815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  <w:shd w:val="clear" w:color="auto" w:fill="FFFFFF"/>
              </w:rPr>
              <w:t>Oyster shell</w:t>
            </w:r>
          </w:p>
        </w:tc>
        <w:tc>
          <w:tcPr>
            <w:tcW w:w="1006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30</w:t>
            </w:r>
          </w:p>
        </w:tc>
      </w:tr>
      <w:tr w:rsidR="00805556" w:rsidRPr="00F22AF5" w:rsidTr="00D03020">
        <w:tc>
          <w:tcPr>
            <w:tcW w:w="1001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rFonts w:hint="eastAsia"/>
                <w:szCs w:val="21"/>
              </w:rPr>
              <w:t>生米仁</w:t>
            </w:r>
          </w:p>
        </w:tc>
        <w:tc>
          <w:tcPr>
            <w:tcW w:w="1507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 xml:space="preserve">Shengmiren </w:t>
            </w:r>
          </w:p>
        </w:tc>
        <w:tc>
          <w:tcPr>
            <w:tcW w:w="3190" w:type="dxa"/>
          </w:tcPr>
          <w:p w:rsidR="00805556" w:rsidRPr="00D85271" w:rsidRDefault="00805556" w:rsidP="00D03020">
            <w:pPr>
              <w:rPr>
                <w:szCs w:val="21"/>
                <w:shd w:val="clear" w:color="auto" w:fill="FFFFFF"/>
              </w:rPr>
            </w:pPr>
            <w:r w:rsidRPr="00D85271">
              <w:rPr>
                <w:szCs w:val="21"/>
                <w:shd w:val="clear" w:color="auto" w:fill="FFFFFF"/>
              </w:rPr>
              <w:t>Semen Coicis</w:t>
            </w:r>
          </w:p>
        </w:tc>
        <w:tc>
          <w:tcPr>
            <w:tcW w:w="1815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  <w:shd w:val="clear" w:color="auto" w:fill="FFFFFF"/>
              </w:rPr>
              <w:t>Coix seed</w:t>
            </w:r>
          </w:p>
        </w:tc>
        <w:tc>
          <w:tcPr>
            <w:tcW w:w="1006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30</w:t>
            </w:r>
          </w:p>
        </w:tc>
      </w:tr>
      <w:tr w:rsidR="00805556" w:rsidRPr="00F22AF5" w:rsidTr="00D03020">
        <w:tc>
          <w:tcPr>
            <w:tcW w:w="1001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rFonts w:hint="eastAsia"/>
                <w:szCs w:val="21"/>
              </w:rPr>
              <w:t>生甘草</w:t>
            </w:r>
          </w:p>
        </w:tc>
        <w:tc>
          <w:tcPr>
            <w:tcW w:w="1507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Shenggancao</w:t>
            </w:r>
          </w:p>
        </w:tc>
        <w:tc>
          <w:tcPr>
            <w:tcW w:w="3190" w:type="dxa"/>
          </w:tcPr>
          <w:p w:rsidR="00805556" w:rsidRPr="00D85271" w:rsidRDefault="00805556" w:rsidP="00D03020">
            <w:pPr>
              <w:rPr>
                <w:i/>
                <w:szCs w:val="21"/>
                <w:shd w:val="clear" w:color="auto" w:fill="FFFFFF"/>
              </w:rPr>
            </w:pPr>
            <w:r w:rsidRPr="00D85271">
              <w:rPr>
                <w:i/>
                <w:szCs w:val="21"/>
                <w:shd w:val="clear" w:color="auto" w:fill="FFFFFF"/>
              </w:rPr>
              <w:t>Glycyrrhiza uralensis </w:t>
            </w:r>
            <w:r w:rsidRPr="00D85271">
              <w:rPr>
                <w:szCs w:val="21"/>
                <w:shd w:val="clear" w:color="auto" w:fill="FFFFFF"/>
              </w:rPr>
              <w:t>Fisch.</w:t>
            </w:r>
          </w:p>
        </w:tc>
        <w:tc>
          <w:tcPr>
            <w:tcW w:w="1815" w:type="dxa"/>
          </w:tcPr>
          <w:p w:rsidR="00805556" w:rsidRPr="00D85271" w:rsidRDefault="00805556" w:rsidP="00D03020">
            <w:pPr>
              <w:rPr>
                <w:szCs w:val="21"/>
                <w:shd w:val="clear" w:color="auto" w:fill="FFFFFF"/>
              </w:rPr>
            </w:pPr>
            <w:r w:rsidRPr="00D85271">
              <w:rPr>
                <w:szCs w:val="21"/>
                <w:shd w:val="clear" w:color="auto" w:fill="FFFFFF"/>
              </w:rPr>
              <w:t>Radix glycyrrhizae</w:t>
            </w:r>
          </w:p>
        </w:tc>
        <w:tc>
          <w:tcPr>
            <w:tcW w:w="1006" w:type="dxa"/>
          </w:tcPr>
          <w:p w:rsidR="00805556" w:rsidRPr="00D85271" w:rsidRDefault="00805556" w:rsidP="00D03020">
            <w:pPr>
              <w:rPr>
                <w:szCs w:val="21"/>
              </w:rPr>
            </w:pPr>
            <w:r w:rsidRPr="00D85271">
              <w:rPr>
                <w:szCs w:val="21"/>
              </w:rPr>
              <w:t>9</w:t>
            </w:r>
          </w:p>
        </w:tc>
      </w:tr>
    </w:tbl>
    <w:p w:rsidR="00805556" w:rsidRPr="00D85271" w:rsidRDefault="00805556" w:rsidP="00805556">
      <w:pPr>
        <w:rPr>
          <w:rFonts w:ascii="Times New Roman" w:hAnsi="Times New Roman"/>
        </w:rPr>
      </w:pPr>
    </w:p>
    <w:p w:rsidR="00805556" w:rsidRPr="00D85271" w:rsidRDefault="00805556" w:rsidP="00805556">
      <w:pPr>
        <w:rPr>
          <w:rFonts w:ascii="Times New Roman" w:hAnsi="Times New Roman"/>
        </w:rPr>
      </w:pPr>
    </w:p>
    <w:p w:rsidR="00805556" w:rsidRPr="00D85271" w:rsidRDefault="00805556" w:rsidP="00805556">
      <w:pPr>
        <w:widowControl/>
        <w:jc w:val="left"/>
        <w:rPr>
          <w:rFonts w:ascii="Times New Roman" w:hAnsi="Times New Roman"/>
        </w:rPr>
      </w:pPr>
      <w:r w:rsidRPr="00D85271">
        <w:rPr>
          <w:rFonts w:ascii="Times New Roman" w:hAnsi="Times New Roman"/>
        </w:rPr>
        <w:br w:type="page"/>
      </w:r>
    </w:p>
    <w:p w:rsidR="00805556" w:rsidRPr="00D85271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</w:rPr>
        <w:lastRenderedPageBreak/>
        <w:t>Table s2 Demographic characteristics of patients with eczema participating in a multi-center clinical research study in China</w:t>
      </w:r>
      <w:r>
        <w:rPr>
          <w:rFonts w:ascii="Times New Roman" w:hAnsi="Times New Roman"/>
        </w:rPr>
        <w:t xml:space="preserve"> in</w:t>
      </w:r>
      <w:r w:rsidRPr="00D85271">
        <w:rPr>
          <w:rFonts w:ascii="Times New Roman" w:hAnsi="Times New Roman"/>
        </w:rPr>
        <w:t xml:space="preserve"> 2017</w:t>
      </w:r>
    </w:p>
    <w:tbl>
      <w:tblPr>
        <w:tblStyle w:val="TableGrid"/>
        <w:tblW w:w="940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1350"/>
        <w:gridCol w:w="1350"/>
        <w:gridCol w:w="1350"/>
        <w:gridCol w:w="1351"/>
      </w:tblGrid>
      <w:tr w:rsidR="00805556" w:rsidRPr="00F22AF5" w:rsidTr="00D03020">
        <w:trPr>
          <w:jc w:val="center"/>
        </w:trPr>
        <w:tc>
          <w:tcPr>
            <w:tcW w:w="4004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r w:rsidRPr="00D85271">
              <w:t>Variables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jc w:val="right"/>
            </w:pPr>
            <w:r w:rsidRPr="00D85271">
              <w:t>Total</w:t>
            </w:r>
          </w:p>
          <w:p w:rsidR="00805556" w:rsidRPr="00D85271" w:rsidRDefault="00805556" w:rsidP="00D03020">
            <w:pPr>
              <w:jc w:val="right"/>
            </w:pPr>
            <w:r w:rsidRPr="00D85271">
              <w:t xml:space="preserve"> (n=270)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jc w:val="right"/>
            </w:pPr>
            <w:r w:rsidRPr="00D85271">
              <w:t>TCM</w:t>
            </w:r>
          </w:p>
          <w:p w:rsidR="00805556" w:rsidRPr="00D85271" w:rsidRDefault="00805556" w:rsidP="00D03020">
            <w:pPr>
              <w:jc w:val="right"/>
            </w:pPr>
            <w:r w:rsidRPr="00D85271">
              <w:t xml:space="preserve"> (n=87)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jc w:val="right"/>
            </w:pPr>
            <w:r w:rsidRPr="00D85271">
              <w:t>WM</w:t>
            </w:r>
          </w:p>
          <w:p w:rsidR="00805556" w:rsidRPr="00D85271" w:rsidRDefault="00805556" w:rsidP="00D03020">
            <w:pPr>
              <w:jc w:val="right"/>
            </w:pPr>
            <w:r w:rsidRPr="00D85271">
              <w:t xml:space="preserve"> (n=92)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jc w:val="right"/>
            </w:pPr>
            <w:r w:rsidRPr="00D85271">
              <w:t>TCM+WM</w:t>
            </w:r>
          </w:p>
          <w:p w:rsidR="00805556" w:rsidRPr="00D85271" w:rsidRDefault="00805556" w:rsidP="00D03020">
            <w:pPr>
              <w:jc w:val="right"/>
            </w:pPr>
            <w:r w:rsidRPr="00D85271">
              <w:t xml:space="preserve"> (n=91)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</w:pPr>
            <w:r w:rsidRPr="00D85271">
              <w:t>Age (years), median (IQR)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53 (36–61)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49 (35–61)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51 (35–61)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54 (38–61)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Gender, n(%)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Male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150 (55.56)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t>55 (63.22)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49 (53.26)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46 (50.55)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Female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120 (44.44)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32 (36.78)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43 (46.74)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45 (49.45)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Marital status, n(%)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Unmarried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33 (12.22)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13 (14.94)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11 (11.96)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9 (9.89)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Married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237 (87.78)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74 (85.06)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81 (88.04)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82 (90.11)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Ethnicity, n(%)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Han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270 (100.00)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87 (100.00)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92 (100.00)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91 (100.00)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Others 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0 (0.00)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Weight (kg), mean (SD)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64.46 (10.60)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64.87 (11.11)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64.75 (11.40)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63.76 (9.25)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Height (cm), mean (SD)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167.38 (7.56)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168.29 (8.11)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167.16 (7.52)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166.71 (7.05)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BMI, mean (SD)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22.93 (2.86)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22.80 (2.88)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23.07 (3.02)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t>22.91 (2.70)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Eczema duration (months), median (IQR)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 (0–23)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 (0–24)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 (1–23)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 (0–26)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Concomitant diseases, n(%)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Asthma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11 (4.07)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rPr>
                <w:szCs w:val="24"/>
              </w:rPr>
              <w:t>7 (8.05)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rPr>
                <w:szCs w:val="24"/>
              </w:rPr>
              <w:t>2 (2.17)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rPr>
                <w:szCs w:val="24"/>
              </w:rPr>
              <w:t>2 (2.20)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 w:firstLineChars="100" w:firstLine="210"/>
              <w:rPr>
                <w:szCs w:val="24"/>
              </w:rPr>
            </w:pPr>
            <w:r w:rsidRPr="00D85271">
              <w:rPr>
                <w:szCs w:val="24"/>
              </w:rPr>
              <w:t>Allergic rhinitis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23 (8.52)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9 (10.34)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rPr>
                <w:szCs w:val="24"/>
              </w:rPr>
              <w:t>7 (7.61)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rPr>
                <w:szCs w:val="24"/>
              </w:rPr>
              <w:t>7 (7.69)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 w:firstLineChars="100" w:firstLine="210"/>
              <w:rPr>
                <w:szCs w:val="24"/>
              </w:rPr>
            </w:pPr>
            <w:r w:rsidRPr="00D85271">
              <w:rPr>
                <w:szCs w:val="24"/>
              </w:rPr>
              <w:t>Urticaria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15 (5.56)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6 (6.90)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rPr>
                <w:szCs w:val="24"/>
              </w:rPr>
              <w:t>5 (5.43)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  <w:r w:rsidRPr="00D85271">
              <w:rPr>
                <w:szCs w:val="24"/>
              </w:rPr>
              <w:t>4 (4.40)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  <w:rPr>
                <w:szCs w:val="24"/>
              </w:rPr>
            </w:pPr>
            <w:r w:rsidRPr="00D85271">
              <w:rPr>
                <w:szCs w:val="24"/>
              </w:rPr>
              <w:t>Breath (/min),</w:t>
            </w:r>
            <w:r w:rsidRPr="00D85271">
              <w:t xml:space="preserve"> median (IQR)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18 (17–19)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18 (17–19)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18 (17–19.5)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18 (17–19)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  <w:rPr>
                <w:szCs w:val="24"/>
              </w:rPr>
            </w:pPr>
            <w:r w:rsidRPr="00D85271">
              <w:t>Resting Pulse</w:t>
            </w:r>
            <w:r w:rsidRPr="00D85271">
              <w:rPr>
                <w:szCs w:val="24"/>
              </w:rPr>
              <w:t xml:space="preserve"> (/min),</w:t>
            </w:r>
            <w:r w:rsidRPr="00D85271">
              <w:t>median (IQR)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78 (72–80)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78 (74–80)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78 (72–80)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77 (71–80)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  <w:rPr>
                <w:szCs w:val="24"/>
              </w:rPr>
            </w:pPr>
            <w:r w:rsidRPr="00D85271">
              <w:t>Systolic pressure</w:t>
            </w:r>
            <w:r>
              <w:t xml:space="preserve"> </w:t>
            </w:r>
            <w:r w:rsidRPr="00D85271">
              <w:t>(mmHg), median (IQR)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110 (80–120)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110 (80–120)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110 (80–124)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110 (80–120)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  <w:rPr>
                <w:szCs w:val="24"/>
              </w:rPr>
            </w:pPr>
            <w:r w:rsidRPr="00D85271">
              <w:t>Diastolic pressure</w:t>
            </w:r>
            <w:r>
              <w:t xml:space="preserve"> </w:t>
            </w:r>
            <w:r w:rsidRPr="00D85271">
              <w:t>(mmHg), median (IQR)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84 (75–120)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85 (78–120)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80 (74–120)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82 (76–120)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Normal ECG, n(%)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51" w:type="dxa"/>
          </w:tcPr>
          <w:p w:rsidR="00805556" w:rsidRPr="00D85271" w:rsidRDefault="00805556" w:rsidP="00D03020">
            <w:pPr>
              <w:ind w:leftChars="-25" w:left="-53"/>
              <w:jc w:val="right"/>
              <w:rPr>
                <w:szCs w:val="24"/>
              </w:rPr>
            </w:pP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Yes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233 (86.30)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70 (80.46)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84 (91.30)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79 (86.81)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No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37 (13.70)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17 (19.54)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8 (8.70)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12 (13.19)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Patient type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5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Outpatient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260 (96.30)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82 (94.25)</w:t>
            </w:r>
          </w:p>
        </w:tc>
        <w:tc>
          <w:tcPr>
            <w:tcW w:w="135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89 (96.74)</w:t>
            </w:r>
          </w:p>
        </w:tc>
        <w:tc>
          <w:tcPr>
            <w:tcW w:w="135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89 (97.80)</w:t>
            </w:r>
          </w:p>
        </w:tc>
      </w:tr>
      <w:tr w:rsidR="00805556" w:rsidRPr="00F22AF5" w:rsidTr="00D03020">
        <w:trPr>
          <w:jc w:val="center"/>
        </w:trPr>
        <w:tc>
          <w:tcPr>
            <w:tcW w:w="4004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Inpatient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10 (3.70)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5 (5.75)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3 (3.26)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rPr>
                <w:szCs w:val="24"/>
              </w:rPr>
              <w:t>2 (2.20)</w:t>
            </w:r>
          </w:p>
        </w:tc>
      </w:tr>
    </w:tbl>
    <w:p w:rsidR="00805556" w:rsidRPr="00D85271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</w:rPr>
        <w:t>IQR, interquartile range</w:t>
      </w:r>
      <w:r w:rsidRPr="00F22AF5">
        <w:rPr>
          <w:rFonts w:ascii="Calibri" w:eastAsia="SimSun" w:hAnsi="Calibri"/>
        </w:rPr>
        <w:t>;</w:t>
      </w:r>
      <w:r w:rsidRPr="00D852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SD, standard deviation; </w:t>
      </w:r>
      <w:r w:rsidRPr="00D85271">
        <w:rPr>
          <w:rFonts w:ascii="Times New Roman" w:hAnsi="Times New Roman"/>
        </w:rPr>
        <w:t>TCM, traditional Chinese medicine</w:t>
      </w:r>
      <w:r w:rsidRPr="00F22AF5">
        <w:rPr>
          <w:rFonts w:ascii="Calibri" w:eastAsia="SimSun" w:hAnsi="Calibri"/>
        </w:rPr>
        <w:t>;</w:t>
      </w:r>
      <w:r w:rsidRPr="00D85271">
        <w:rPr>
          <w:rFonts w:ascii="Times New Roman" w:hAnsi="Times New Roman"/>
        </w:rPr>
        <w:t xml:space="preserve"> WM, Western medicine.</w:t>
      </w:r>
    </w:p>
    <w:p w:rsidR="00805556" w:rsidRPr="00D85271" w:rsidRDefault="00805556" w:rsidP="00805556">
      <w:pPr>
        <w:rPr>
          <w:rFonts w:ascii="Times New Roman" w:hAnsi="Times New Roman"/>
        </w:rPr>
      </w:pPr>
    </w:p>
    <w:p w:rsidR="00805556" w:rsidRPr="00D85271" w:rsidRDefault="00805556" w:rsidP="00805556">
      <w:pPr>
        <w:rPr>
          <w:rFonts w:ascii="Times New Roman" w:hAnsi="Times New Roman"/>
        </w:rPr>
        <w:sectPr w:rsidR="00805556" w:rsidRPr="00D85271"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</w:p>
    <w:p w:rsidR="00805556" w:rsidRPr="00D85271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</w:rPr>
        <w:lastRenderedPageBreak/>
        <w:t>Table s3 Demographic characteristics of patients with eczema from different clinical research centers in China</w:t>
      </w:r>
      <w:r>
        <w:rPr>
          <w:rFonts w:ascii="Times New Roman" w:hAnsi="Times New Roman"/>
        </w:rPr>
        <w:t xml:space="preserve"> in</w:t>
      </w:r>
      <w:r w:rsidRPr="00D85271">
        <w:rPr>
          <w:rFonts w:ascii="Times New Roman" w:hAnsi="Times New Roman"/>
        </w:rPr>
        <w:t xml:space="preserve"> 2017</w:t>
      </w:r>
    </w:p>
    <w:tbl>
      <w:tblPr>
        <w:tblStyle w:val="TableGrid"/>
        <w:tblW w:w="1399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1381"/>
        <w:gridCol w:w="1381"/>
        <w:gridCol w:w="1381"/>
        <w:gridCol w:w="1381"/>
        <w:gridCol w:w="1381"/>
        <w:gridCol w:w="1381"/>
        <w:gridCol w:w="1384"/>
      </w:tblGrid>
      <w:tr w:rsidR="00805556" w:rsidRPr="00F22AF5" w:rsidTr="00D03020">
        <w:trPr>
          <w:trHeight w:val="396"/>
          <w:jc w:val="center"/>
        </w:trPr>
        <w:tc>
          <w:tcPr>
            <w:tcW w:w="4327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r w:rsidRPr="00D85271">
              <w:t>Variable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>Center A (n=38)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wordWrap w:val="0"/>
              <w:spacing w:line="240" w:lineRule="exact"/>
              <w:jc w:val="right"/>
            </w:pPr>
            <w:r w:rsidRPr="00D85271">
              <w:t>Center B</w:t>
            </w:r>
          </w:p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 xml:space="preserve"> (n=43)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>Center C</w:t>
            </w:r>
          </w:p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 xml:space="preserve"> (n=38)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>Center D</w:t>
            </w:r>
          </w:p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 xml:space="preserve"> (n=31)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>Center E</w:t>
            </w:r>
          </w:p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>(n=17)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>Center F</w:t>
            </w:r>
          </w:p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>(n=53)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</w:tcPr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>Center G</w:t>
            </w:r>
          </w:p>
          <w:p w:rsidR="00805556" w:rsidRPr="00D85271" w:rsidRDefault="00805556" w:rsidP="00D03020">
            <w:pPr>
              <w:spacing w:line="240" w:lineRule="exact"/>
              <w:jc w:val="right"/>
            </w:pPr>
            <w:r w:rsidRPr="00D85271">
              <w:t>(n=50)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</w:pPr>
            <w:r w:rsidRPr="00D85271">
              <w:t>Age (years), median (IQR)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45.5 (37–55)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50 (30–63)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47 (30–60)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48 (36–63)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wordWrap w:val="0"/>
              <w:jc w:val="right"/>
            </w:pPr>
            <w:r w:rsidRPr="00D85271">
              <w:t>60 (52–62)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wordWrap w:val="0"/>
              <w:jc w:val="right"/>
            </w:pPr>
            <w:r w:rsidRPr="00D85271">
              <w:t>54 (41–60)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wordWrap w:val="0"/>
              <w:jc w:val="right"/>
            </w:pPr>
            <w:r w:rsidRPr="00D85271">
              <w:t>59 (38–62)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Gender, n(%)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jc w:val="right"/>
            </w:pPr>
          </w:p>
        </w:tc>
        <w:tc>
          <w:tcPr>
            <w:tcW w:w="1384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Male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19 (50.00)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24 (55.81)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11 (28.95)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21 (67.74)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10 (58.82)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34 (64.15)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31 (62.00)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Female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19 (50.00)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19 (44.19)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27 (71.05)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10 (32.26)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7 (41.18)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19 (35.85)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19 (38.00)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Marital status, n(%)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Unmarried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 (13.16)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9 (20.93)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 (15.79)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 (6.45)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(5.88)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 (7.55)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 (12.00)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Married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33 (86.84)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34 (79.07)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32 (84.21)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29 (93.55)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16 (94.12)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49 (92.45)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44 (88.00)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Ethnicity, n(%)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Han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38 (100.00)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43 (100.00)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38 (100.00)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31 (100.00)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17 (100.00)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53 (100.00)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50 (100.00)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Others 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Weight (kg), mean (SD)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64.44 (10.72)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63.00 (11.66)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62.03 (10.12)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69.74 (8.89)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64.29 (5.53)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65.65 (9.11)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63.00 (12.71)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Height (cm), mean (SD)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166.89 (7.24)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167.08 (7.95)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163.87 (6.55)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168.26 (7.87)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167.41 (6.14)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170.28 (8.46)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167.02 (6.48)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BMI, mean (SD)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23.06 (2.98)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22.44 (2.88)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23.03 (3.03)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24.61 (2.51)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23.02 (2.57)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22.58 (2.21)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22.46 (3.26)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Eczema duration (months), median (IQR)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(1–2)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50 (23–120)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 (0–6)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(0–0)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85 (8–267)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10 (4–12)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12 (3–30)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Concomitant diseases, n(%)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</w:tr>
      <w:tr w:rsidR="00805556" w:rsidRPr="00F22AF5" w:rsidTr="00D03020">
        <w:trPr>
          <w:trHeight w:val="293"/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Asthma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(2.63)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(2.33)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(3.23)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8 (16.00)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 w:firstLineChars="100" w:firstLine="210"/>
              <w:rPr>
                <w:szCs w:val="24"/>
              </w:rPr>
            </w:pPr>
            <w:r w:rsidRPr="00D85271">
              <w:rPr>
                <w:szCs w:val="24"/>
              </w:rPr>
              <w:t>Allergic rhinitis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 (7.89)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 (9.30)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 (15.79)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(3.23)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 (11.76)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(1.89)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 (12.00)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 w:firstLineChars="100" w:firstLine="210"/>
              <w:rPr>
                <w:szCs w:val="24"/>
              </w:rPr>
            </w:pPr>
            <w:r w:rsidRPr="00D85271">
              <w:rPr>
                <w:szCs w:val="24"/>
              </w:rPr>
              <w:t>Urticaria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 (7.89)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(2.33)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 (13.16)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(3.23)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 (10.00)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Patient type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</w:p>
        </w:tc>
      </w:tr>
      <w:tr w:rsidR="00805556" w:rsidRPr="00F22AF5" w:rsidTr="00D03020">
        <w:trPr>
          <w:trHeight w:val="292"/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Outpatient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38 (100.00)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43 (100.00)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34 (89.47)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31 (100.00)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17 (100.00)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47 (88.68)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50 (100.00)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Inpatient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 (10.53)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 (11.32)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>Group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jc w:val="right"/>
            </w:pPr>
          </w:p>
        </w:tc>
        <w:tc>
          <w:tcPr>
            <w:tcW w:w="1381" w:type="dxa"/>
          </w:tcPr>
          <w:p w:rsidR="00805556" w:rsidRPr="00D85271" w:rsidRDefault="00805556" w:rsidP="00D03020">
            <w:pPr>
              <w:jc w:val="right"/>
            </w:pPr>
          </w:p>
        </w:tc>
        <w:tc>
          <w:tcPr>
            <w:tcW w:w="1384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TCM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13 (34.22)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14 (32.56)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11 (28.95)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9 (29.03)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 (35.29)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18 (33.96)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16 (32.00)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WM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12 (31.58)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14 (32.56)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14 (36.84)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12 (38.71)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 (35.29)</w:t>
            </w:r>
          </w:p>
        </w:tc>
        <w:tc>
          <w:tcPr>
            <w:tcW w:w="1381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17 (32.08)</w:t>
            </w:r>
          </w:p>
        </w:tc>
        <w:tc>
          <w:tcPr>
            <w:tcW w:w="1384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17 (34.00)</w:t>
            </w:r>
          </w:p>
        </w:tc>
      </w:tr>
      <w:tr w:rsidR="00805556" w:rsidRPr="00F22AF5" w:rsidTr="00D03020">
        <w:trPr>
          <w:jc w:val="center"/>
        </w:trPr>
        <w:tc>
          <w:tcPr>
            <w:tcW w:w="4327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ind w:leftChars="-25" w:left="-53"/>
            </w:pPr>
            <w:r w:rsidRPr="00D85271">
              <w:t xml:space="preserve">  TCM+WM</w:t>
            </w: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13 (34.21)</w:t>
            </w: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15 (34.88)</w:t>
            </w: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13 (34.21)</w:t>
            </w: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10 (32.26)</w:t>
            </w: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 (29.41)</w:t>
            </w: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18 (33.96)</w:t>
            </w:r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17 (34.00)</w:t>
            </w:r>
          </w:p>
        </w:tc>
      </w:tr>
    </w:tbl>
    <w:p w:rsidR="00805556" w:rsidRPr="00D85271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</w:rPr>
        <w:t>IQR, interquartile range</w:t>
      </w:r>
      <w:r w:rsidRPr="00F22AF5">
        <w:rPr>
          <w:rFonts w:ascii="Calibri" w:eastAsia="SimSun" w:hAnsi="Calibri"/>
        </w:rPr>
        <w:t>;</w:t>
      </w:r>
      <w:r w:rsidRPr="00D85271">
        <w:rPr>
          <w:rFonts w:ascii="Times New Roman" w:hAnsi="Times New Roman"/>
        </w:rPr>
        <w:t xml:space="preserve"> SD, standard deviation</w:t>
      </w:r>
      <w:r w:rsidRPr="00F22AF5">
        <w:rPr>
          <w:rFonts w:ascii="Calibri" w:eastAsia="SimSun" w:hAnsi="Calibri"/>
        </w:rPr>
        <w:t>;</w:t>
      </w:r>
      <w:r w:rsidRPr="00D85271">
        <w:rPr>
          <w:rFonts w:ascii="Times New Roman" w:hAnsi="Times New Roman"/>
        </w:rPr>
        <w:t xml:space="preserve"> TCM, traditional Chinese medicine</w:t>
      </w:r>
      <w:r w:rsidRPr="00F22AF5">
        <w:rPr>
          <w:rFonts w:ascii="Calibri" w:eastAsia="SimSun" w:hAnsi="Calibri"/>
        </w:rPr>
        <w:t>;</w:t>
      </w:r>
      <w:r w:rsidRPr="00D85271">
        <w:rPr>
          <w:rFonts w:ascii="Times New Roman" w:hAnsi="Times New Roman"/>
        </w:rPr>
        <w:t xml:space="preserve"> WM, Western medicine. </w:t>
      </w:r>
    </w:p>
    <w:p w:rsidR="00805556" w:rsidRPr="00D85271" w:rsidRDefault="00805556" w:rsidP="00805556">
      <w:pPr>
        <w:rPr>
          <w:rFonts w:ascii="Times New Roman" w:hAnsi="Times New Roman"/>
        </w:rPr>
        <w:sectPr w:rsidR="00805556" w:rsidRPr="00D85271">
          <w:pgSz w:w="16838" w:h="11906" w:orient="landscape"/>
          <w:pgMar w:top="1417" w:right="1417" w:bottom="1417" w:left="1417" w:header="851" w:footer="992" w:gutter="0"/>
          <w:cols w:space="425"/>
          <w:docGrid w:type="lines" w:linePitch="312"/>
        </w:sectPr>
      </w:pPr>
    </w:p>
    <w:p w:rsidR="00805556" w:rsidRPr="00D85271" w:rsidRDefault="00805556" w:rsidP="00805556">
      <w:pPr>
        <w:rPr>
          <w:rFonts w:ascii="Times New Roman" w:hAnsi="Times New Roman"/>
        </w:rPr>
      </w:pPr>
    </w:p>
    <w:p w:rsidR="00805556" w:rsidRPr="00D85271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</w:rPr>
        <w:t>Table s4 Treatment responses in patients with eczema participating in a multi-center clinical research study in China</w:t>
      </w:r>
      <w:r>
        <w:rPr>
          <w:rFonts w:ascii="Times New Roman" w:hAnsi="Times New Roman"/>
        </w:rPr>
        <w:t xml:space="preserve"> in</w:t>
      </w:r>
      <w:r w:rsidRPr="00D85271">
        <w:rPr>
          <w:rFonts w:ascii="Times New Roman" w:hAnsi="Times New Roman"/>
        </w:rPr>
        <w:t xml:space="preserve"> 2017</w:t>
      </w:r>
    </w:p>
    <w:tbl>
      <w:tblPr>
        <w:tblStyle w:val="TableGrid"/>
        <w:tblW w:w="1072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8"/>
        <w:gridCol w:w="2000"/>
        <w:gridCol w:w="1953"/>
        <w:gridCol w:w="1938"/>
        <w:gridCol w:w="809"/>
      </w:tblGrid>
      <w:tr w:rsidR="00805556" w:rsidRPr="00F22AF5" w:rsidTr="00D03020">
        <w:trPr>
          <w:jc w:val="center"/>
        </w:trPr>
        <w:tc>
          <w:tcPr>
            <w:tcW w:w="40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556" w:rsidRPr="00D85271" w:rsidRDefault="00805556" w:rsidP="00D03020">
            <w:pPr>
              <w:jc w:val="center"/>
            </w:pPr>
            <w:r w:rsidRPr="00D85271">
              <w:t>Evaluation index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556" w:rsidRPr="00D85271" w:rsidRDefault="00805556" w:rsidP="00D03020">
            <w:pPr>
              <w:jc w:val="right"/>
            </w:pPr>
            <w:r w:rsidRPr="00D85271">
              <w:t>TCM</w:t>
            </w:r>
          </w:p>
          <w:p w:rsidR="00805556" w:rsidRPr="00D85271" w:rsidRDefault="00805556" w:rsidP="00D03020">
            <w:pPr>
              <w:jc w:val="right"/>
            </w:pPr>
            <w:r w:rsidRPr="00D85271">
              <w:t>(n=87)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556" w:rsidRPr="00D85271" w:rsidRDefault="00805556" w:rsidP="00D03020">
            <w:pPr>
              <w:jc w:val="right"/>
            </w:pPr>
            <w:r w:rsidRPr="00D85271">
              <w:t>WM</w:t>
            </w:r>
          </w:p>
          <w:p w:rsidR="00805556" w:rsidRPr="00D85271" w:rsidRDefault="00805556" w:rsidP="00D03020">
            <w:pPr>
              <w:jc w:val="right"/>
            </w:pPr>
            <w:r w:rsidRPr="00D85271">
              <w:t>(n=92)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556" w:rsidRPr="00D85271" w:rsidRDefault="00805556" w:rsidP="00D03020">
            <w:pPr>
              <w:jc w:val="right"/>
            </w:pPr>
            <w:r w:rsidRPr="00D85271">
              <w:t>TCM+WM</w:t>
            </w:r>
          </w:p>
          <w:p w:rsidR="00805556" w:rsidRPr="00D85271" w:rsidRDefault="00805556" w:rsidP="00D03020">
            <w:pPr>
              <w:jc w:val="right"/>
            </w:pPr>
            <w:r w:rsidRPr="00D85271">
              <w:t>(n=91)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556" w:rsidRPr="00D85271" w:rsidRDefault="00805556" w:rsidP="00D03020">
            <w:pPr>
              <w:jc w:val="right"/>
            </w:pPr>
            <w:r w:rsidRPr="00D85271">
              <w:t xml:space="preserve">P </w:t>
            </w: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</w:pPr>
            <w:r w:rsidRPr="00D85271">
              <w:t>Primary Index- EASI decrease rate, n (%)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ind w:leftChars="-25" w:left="-53"/>
              <w:jc w:val="right"/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805556" w:rsidRPr="00D85271" w:rsidRDefault="00805556" w:rsidP="00D03020">
            <w:pPr>
              <w:jc w:val="right"/>
            </w:pPr>
            <w:r w:rsidRPr="00D85271">
              <w:t>0.582</w:t>
            </w: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95 in week 2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(1.15)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 (1.10)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60 in week 2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 (4.60)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9 (9.78)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8 (8.79)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30 in week 2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82 (94.25)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83 (90.22)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82 (90.11)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>Total effective rate in week 2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5.75 (0.86–10.64)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9.78 (3.71–15.85)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9.89 (3.76–15.02)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  <w:r w:rsidRPr="00D85271">
              <w:t>0.242</w:t>
            </w: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95 in week 4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0 (0.00)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 (3.26)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 (3.30)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60 in week 4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24 (27.59)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16 (17.39)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18 (19.78)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30 in week 4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63 (72.41)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73 (79.35)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70 (76.92)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>Total effective rate in week 4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75" w:left="-158"/>
              <w:jc w:val="right"/>
            </w:pPr>
            <w:r w:rsidRPr="00D85271">
              <w:t>27.59 (18.19–36.98)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75" w:left="-158"/>
              <w:jc w:val="right"/>
            </w:pPr>
            <w:r w:rsidRPr="00D85271">
              <w:t>20.65 (12.38–28.92)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75" w:left="-158"/>
              <w:jc w:val="right"/>
            </w:pPr>
            <w:r w:rsidRPr="00D85271">
              <w:t>23.08 (14.42–31.73)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95 in week 6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 (4.60)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8 (8.70)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 (4.40)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  <w:r w:rsidRPr="00D85271">
              <w:t>0.446</w:t>
            </w: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60 in week 6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27 (31.03)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28 (30.43)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36 (39.56)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30 in week 6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56 (64.37)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56 (60.87)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51 (56.04)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>Total effective rate in week 6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35.63 (25.57–45.70)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39.13 (29.16–49.10)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43.96 (33.76–54.15)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  <w:r w:rsidRPr="00D85271">
              <w:t>0.812</w:t>
            </w: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95 in week 8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9 (10.34)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13 (14.13)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14 (15.38)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60 in week 8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39 (44.83)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35 (38.04)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37 (40.66)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30 in week 8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39 (44.83)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44 (47.83)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40 (43.96)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>Total effective rate in week 8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55.17 (44.72–65.62)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52.17 (41.97–62.38)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56.04 (45.85–66.24)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  <w:r w:rsidRPr="00D85271">
              <w:t>0.593</w:t>
            </w: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95 in follow up week 2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14 (16.09)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19 (20.65)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21 (23.08)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60 in follow up week 2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42 (38.04)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35 (38.04)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38 (41.76)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30 in follow up week 2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31 (41.30)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38 (41.30)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32 (35.16)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>Total effective rate in follow up week 2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64.37 (54.30–74.43)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58.70 (48.63–68.76)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64.84 (55.02–74.65)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  <w:r w:rsidRPr="00D85271">
              <w:t>0.103</w:t>
            </w: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95 in follow up week 4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20 (22.99)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28 (30.43)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36 (39.56)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</w:tcPr>
          <w:p w:rsidR="00805556" w:rsidRPr="00D85271" w:rsidRDefault="00805556" w:rsidP="00D03020">
            <w:pPr>
              <w:ind w:leftChars="50" w:left="105"/>
            </w:pPr>
            <w:r w:rsidRPr="00D85271">
              <w:t xml:space="preserve">  EASI 60 in follow up week 4</w:t>
            </w:r>
          </w:p>
        </w:tc>
        <w:tc>
          <w:tcPr>
            <w:tcW w:w="2000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40 (45.98)</w:t>
            </w:r>
          </w:p>
        </w:tc>
        <w:tc>
          <w:tcPr>
            <w:tcW w:w="1953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37 (40.22)</w:t>
            </w:r>
          </w:p>
        </w:tc>
        <w:tc>
          <w:tcPr>
            <w:tcW w:w="1938" w:type="dxa"/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</w:pPr>
            <w:r w:rsidRPr="00D85271">
              <w:t>26 (28.57)</w:t>
            </w:r>
          </w:p>
        </w:tc>
        <w:tc>
          <w:tcPr>
            <w:tcW w:w="809" w:type="dxa"/>
          </w:tcPr>
          <w:p w:rsidR="00805556" w:rsidRPr="00D85271" w:rsidRDefault="00805556" w:rsidP="00D03020">
            <w:pPr>
              <w:jc w:val="right"/>
            </w:pPr>
          </w:p>
        </w:tc>
      </w:tr>
      <w:tr w:rsidR="00805556" w:rsidRPr="00F22AF5" w:rsidTr="00D03020">
        <w:trPr>
          <w:jc w:val="center"/>
        </w:trPr>
        <w:tc>
          <w:tcPr>
            <w:tcW w:w="4028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ind w:leftChars="50" w:left="105"/>
              <w:rPr>
                <w:szCs w:val="24"/>
              </w:rPr>
            </w:pPr>
            <w:r w:rsidRPr="00D85271">
              <w:t xml:space="preserve">  EASI 30 in follow up week 4</w:t>
            </w: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27 (31.03)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27 (29.35)</w:t>
            </w:r>
          </w:p>
        </w:tc>
        <w:tc>
          <w:tcPr>
            <w:tcW w:w="1938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wordWrap w:val="0"/>
              <w:ind w:leftChars="-25" w:left="-53"/>
              <w:jc w:val="right"/>
              <w:rPr>
                <w:szCs w:val="24"/>
              </w:rPr>
            </w:pPr>
            <w:r w:rsidRPr="00D85271">
              <w:t>29 (31.87)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805556" w:rsidRPr="00D85271" w:rsidRDefault="00805556" w:rsidP="00D03020">
            <w:pPr>
              <w:jc w:val="right"/>
            </w:pPr>
          </w:p>
        </w:tc>
      </w:tr>
    </w:tbl>
    <w:p w:rsidR="00805556" w:rsidRPr="00D85271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</w:rPr>
        <w:t>Decrease in EASI=(EASI baseline score–EASI after treatment)/EASI baseline score × 100%. The criteria for efficacy were as follows: (I) EASI 95, EASI decrease rate</w:t>
      </w:r>
      <w:r w:rsidRPr="00D85271">
        <w:rPr>
          <w:rFonts w:asciiTheme="majorBidi" w:hAnsiTheme="majorBidi" w:cstheme="majorBidi"/>
        </w:rPr>
        <w:t xml:space="preserve"> </w:t>
      </w:r>
      <w:r w:rsidRPr="00D85271">
        <w:rPr>
          <w:rFonts w:asciiTheme="majorBidi" w:hAnsiTheme="majorBidi" w:cstheme="majorBidi" w:hint="eastAsia"/>
        </w:rPr>
        <w:t>≥</w:t>
      </w:r>
      <w:r w:rsidRPr="00D85271">
        <w:rPr>
          <w:rFonts w:asciiTheme="majorBidi" w:hAnsiTheme="majorBidi" w:cstheme="majorBidi"/>
        </w:rPr>
        <w:t xml:space="preserve"> </w:t>
      </w:r>
      <w:r w:rsidRPr="00D85271">
        <w:rPr>
          <w:rFonts w:ascii="Times New Roman" w:hAnsi="Times New Roman"/>
        </w:rPr>
        <w:t>95%; (II) EASI 60, EASI decrease rate 60</w:t>
      </w:r>
      <w:r w:rsidRPr="00D85271">
        <w:rPr>
          <w:rFonts w:ascii="Times New Roman" w:eastAsia="SimSun" w:hAnsi="Times New Roman"/>
        </w:rPr>
        <w:t>%–</w:t>
      </w:r>
      <w:r w:rsidRPr="00D85271">
        <w:rPr>
          <w:rFonts w:ascii="Times New Roman" w:hAnsi="Times New Roman"/>
        </w:rPr>
        <w:t xml:space="preserve">94%; </w:t>
      </w:r>
      <w:r w:rsidRPr="00D85271">
        <w:rPr>
          <w:rFonts w:ascii="Times New Roman" w:eastAsia="SimSun" w:hAnsi="Times New Roman"/>
        </w:rPr>
        <w:t xml:space="preserve">and </w:t>
      </w:r>
      <w:r w:rsidRPr="00D85271">
        <w:rPr>
          <w:rFonts w:ascii="Times New Roman" w:hAnsi="Times New Roman"/>
        </w:rPr>
        <w:t xml:space="preserve">(III) EASI 30, EASI decrease rate </w:t>
      </w:r>
      <w:r>
        <w:rPr>
          <w:rFonts w:ascii="Times New Roman" w:hAnsi="Times New Roman"/>
        </w:rPr>
        <w:t>&lt;</w:t>
      </w:r>
      <w:r w:rsidRPr="00D85271">
        <w:rPr>
          <w:rFonts w:ascii="Times New Roman" w:hAnsi="Times New Roman"/>
        </w:rPr>
        <w:t xml:space="preserve">60%. </w:t>
      </w:r>
    </w:p>
    <w:p w:rsidR="00805556" w:rsidRPr="00D85271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</w:rPr>
        <w:t>EASI (Eczema Area and Severity Index)</w:t>
      </w:r>
    </w:p>
    <w:p w:rsidR="00805556" w:rsidRPr="00D85271" w:rsidRDefault="00805556" w:rsidP="00805556">
      <w:pPr>
        <w:rPr>
          <w:rFonts w:ascii="Times New Roman" w:hAnsi="Times New Roman"/>
        </w:rPr>
      </w:pPr>
    </w:p>
    <w:p w:rsidR="00805556" w:rsidRPr="00D85271" w:rsidRDefault="00805556" w:rsidP="00805556">
      <w:pPr>
        <w:rPr>
          <w:rFonts w:ascii="Times New Roman" w:hAnsi="Times New Roman"/>
        </w:rPr>
        <w:sectPr w:rsidR="00805556" w:rsidRPr="00D85271"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</w:p>
    <w:p w:rsidR="00805556" w:rsidRPr="00D85271" w:rsidRDefault="00805556" w:rsidP="00805556">
      <w:pPr>
        <w:rPr>
          <w:rFonts w:ascii="Times New Roman" w:hAnsi="Times New Roman"/>
        </w:rPr>
      </w:pPr>
    </w:p>
    <w:p w:rsidR="00805556" w:rsidRPr="00D85271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  <w:noProof/>
          <w:lang w:eastAsia="en-US"/>
        </w:rPr>
        <w:drawing>
          <wp:inline distT="0" distB="0" distL="0" distR="0" wp14:anchorId="0DF42C99" wp14:editId="6B5F9676">
            <wp:extent cx="5753100" cy="4425950"/>
            <wp:effectExtent l="0" t="0" r="0" b="0"/>
            <wp:docPr id="6" name="图片 2" descr="figures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006725" name="图片 2" descr="figures1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56" w:rsidRPr="00D85271" w:rsidRDefault="00805556" w:rsidP="00805556">
      <w:pPr>
        <w:rPr>
          <w:rFonts w:ascii="Times New Roman" w:hAnsi="Times New Roman"/>
        </w:rPr>
      </w:pPr>
    </w:p>
    <w:p w:rsidR="00805556" w:rsidRPr="00D85271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s</w:t>
      </w:r>
      <w:r w:rsidRPr="00D85271">
        <w:rPr>
          <w:rFonts w:ascii="Times New Roman" w:hAnsi="Times New Roman"/>
        </w:rPr>
        <w:t xml:space="preserve">1 Laboratory test results for patients with eczema treated with </w:t>
      </w:r>
      <w:r>
        <w:rPr>
          <w:rFonts w:ascii="Times New Roman" w:hAnsi="Times New Roman"/>
        </w:rPr>
        <w:t>traditional Chinese medicine (</w:t>
      </w:r>
      <w:r w:rsidRPr="00D85271">
        <w:rPr>
          <w:rFonts w:ascii="Times New Roman" w:hAnsi="Times New Roman"/>
        </w:rPr>
        <w:t>TCM</w:t>
      </w:r>
      <w:r>
        <w:rPr>
          <w:rFonts w:ascii="Times New Roman" w:hAnsi="Times New Roman"/>
        </w:rPr>
        <w:t>)</w:t>
      </w:r>
      <w:r w:rsidRPr="00D852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Western medicine (</w:t>
      </w:r>
      <w:r w:rsidRPr="00D85271">
        <w:rPr>
          <w:rFonts w:ascii="Times New Roman" w:hAnsi="Times New Roman"/>
        </w:rPr>
        <w:t>WM</w:t>
      </w:r>
      <w:r>
        <w:rPr>
          <w:rFonts w:ascii="Times New Roman" w:hAnsi="Times New Roman"/>
        </w:rPr>
        <w:t>),</w:t>
      </w:r>
      <w:r w:rsidRPr="00D85271">
        <w:rPr>
          <w:rFonts w:ascii="Times New Roman" w:hAnsi="Times New Roman"/>
        </w:rPr>
        <w:t xml:space="preserve"> and TCM+WM in a multi-center clinical research study in China</w:t>
      </w:r>
      <w:r>
        <w:rPr>
          <w:rFonts w:ascii="Times New Roman" w:hAnsi="Times New Roman"/>
        </w:rPr>
        <w:t xml:space="preserve"> in</w:t>
      </w:r>
      <w:r w:rsidRPr="00D85271">
        <w:rPr>
          <w:rFonts w:ascii="Times New Roman" w:hAnsi="Times New Roman"/>
        </w:rPr>
        <w:t xml:space="preserve"> 2017</w:t>
      </w:r>
    </w:p>
    <w:p w:rsidR="00805556" w:rsidRDefault="00805556" w:rsidP="00805556">
      <w:pPr>
        <w:rPr>
          <w:rFonts w:ascii="Times New Roman" w:hAnsi="Times New Roman"/>
        </w:rPr>
      </w:pPr>
      <w:r w:rsidRPr="00D85271">
        <w:rPr>
          <w:rFonts w:ascii="Times New Roman" w:hAnsi="Times New Roman"/>
        </w:rPr>
        <w:t>ALT, alanine aminotransferase</w:t>
      </w:r>
      <w:r w:rsidRPr="00F22AF5">
        <w:rPr>
          <w:rFonts w:ascii="Calibri" w:eastAsia="SimSun" w:hAnsi="Calibri" w:cs="Calibri"/>
        </w:rPr>
        <w:t>;</w:t>
      </w:r>
      <w:r w:rsidRPr="00D85271">
        <w:rPr>
          <w:rFonts w:ascii="Times New Roman" w:hAnsi="Times New Roman"/>
        </w:rPr>
        <w:t xml:space="preserve"> AST, aspartate aminotransferase</w:t>
      </w:r>
      <w:r w:rsidRPr="00F22AF5">
        <w:rPr>
          <w:rFonts w:ascii="Calibri" w:eastAsia="SimSun" w:hAnsi="Calibri" w:cs="Calibri"/>
        </w:rPr>
        <w:t>;</w:t>
      </w:r>
      <w:r w:rsidRPr="00D85271">
        <w:rPr>
          <w:rFonts w:ascii="Times New Roman" w:hAnsi="Times New Roman"/>
        </w:rPr>
        <w:t xml:space="preserve"> BUN, urea nitrogen</w:t>
      </w:r>
      <w:r w:rsidRPr="00F22AF5">
        <w:rPr>
          <w:rFonts w:ascii="Calibri" w:eastAsia="SimSun" w:hAnsi="Calibri" w:cs="Calibri"/>
        </w:rPr>
        <w:t>;</w:t>
      </w:r>
      <w:r w:rsidRPr="00D85271">
        <w:rPr>
          <w:rFonts w:ascii="Times New Roman" w:hAnsi="Times New Roman"/>
        </w:rPr>
        <w:t xml:space="preserve"> Scr, serum creatinine concentration</w:t>
      </w:r>
      <w:r w:rsidRPr="00F22AF5">
        <w:rPr>
          <w:rFonts w:ascii="Calibri" w:eastAsia="SimSun" w:hAnsi="Calibri" w:cs="Calibri"/>
        </w:rPr>
        <w:t>;</w:t>
      </w:r>
      <w:r w:rsidRPr="00D85271">
        <w:rPr>
          <w:rFonts w:ascii="Times New Roman" w:hAnsi="Times New Roman"/>
        </w:rPr>
        <w:t xml:space="preserve"> RBC, red blood cell</w:t>
      </w:r>
      <w:r w:rsidRPr="00F22AF5">
        <w:rPr>
          <w:rFonts w:ascii="Calibri" w:eastAsia="SimSun" w:hAnsi="Calibri" w:cs="Calibri"/>
        </w:rPr>
        <w:t>;</w:t>
      </w:r>
      <w:r w:rsidRPr="00D85271">
        <w:rPr>
          <w:rFonts w:ascii="Times New Roman" w:hAnsi="Times New Roman"/>
        </w:rPr>
        <w:t xml:space="preserve"> WBC, white blood cell</w:t>
      </w:r>
      <w:r w:rsidRPr="00F22AF5">
        <w:rPr>
          <w:rFonts w:ascii="Calibri" w:eastAsia="SimSun" w:hAnsi="Calibri" w:cs="Calibri"/>
        </w:rPr>
        <w:t>;</w:t>
      </w:r>
      <w:r w:rsidRPr="00D85271">
        <w:rPr>
          <w:rFonts w:ascii="Times New Roman" w:hAnsi="Times New Roman"/>
        </w:rPr>
        <w:t xml:space="preserve"> Hb, hemoglobin</w:t>
      </w:r>
      <w:r w:rsidRPr="00F22AF5">
        <w:rPr>
          <w:rFonts w:ascii="Calibri" w:eastAsia="SimSun" w:hAnsi="Calibri" w:cs="Calibri"/>
        </w:rPr>
        <w:t>;</w:t>
      </w:r>
      <w:r w:rsidRPr="00D85271">
        <w:rPr>
          <w:rFonts w:ascii="Times New Roman" w:hAnsi="Times New Roman"/>
        </w:rPr>
        <w:t xml:space="preserve"> LYMC, leukomonocyte cell</w:t>
      </w:r>
      <w:r w:rsidRPr="00F22AF5">
        <w:rPr>
          <w:rFonts w:ascii="Calibri" w:eastAsia="SimSun" w:hAnsi="Calibri" w:cs="Calibri"/>
        </w:rPr>
        <w:t>;</w:t>
      </w:r>
      <w:r w:rsidRPr="00D85271">
        <w:rPr>
          <w:rFonts w:ascii="Times New Roman" w:hAnsi="Times New Roman"/>
        </w:rPr>
        <w:t xml:space="preserve"> PLT, platelet</w:t>
      </w:r>
    </w:p>
    <w:p w:rsidR="00805556" w:rsidRDefault="00805556" w:rsidP="00805556">
      <w:pPr>
        <w:rPr>
          <w:rFonts w:ascii="Times New Roman" w:hAnsi="Times New Roman"/>
        </w:rPr>
      </w:pPr>
    </w:p>
    <w:p w:rsidR="00755780" w:rsidRDefault="00755780">
      <w:bookmarkStart w:id="0" w:name="_GoBack"/>
      <w:bookmarkEnd w:id="0"/>
    </w:p>
    <w:sectPr w:rsidR="0075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56"/>
    <w:rsid w:val="00755780"/>
    <w:rsid w:val="008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8BEAA-E0BC-46C2-B024-27CF72B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5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8055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0555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6148</Characters>
  <Application>Microsoft Office Word</Application>
  <DocSecurity>0</DocSecurity>
  <Lines>51</Lines>
  <Paragraphs>14</Paragraphs>
  <ScaleCrop>false</ScaleCrop>
  <Company>Springer Nature IT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2021-11-02T08:00:00Z</dcterms:created>
  <dcterms:modified xsi:type="dcterms:W3CDTF">2021-11-02T08:00:00Z</dcterms:modified>
</cp:coreProperties>
</file>