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F16A1" w14:textId="77777777" w:rsidR="00A30F7A" w:rsidRPr="009E1D9B" w:rsidRDefault="009E1D9B">
      <w:pPr>
        <w:spacing w:line="240" w:lineRule="auto"/>
        <w:ind w:right="-1"/>
        <w:rPr>
          <w:rFonts w:ascii="Times New Roman" w:eastAsia="Times New Roman" w:hAnsi="Times New Roman" w:cs="Times New Roman"/>
          <w:i/>
          <w:sz w:val="44"/>
          <w:szCs w:val="44"/>
          <w:lang w:val="en-US"/>
        </w:rPr>
      </w:pPr>
      <w:r w:rsidRPr="009E1D9B">
        <w:rPr>
          <w:rFonts w:ascii="Times New Roman" w:eastAsia="Times New Roman" w:hAnsi="Times New Roman" w:cs="Times New Roman"/>
          <w:i/>
          <w:sz w:val="44"/>
          <w:szCs w:val="44"/>
          <w:lang w:val="en-US"/>
        </w:rPr>
        <w:t>Supplementary Information</w:t>
      </w:r>
    </w:p>
    <w:p w14:paraId="53CF16A2" w14:textId="77777777" w:rsidR="00A30F7A" w:rsidRPr="009E1D9B" w:rsidRDefault="00A30F7A">
      <w:pPr>
        <w:spacing w:line="240" w:lineRule="auto"/>
        <w:rPr>
          <w:rFonts w:ascii="Times New Roman" w:eastAsia="Times New Roman" w:hAnsi="Times New Roman" w:cs="Times New Roman"/>
          <w:i/>
          <w:sz w:val="44"/>
          <w:szCs w:val="44"/>
          <w:lang w:val="en-US"/>
        </w:rPr>
      </w:pPr>
    </w:p>
    <w:p w14:paraId="53CF16A3" w14:textId="77777777" w:rsidR="00A30F7A" w:rsidRPr="009E1D9B" w:rsidRDefault="009E1D9B">
      <w:pPr>
        <w:spacing w:line="240" w:lineRule="auto"/>
        <w:rPr>
          <w:rFonts w:ascii="Times New Roman" w:eastAsia="Times New Roman" w:hAnsi="Times New Roman" w:cs="Times New Roman"/>
          <w:sz w:val="44"/>
          <w:szCs w:val="44"/>
          <w:lang w:val="en-US"/>
        </w:rPr>
      </w:pPr>
      <w:r w:rsidRPr="009E1D9B">
        <w:rPr>
          <w:rFonts w:ascii="Times New Roman" w:eastAsia="Times New Roman" w:hAnsi="Times New Roman" w:cs="Times New Roman"/>
          <w:sz w:val="44"/>
          <w:szCs w:val="44"/>
          <w:lang w:val="en-US"/>
        </w:rPr>
        <w:t xml:space="preserve">Hyperbolic Metamaterials </w:t>
      </w:r>
      <w:r w:rsidRPr="009E1D9B">
        <w:rPr>
          <w:rFonts w:ascii="Times New Roman" w:eastAsia="Times New Roman" w:hAnsi="Times New Roman" w:cs="Times New Roman"/>
          <w:i/>
          <w:sz w:val="44"/>
          <w:szCs w:val="44"/>
          <w:lang w:val="en-US"/>
        </w:rPr>
        <w:t xml:space="preserve">via </w:t>
      </w:r>
      <w:r w:rsidRPr="009E1D9B">
        <w:rPr>
          <w:rFonts w:ascii="Times New Roman" w:eastAsia="Times New Roman" w:hAnsi="Times New Roman" w:cs="Times New Roman"/>
          <w:sz w:val="44"/>
          <w:szCs w:val="44"/>
          <w:lang w:val="en-US"/>
        </w:rPr>
        <w:t>Hierarchical Block Copolymer Nanostructures</w:t>
      </w:r>
    </w:p>
    <w:p w14:paraId="53CF16A4" w14:textId="77777777" w:rsidR="00A30F7A" w:rsidRPr="009E1D9B" w:rsidRDefault="00A30F7A">
      <w:pPr>
        <w:spacing w:line="240" w:lineRule="auto"/>
        <w:rPr>
          <w:rFonts w:ascii="Times New Roman" w:eastAsia="Times New Roman" w:hAnsi="Times New Roman" w:cs="Times New Roman"/>
          <w:sz w:val="44"/>
          <w:szCs w:val="44"/>
          <w:lang w:val="en-US"/>
        </w:rPr>
      </w:pPr>
    </w:p>
    <w:p w14:paraId="53CF16A5" w14:textId="77777777" w:rsidR="00A30F7A" w:rsidRPr="009E1D9B" w:rsidRDefault="00A30F7A">
      <w:pPr>
        <w:spacing w:line="240" w:lineRule="auto"/>
        <w:rPr>
          <w:rFonts w:ascii="Times New Roman" w:eastAsia="Times New Roman" w:hAnsi="Times New Roman" w:cs="Times New Roman"/>
          <w:i/>
          <w:lang w:val="en-US"/>
        </w:rPr>
      </w:pPr>
    </w:p>
    <w:p w14:paraId="53CF16A6" w14:textId="43E3555E" w:rsidR="00A30F7A" w:rsidRDefault="009E1D9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Irdi Murataj,</w:t>
      </w:r>
      <w:r>
        <w:rPr>
          <w:rFonts w:ascii="Times New Roman" w:eastAsia="Times New Roman" w:hAnsi="Times New Roman" w:cs="Times New Roman"/>
          <w:vertAlign w:val="superscript"/>
        </w:rPr>
        <w:t>1,2</w:t>
      </w:r>
      <w:r>
        <w:rPr>
          <w:rFonts w:ascii="Times New Roman" w:eastAsia="Times New Roman" w:hAnsi="Times New Roman" w:cs="Times New Roman"/>
        </w:rPr>
        <w:t xml:space="preserve"> Marwan Channab,</w:t>
      </w:r>
      <w:r>
        <w:rPr>
          <w:rFonts w:ascii="Times New Roman" w:eastAsia="Times New Roman" w:hAnsi="Times New Roman" w:cs="Times New Roman"/>
          <w:vertAlign w:val="superscript"/>
        </w:rPr>
        <w:t>1,2</w:t>
      </w:r>
      <w:r>
        <w:rPr>
          <w:rFonts w:ascii="Times New Roman" w:eastAsia="Times New Roman" w:hAnsi="Times New Roman" w:cs="Times New Roman"/>
        </w:rPr>
        <w:t xml:space="preserve"> Eleonora Cara,</w:t>
      </w:r>
      <w:r>
        <w:rPr>
          <w:rFonts w:ascii="Times New Roman" w:eastAsia="Times New Roman" w:hAnsi="Times New Roman" w:cs="Times New Roman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</w:rPr>
        <w:t>C</w:t>
      </w:r>
      <w:r w:rsidR="00391DD2">
        <w:rPr>
          <w:rFonts w:ascii="Times New Roman" w:eastAsia="Times New Roman" w:hAnsi="Times New Roman" w:cs="Times New Roman"/>
        </w:rPr>
        <w:t>andido</w:t>
      </w:r>
      <w:r>
        <w:rPr>
          <w:rFonts w:ascii="Times New Roman" w:eastAsia="Times New Roman" w:hAnsi="Times New Roman" w:cs="Times New Roman"/>
        </w:rPr>
        <w:t xml:space="preserve"> F</w:t>
      </w:r>
      <w:r w:rsidR="00391DD2">
        <w:rPr>
          <w:rFonts w:ascii="Times New Roman" w:eastAsia="Times New Roman" w:hAnsi="Times New Roman" w:cs="Times New Roman"/>
        </w:rPr>
        <w:t>.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Pirri,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Luca Boarino,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 xml:space="preserve"> Angelo Angelini,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 xml:space="preserve"> &amp; Federico Ferrarese Lupi</w:t>
      </w:r>
      <w:r>
        <w:rPr>
          <w:rFonts w:ascii="Times New Roman" w:eastAsia="Times New Roman" w:hAnsi="Times New Roman" w:cs="Times New Roman"/>
          <w:vertAlign w:val="superscript"/>
        </w:rPr>
        <w:t>1*</w:t>
      </w:r>
    </w:p>
    <w:p w14:paraId="53CF16A7" w14:textId="77777777" w:rsidR="00A30F7A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CF16A8" w14:textId="77777777" w:rsidR="00A30F7A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CF16A9" w14:textId="77777777" w:rsidR="00A30F7A" w:rsidRDefault="009E1D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Advanced Materials and Life Science Division, Istituto Nazionale Ricerca Metrologica, Strada delle Cacce 91, 10135, Torino, Italy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CF16AA" w14:textId="77777777" w:rsidR="00A30F7A" w:rsidRDefault="009E1D9B">
      <w:pPr>
        <w:spacing w:line="36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Dipartimento di Scienza Applicata e Tecnologia, Politecnico di Torino, Corso Duca degli Abruzzi, 24, 10129, Torino, Italy</w:t>
      </w:r>
    </w:p>
    <w:p w14:paraId="53CF16AB" w14:textId="77777777" w:rsidR="00A30F7A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CF16AC" w14:textId="77777777" w:rsidR="00A30F7A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CF16AD" w14:textId="77777777" w:rsidR="00A30F7A" w:rsidRPr="009E1D9B" w:rsidRDefault="009E1D9B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 w:rsidRPr="009E1D9B">
        <w:rPr>
          <w:rFonts w:ascii="Times New Roman" w:eastAsia="Times New Roman" w:hAnsi="Times New Roman" w:cs="Times New Roman"/>
          <w:lang w:val="en-US"/>
        </w:rPr>
        <w:t>Corresponding author e-mail: f.ferrareselupi@inrim.it </w:t>
      </w:r>
    </w:p>
    <w:p w14:paraId="53CF16AE" w14:textId="77777777" w:rsidR="00A30F7A" w:rsidRPr="009E1D9B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CF16AF" w14:textId="77777777" w:rsidR="00A30F7A" w:rsidRPr="009E1D9B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CF16B0" w14:textId="77777777" w:rsidR="00A30F7A" w:rsidRPr="009E1D9B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CF16B1" w14:textId="77777777" w:rsidR="00A30F7A" w:rsidRPr="009E1D9B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CF16B2" w14:textId="77777777" w:rsidR="00A30F7A" w:rsidRPr="009E1D9B" w:rsidRDefault="00A30F7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CF16B3" w14:textId="77777777" w:rsidR="00A30F7A" w:rsidRDefault="009E1D9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3CF16C4" wp14:editId="53CF16C5">
            <wp:extent cx="5748537" cy="241458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 r="27768" b="39743"/>
                    <a:stretch>
                      <a:fillRect/>
                    </a:stretch>
                  </pic:blipFill>
                  <pic:spPr>
                    <a:xfrm>
                      <a:off x="0" y="0"/>
                      <a:ext cx="5748537" cy="2414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F16B4" w14:textId="77777777" w:rsidR="00A30F7A" w:rsidRPr="009E1D9B" w:rsidRDefault="009E1D9B">
      <w:pPr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E1D9B">
        <w:rPr>
          <w:rFonts w:ascii="Times New Roman" w:eastAsia="Times New Roman" w:hAnsi="Times New Roman" w:cs="Times New Roman"/>
          <w:b/>
          <w:lang w:val="en-US"/>
        </w:rPr>
        <w:t>Supplementary Fig. 1 Color coding.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</w:t>
      </w:r>
      <w:r w:rsidRPr="009E1D9B">
        <w:rPr>
          <w:rFonts w:ascii="Times New Roman" w:eastAsia="Times New Roman" w:hAnsi="Times New Roman" w:cs="Times New Roman"/>
          <w:b/>
          <w:lang w:val="en-US"/>
        </w:rPr>
        <w:t>a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SEM micrograph of a dewetted droplet edge and </w:t>
      </w:r>
      <w:r w:rsidRPr="009E1D9B">
        <w:rPr>
          <w:rFonts w:ascii="Times New Roman" w:eastAsia="Times New Roman" w:hAnsi="Times New Roman" w:cs="Times New Roman"/>
          <w:b/>
          <w:lang w:val="en-US"/>
        </w:rPr>
        <w:t>b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relative false-color map to identify the lamellar orientations.</w:t>
      </w:r>
    </w:p>
    <w:p w14:paraId="53CF16B5" w14:textId="77777777" w:rsidR="00A30F7A" w:rsidRPr="009E1D9B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CF16B6" w14:textId="77777777" w:rsidR="00A30F7A" w:rsidRPr="009E1D9B" w:rsidRDefault="00A30F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CF16B7" w14:textId="77777777" w:rsidR="00A30F7A" w:rsidRDefault="009E1D9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3CF16C6" wp14:editId="53CF16C7">
            <wp:extent cx="5595938" cy="227853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r="17656" b="31803"/>
                    <a:stretch>
                      <a:fillRect/>
                    </a:stretch>
                  </pic:blipFill>
                  <pic:spPr>
                    <a:xfrm>
                      <a:off x="0" y="0"/>
                      <a:ext cx="5595938" cy="2278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F16B8" w14:textId="77777777" w:rsidR="00A30F7A" w:rsidRDefault="00A30F7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CF16B9" w14:textId="77777777" w:rsidR="00A30F7A" w:rsidRPr="009E1D9B" w:rsidRDefault="009E1D9B">
      <w:pPr>
        <w:spacing w:before="240"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9E1D9B">
        <w:rPr>
          <w:rFonts w:ascii="Times New Roman" w:eastAsia="Times New Roman" w:hAnsi="Times New Roman" w:cs="Times New Roman"/>
          <w:b/>
          <w:lang w:val="en-US"/>
        </w:rPr>
        <w:t>Supplementary Fig. 2 Effect of graphoepitaxy dimensions.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</w:t>
      </w:r>
      <w:r w:rsidRPr="009E1D9B">
        <w:rPr>
          <w:rFonts w:ascii="Times New Roman" w:eastAsia="Times New Roman" w:hAnsi="Times New Roman" w:cs="Times New Roman"/>
          <w:b/>
          <w:lang w:val="en-US"/>
        </w:rPr>
        <w:t>a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</w:t>
      </w:r>
      <w:proofErr w:type="gramStart"/>
      <w:r w:rsidRPr="009E1D9B">
        <w:rPr>
          <w:rFonts w:ascii="Times New Roman" w:eastAsia="Times New Roman" w:hAnsi="Times New Roman" w:cs="Times New Roman"/>
          <w:lang w:val="en-US"/>
        </w:rPr>
        <w:t>SEM micrographs</w:t>
      </w:r>
      <w:proofErr w:type="gramEnd"/>
      <w:r w:rsidRPr="009E1D9B">
        <w:rPr>
          <w:rFonts w:ascii="Times New Roman" w:eastAsia="Times New Roman" w:hAnsi="Times New Roman" w:cs="Times New Roman"/>
          <w:lang w:val="en-US"/>
        </w:rPr>
        <w:t xml:space="preserve"> of dewetting process over topographical patterns with different gap distances (5, 10, 30, 50 µm) and </w:t>
      </w:r>
      <w:r w:rsidRPr="009E1D9B">
        <w:rPr>
          <w:rFonts w:ascii="Times New Roman" w:eastAsia="Times New Roman" w:hAnsi="Times New Roman" w:cs="Times New Roman"/>
          <w:b/>
          <w:lang w:val="en-US"/>
        </w:rPr>
        <w:t>b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relative droplet area.</w:t>
      </w:r>
    </w:p>
    <w:p w14:paraId="53CF16BA" w14:textId="77777777" w:rsidR="00A30F7A" w:rsidRPr="009E1D9B" w:rsidRDefault="00A30F7A">
      <w:pPr>
        <w:spacing w:before="240" w:after="240" w:line="480" w:lineRule="auto"/>
        <w:rPr>
          <w:rFonts w:ascii="Times New Roman" w:eastAsia="Times New Roman" w:hAnsi="Times New Roman" w:cs="Times New Roman"/>
          <w:lang w:val="en-US"/>
        </w:rPr>
      </w:pPr>
    </w:p>
    <w:p w14:paraId="53CF16BB" w14:textId="77777777" w:rsidR="00A30F7A" w:rsidRPr="009E1D9B" w:rsidRDefault="00A30F7A">
      <w:pPr>
        <w:spacing w:before="240" w:after="240" w:line="480" w:lineRule="auto"/>
        <w:rPr>
          <w:rFonts w:ascii="Times New Roman" w:eastAsia="Times New Roman" w:hAnsi="Times New Roman" w:cs="Times New Roman"/>
          <w:lang w:val="en-US"/>
        </w:rPr>
      </w:pPr>
    </w:p>
    <w:p w14:paraId="53CF16BC" w14:textId="77777777" w:rsidR="00A30F7A" w:rsidRDefault="009E1D9B">
      <w:pPr>
        <w:jc w:val="center"/>
      </w:pPr>
      <w:r>
        <w:rPr>
          <w:noProof/>
        </w:rPr>
        <w:drawing>
          <wp:inline distT="114300" distB="114300" distL="114300" distR="114300" wp14:anchorId="53CF16C8" wp14:editId="53CF16C9">
            <wp:extent cx="3556050" cy="2988501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l="23588" t="24188" r="37848" b="18289"/>
                    <a:stretch>
                      <a:fillRect/>
                    </a:stretch>
                  </pic:blipFill>
                  <pic:spPr>
                    <a:xfrm>
                      <a:off x="0" y="0"/>
                      <a:ext cx="3556050" cy="2988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F16BD" w14:textId="77777777" w:rsidR="00A30F7A" w:rsidRPr="009E1D9B" w:rsidRDefault="009E1D9B">
      <w:pPr>
        <w:spacing w:before="240" w:after="240" w:line="480" w:lineRule="auto"/>
        <w:rPr>
          <w:rFonts w:ascii="Times New Roman" w:eastAsia="Times New Roman" w:hAnsi="Times New Roman" w:cs="Times New Roman"/>
          <w:b/>
          <w:lang w:val="en-US"/>
        </w:rPr>
      </w:pPr>
      <w:r w:rsidRPr="009E1D9B">
        <w:rPr>
          <w:rFonts w:ascii="Times New Roman" w:eastAsia="Times New Roman" w:hAnsi="Times New Roman" w:cs="Times New Roman"/>
          <w:b/>
          <w:lang w:val="en-US"/>
        </w:rPr>
        <w:t xml:space="preserve">Supplementary Fig. 3 Simulation model. </w:t>
      </w:r>
      <w:r w:rsidRPr="009E1D9B">
        <w:rPr>
          <w:rFonts w:ascii="Times New Roman" w:eastAsia="Times New Roman" w:hAnsi="Times New Roman" w:cs="Times New Roman"/>
          <w:lang w:val="en-US"/>
        </w:rPr>
        <w:t>Sketch of the cross-sectional view of the HMM.</w:t>
      </w:r>
      <w:r w:rsidRPr="009E1D9B">
        <w:rPr>
          <w:rFonts w:ascii="Times New Roman" w:eastAsia="Times New Roman" w:hAnsi="Times New Roman" w:cs="Times New Roman"/>
          <w:b/>
          <w:lang w:val="en-US"/>
        </w:rPr>
        <w:t xml:space="preserve"> </w:t>
      </w:r>
    </w:p>
    <w:p w14:paraId="53CF16BE" w14:textId="77777777" w:rsidR="00A30F7A" w:rsidRPr="009E1D9B" w:rsidRDefault="00A30F7A">
      <w:pPr>
        <w:spacing w:before="240" w:after="240" w:line="480" w:lineRule="auto"/>
        <w:rPr>
          <w:rFonts w:ascii="Times New Roman" w:eastAsia="Times New Roman" w:hAnsi="Times New Roman" w:cs="Times New Roman"/>
          <w:b/>
          <w:lang w:val="en-US"/>
        </w:rPr>
      </w:pPr>
    </w:p>
    <w:p w14:paraId="53CF16BF" w14:textId="77777777" w:rsidR="00A30F7A" w:rsidRDefault="009E1D9B">
      <w:pPr>
        <w:spacing w:before="240" w:after="240" w:line="48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53CF16CA" wp14:editId="53CF16CB">
            <wp:extent cx="5746528" cy="550068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528" cy="550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F16C0" w14:textId="77777777" w:rsidR="00A30F7A" w:rsidRPr="009E1D9B" w:rsidRDefault="009E1D9B">
      <w:pPr>
        <w:spacing w:before="240"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9E1D9B">
        <w:rPr>
          <w:rFonts w:ascii="Times New Roman" w:eastAsia="Times New Roman" w:hAnsi="Times New Roman" w:cs="Times New Roman"/>
          <w:b/>
          <w:lang w:val="en-US"/>
        </w:rPr>
        <w:t xml:space="preserve">Supplementary Fig. 4 Electrical permittivity components. </w:t>
      </w:r>
      <w:r w:rsidRPr="009E1D9B">
        <w:rPr>
          <w:rFonts w:ascii="Times New Roman" w:eastAsia="Times New Roman" w:hAnsi="Times New Roman" w:cs="Times New Roman"/>
          <w:lang w:val="en-US"/>
        </w:rPr>
        <w:t>False color map of the real and imaginary part of the in-plane (left) and out-of-plane (right) permittivity components computed for different wavelengths and different fill factors in the effective medium approximation. The fill factor is calculated as f = d</w:t>
      </w:r>
      <w:r w:rsidRPr="009E1D9B">
        <w:rPr>
          <w:rFonts w:ascii="Times New Roman" w:eastAsia="Times New Roman" w:hAnsi="Times New Roman" w:cs="Times New Roman"/>
          <w:vertAlign w:val="subscript"/>
          <w:lang w:val="en-US"/>
        </w:rPr>
        <w:t>Au</w:t>
      </w:r>
      <w:r w:rsidRPr="009E1D9B">
        <w:rPr>
          <w:rFonts w:ascii="Times New Roman" w:eastAsia="Times New Roman" w:hAnsi="Times New Roman" w:cs="Times New Roman"/>
          <w:lang w:val="en-US"/>
        </w:rPr>
        <w:t>/</w:t>
      </w:r>
      <w:r w:rsidRPr="009E1D9B">
        <w:rPr>
          <w:rFonts w:ascii="Times New Roman" w:eastAsia="Times New Roman" w:hAnsi="Times New Roman" w:cs="Times New Roman"/>
          <w:i/>
          <w:lang w:val="en-US"/>
        </w:rPr>
        <w:t>L</w:t>
      </w:r>
      <w:r w:rsidRPr="009E1D9B">
        <w:rPr>
          <w:rFonts w:ascii="Times New Roman" w:eastAsia="Times New Roman" w:hAnsi="Times New Roman" w:cs="Times New Roman"/>
          <w:vertAlign w:val="subscript"/>
          <w:lang w:val="en-US"/>
        </w:rPr>
        <w:t>0</w:t>
      </w:r>
      <w:r w:rsidRPr="009E1D9B">
        <w:rPr>
          <w:rFonts w:ascii="Times New Roman" w:eastAsia="Times New Roman" w:hAnsi="Times New Roman" w:cs="Times New Roman"/>
          <w:lang w:val="en-US"/>
        </w:rPr>
        <w:t>, where d</w:t>
      </w:r>
      <w:r w:rsidRPr="009E1D9B">
        <w:rPr>
          <w:rFonts w:ascii="Times New Roman" w:eastAsia="Times New Roman" w:hAnsi="Times New Roman" w:cs="Times New Roman"/>
          <w:vertAlign w:val="subscript"/>
          <w:lang w:val="en-US"/>
        </w:rPr>
        <w:t>Au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is the width of the gold lamella and </w:t>
      </w:r>
      <w:r w:rsidRPr="009E1D9B">
        <w:rPr>
          <w:rFonts w:ascii="Times New Roman" w:eastAsia="Times New Roman" w:hAnsi="Times New Roman" w:cs="Times New Roman"/>
          <w:i/>
          <w:lang w:val="en-US"/>
        </w:rPr>
        <w:t>L</w:t>
      </w:r>
      <w:r w:rsidRPr="009E1D9B">
        <w:rPr>
          <w:rFonts w:ascii="Times New Roman" w:eastAsia="Times New Roman" w:hAnsi="Times New Roman" w:cs="Times New Roman"/>
          <w:vertAlign w:val="subscript"/>
          <w:lang w:val="en-US"/>
        </w:rPr>
        <w:t>0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is the period of the nanopattern. </w:t>
      </w:r>
    </w:p>
    <w:p w14:paraId="53CF16C1" w14:textId="77777777" w:rsidR="00A30F7A" w:rsidRPr="009E1D9B" w:rsidRDefault="00A30F7A">
      <w:pPr>
        <w:spacing w:before="240" w:after="240" w:line="480" w:lineRule="auto"/>
        <w:rPr>
          <w:rFonts w:ascii="Times New Roman" w:eastAsia="Times New Roman" w:hAnsi="Times New Roman" w:cs="Times New Roman"/>
          <w:lang w:val="en-US"/>
        </w:rPr>
      </w:pPr>
    </w:p>
    <w:p w14:paraId="53CF16C2" w14:textId="77777777" w:rsidR="00A30F7A" w:rsidRDefault="009E1D9B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114300" distB="114300" distL="114300" distR="114300" wp14:anchorId="53CF16CC" wp14:editId="53CF16CD">
            <wp:extent cx="5839982" cy="330041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40199" t="9865"/>
                    <a:stretch>
                      <a:fillRect/>
                    </a:stretch>
                  </pic:blipFill>
                  <pic:spPr>
                    <a:xfrm>
                      <a:off x="0" y="0"/>
                      <a:ext cx="5839982" cy="330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F16C3" w14:textId="77777777" w:rsidR="00A30F7A" w:rsidRPr="009E1D9B" w:rsidRDefault="009E1D9B">
      <w:pPr>
        <w:spacing w:before="240" w:after="240" w:line="480" w:lineRule="auto"/>
        <w:rPr>
          <w:rFonts w:ascii="Times New Roman" w:eastAsia="Times New Roman" w:hAnsi="Times New Roman" w:cs="Times New Roman"/>
          <w:lang w:val="en-US"/>
        </w:rPr>
      </w:pPr>
      <w:r w:rsidRPr="009E1D9B">
        <w:rPr>
          <w:rFonts w:ascii="Times New Roman" w:eastAsia="Times New Roman" w:hAnsi="Times New Roman" w:cs="Times New Roman"/>
          <w:b/>
          <w:lang w:val="en-US"/>
        </w:rPr>
        <w:t>Supplementary Fig. 5 The fluorescence lifetime characterization setup.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The laser source is a Tsunami from Spectra-Physics that can provide 10 ps laser pulses centered at 490 nm with an 80 MHz repetition rate. The pulses are directed towards a beam expander formed by two lenses (</w:t>
      </w:r>
      <w:r w:rsidRPr="009E1D9B">
        <w:rPr>
          <w:rFonts w:ascii="Times New Roman" w:eastAsia="Times New Roman" w:hAnsi="Times New Roman" w:cs="Times New Roman"/>
          <w:i/>
          <w:lang w:val="en-US"/>
        </w:rPr>
        <w:t>f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1 and </w:t>
      </w:r>
      <w:r w:rsidRPr="009E1D9B">
        <w:rPr>
          <w:rFonts w:ascii="Times New Roman" w:eastAsia="Times New Roman" w:hAnsi="Times New Roman" w:cs="Times New Roman"/>
          <w:i/>
          <w:lang w:val="en-US"/>
        </w:rPr>
        <w:t>f</w:t>
      </w:r>
      <w:r w:rsidRPr="009E1D9B">
        <w:rPr>
          <w:rFonts w:ascii="Times New Roman" w:eastAsia="Times New Roman" w:hAnsi="Times New Roman" w:cs="Times New Roman"/>
          <w:lang w:val="en-US"/>
        </w:rPr>
        <w:t>2) to adjust the laser collimation. Afterwards, a beam splitter (BS) reflects the laser pulses that is focused on the sample by a 20x objective. The sample is positioned on a microscope stage that allows for double side imaging: from one side the sample surface can be imaged in white light with a 100x microscope objective (Nikon 100x 0.95 NA), from the other side we employ a Nikon 20x 0.40 NA objective through which the laser pulses are focused on the sample surface and fluorescence is collected.</w:t>
      </w:r>
      <w:r w:rsidRPr="009E1D9B">
        <w:rPr>
          <w:rFonts w:ascii="Times New Roman" w:eastAsia="Times New Roman" w:hAnsi="Times New Roman" w:cs="Times New Roman"/>
          <w:color w:val="FF0000"/>
          <w:lang w:val="en-US"/>
        </w:rPr>
        <w:t xml:space="preserve"> </w:t>
      </w:r>
      <w:r w:rsidRPr="009E1D9B">
        <w:rPr>
          <w:rFonts w:ascii="Times New Roman" w:eastAsia="Times New Roman" w:hAnsi="Times New Roman" w:cs="Times New Roman"/>
          <w:lang w:val="en-US"/>
        </w:rPr>
        <w:t>The collected fluorescence passes through a long pass filter (FEL 550 from Thorlabs) that filters out the reflected laser pulses and is then injected into a monochromator (Princeton Instruments Acton SpectraPro SP-2300) after passing through a set of lenses (</w:t>
      </w:r>
      <w:r w:rsidRPr="009E1D9B">
        <w:rPr>
          <w:rFonts w:ascii="Times New Roman" w:eastAsia="Times New Roman" w:hAnsi="Times New Roman" w:cs="Times New Roman"/>
          <w:i/>
          <w:lang w:val="en-US"/>
        </w:rPr>
        <w:t>f3,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</w:t>
      </w:r>
      <w:r w:rsidRPr="009E1D9B">
        <w:rPr>
          <w:rFonts w:ascii="Times New Roman" w:eastAsia="Times New Roman" w:hAnsi="Times New Roman" w:cs="Times New Roman"/>
          <w:i/>
          <w:lang w:val="en-US"/>
        </w:rPr>
        <w:t>f4</w:t>
      </w:r>
      <w:r w:rsidRPr="009E1D9B">
        <w:rPr>
          <w:rFonts w:ascii="Times New Roman" w:eastAsia="Times New Roman" w:hAnsi="Times New Roman" w:cs="Times New Roman"/>
          <w:lang w:val="en-US"/>
        </w:rPr>
        <w:t xml:space="preserve"> and </w:t>
      </w:r>
      <w:r w:rsidRPr="009E1D9B">
        <w:rPr>
          <w:rFonts w:ascii="Times New Roman" w:eastAsia="Times New Roman" w:hAnsi="Times New Roman" w:cs="Times New Roman"/>
          <w:i/>
          <w:lang w:val="en-US"/>
        </w:rPr>
        <w:t>f5</w:t>
      </w:r>
      <w:r w:rsidRPr="009E1D9B">
        <w:rPr>
          <w:rFonts w:ascii="Times New Roman" w:eastAsia="Times New Roman" w:hAnsi="Times New Roman" w:cs="Times New Roman"/>
          <w:lang w:val="en-US"/>
        </w:rPr>
        <w:t>). The monochromator is coupled to a Hamamatsu universal streak camera that allows for time-resolved fluorescence decay measurements.</w:t>
      </w:r>
    </w:p>
    <w:sectPr w:rsidR="00A30F7A" w:rsidRPr="009E1D9B">
      <w:pgSz w:w="11909" w:h="16834"/>
      <w:pgMar w:top="1440" w:right="1115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F7A"/>
    <w:rsid w:val="00391DD2"/>
    <w:rsid w:val="009E1D9B"/>
    <w:rsid w:val="00A3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F16A1"/>
  <w15:docId w15:val="{4F29ED97-38B8-40AF-94D0-CFFEADA8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irdi murataj</cp:lastModifiedBy>
  <cp:revision>3</cp:revision>
  <dcterms:created xsi:type="dcterms:W3CDTF">2020-10-27T09:00:00Z</dcterms:created>
  <dcterms:modified xsi:type="dcterms:W3CDTF">2020-10-27T09:42:00Z</dcterms:modified>
</cp:coreProperties>
</file>