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7F" w:rsidRPr="002F0764" w:rsidRDefault="00FF407F" w:rsidP="00FF407F">
      <w:pPr>
        <w:spacing w:beforeLines="50" w:before="156" w:afterLines="50" w:after="156" w:line="300" w:lineRule="auto"/>
        <w:rPr>
          <w:rFonts w:asciiTheme="minorHAnsi" w:hAnsiTheme="minorHAnsi" w:cstheme="minorHAnsi"/>
          <w:sz w:val="18"/>
          <w:szCs w:val="21"/>
        </w:rPr>
      </w:pPr>
      <w:r>
        <w:rPr>
          <w:rFonts w:asciiTheme="minorHAnsi" w:hAnsiTheme="minorHAnsi" w:cstheme="minorHAnsi"/>
          <w:b/>
        </w:rPr>
        <w:t>Table S1</w:t>
      </w:r>
      <w:r w:rsidRPr="002F076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S</w:t>
      </w:r>
      <w:r w:rsidRPr="002F0764">
        <w:rPr>
          <w:rFonts w:asciiTheme="minorHAnsi" w:hAnsiTheme="minorHAnsi" w:cstheme="minorHAnsi"/>
        </w:rPr>
        <w:t>pecific primers of genes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590"/>
        <w:gridCol w:w="4710"/>
      </w:tblGrid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Primers</w:t>
            </w:r>
          </w:p>
        </w:tc>
        <w:tc>
          <w:tcPr>
            <w:tcW w:w="4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/>
            <w:noWrap/>
            <w:vAlign w:val="center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The sequence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ACTIN-F</w:t>
            </w:r>
          </w:p>
        </w:tc>
        <w:tc>
          <w:tcPr>
            <w:tcW w:w="471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CCTTGCTGGTCGTGACCTTACTGA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ACTIN-R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CTCTCAGCACCGATCGTGATCACT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AUX1-F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CCGAGCTGGACGGCGATGTACG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AUX1-R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CATGTGCGGCGGCTGCAGCT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PIN1-F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TACTCCGAGACCTTCCAACTACG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PIN1-R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TCCACCGCCACCACTTC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PIN2-F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TTCACTATCAACACTGCCTAA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PIN2-R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CCCACGGAACTCAAACA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PIN3-F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CGAATACTCTGGTTCCCTCAT</w:t>
            </w:r>
          </w:p>
        </w:tc>
      </w:tr>
      <w:tr w:rsidR="00FF407F" w:rsidRPr="00AF60C2" w:rsidTr="00C0489C">
        <w:trPr>
          <w:trHeight w:val="330"/>
          <w:jc w:val="center"/>
        </w:trPr>
        <w:tc>
          <w:tcPr>
            <w:tcW w:w="15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PIN3-R</w:t>
            </w:r>
          </w:p>
        </w:tc>
        <w:tc>
          <w:tcPr>
            <w:tcW w:w="471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9007E7">
              <w:rPr>
                <w:rFonts w:asciiTheme="minorHAnsi" w:hAnsiTheme="minorHAnsi" w:cstheme="minorHAnsi"/>
                <w:kern w:val="0"/>
              </w:rPr>
              <w:t>GCTTCCCGTCGTCACCTA</w:t>
            </w:r>
          </w:p>
        </w:tc>
      </w:tr>
    </w:tbl>
    <w:p w:rsidR="00FF407F" w:rsidRPr="002F0764" w:rsidRDefault="00FF407F" w:rsidP="00FF407F">
      <w:pPr>
        <w:spacing w:beforeLines="50" w:before="156" w:afterLines="50" w:after="156" w:line="300" w:lineRule="auto"/>
        <w:rPr>
          <w:rFonts w:asciiTheme="minorHAnsi" w:hAnsiTheme="minorHAnsi" w:cstheme="minorHAnsi"/>
        </w:rPr>
      </w:pPr>
    </w:p>
    <w:p w:rsidR="00FF407F" w:rsidRPr="002F0764" w:rsidRDefault="00FF407F" w:rsidP="00FF407F">
      <w:pPr>
        <w:spacing w:beforeLines="50" w:before="156" w:afterLines="50" w:after="156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Table S2</w:t>
      </w:r>
      <w:r w:rsidRPr="002F0764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P</w:t>
      </w:r>
      <w:r w:rsidRPr="002F0764">
        <w:rPr>
          <w:rFonts w:asciiTheme="minorHAnsi" w:hAnsiTheme="minorHAnsi" w:cstheme="minorHAnsi"/>
        </w:rPr>
        <w:t>article-size distribution of LDH-lactate-NS obtained at 0</w:t>
      </w:r>
      <w:r w:rsidRPr="00850099">
        <w:rPr>
          <w:rFonts w:ascii="Times New Roman" w:eastAsia="Microsoft YaHei" w:hAnsi="Times New Roman"/>
        </w:rPr>
        <w:t>℃</w:t>
      </w:r>
      <w:r w:rsidRPr="002F0764">
        <w:rPr>
          <w:rFonts w:asciiTheme="minorHAnsi" w:hAnsiTheme="minorHAnsi" w:cstheme="minorHAnsi"/>
        </w:rPr>
        <w:t>, 15</w:t>
      </w:r>
      <w:r w:rsidRPr="00850099">
        <w:rPr>
          <w:rFonts w:ascii="Times New Roman" w:eastAsia="Microsoft YaHei" w:hAnsi="Times New Roman"/>
        </w:rPr>
        <w:t>℃</w:t>
      </w:r>
      <w:r w:rsidRPr="002F0764">
        <w:rPr>
          <w:rFonts w:asciiTheme="minorHAnsi" w:hAnsiTheme="minorHAnsi" w:cstheme="minorHAnsi"/>
        </w:rPr>
        <w:t>, 25</w:t>
      </w:r>
      <w:r w:rsidRPr="00850099">
        <w:rPr>
          <w:rFonts w:ascii="Times New Roman" w:eastAsia="Microsoft YaHei" w:hAnsi="Times New Roman"/>
        </w:rPr>
        <w:t>℃</w:t>
      </w:r>
    </w:p>
    <w:tbl>
      <w:tblPr>
        <w:tblW w:w="5650" w:type="dxa"/>
        <w:jc w:val="center"/>
        <w:tblLook w:val="04A0" w:firstRow="1" w:lastRow="0" w:firstColumn="1" w:lastColumn="0" w:noHBand="0" w:noVBand="1"/>
      </w:tblPr>
      <w:tblGrid>
        <w:gridCol w:w="1020"/>
        <w:gridCol w:w="1493"/>
        <w:gridCol w:w="1383"/>
        <w:gridCol w:w="1754"/>
      </w:tblGrid>
      <w:tr w:rsidR="00FF407F" w:rsidRPr="009007E7" w:rsidTr="00C0489C">
        <w:trPr>
          <w:trHeight w:val="254"/>
          <w:jc w:val="center"/>
        </w:trPr>
        <w:tc>
          <w:tcPr>
            <w:tcW w:w="565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spacing w:after="0"/>
              <w:jc w:val="center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bCs/>
                <w:szCs w:val="21"/>
              </w:rPr>
              <w:t>LDH-lactate-NS obtained at 0</w:t>
            </w:r>
            <w:r w:rsidRPr="009007E7">
              <w:rPr>
                <w:rFonts w:ascii="Times New Roman" w:eastAsia="Microsoft YaHei" w:hAnsi="Times New Roman"/>
                <w:bCs/>
                <w:szCs w:val="21"/>
              </w:rPr>
              <w:t>℃</w:t>
            </w:r>
          </w:p>
        </w:tc>
      </w:tr>
      <w:tr w:rsidR="00FF407F" w:rsidRPr="009007E7" w:rsidTr="00C0489C">
        <w:trPr>
          <w:trHeight w:val="306"/>
          <w:jc w:val="center"/>
        </w:trPr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noWrap/>
            <w:vAlign w:val="bottom"/>
          </w:tcPr>
          <w:p w:rsidR="00FF407F" w:rsidRPr="009007E7" w:rsidRDefault="00FF407F" w:rsidP="00C0489C">
            <w:pPr>
              <w:spacing w:after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Size (d.nm):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% Volume: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St Dev (d.nm):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1: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38.24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10.02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2: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207.3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67.82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3: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5294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706.9</w:t>
            </w:r>
          </w:p>
        </w:tc>
      </w:tr>
      <w:tr w:rsidR="00FF407F" w:rsidRPr="009007E7" w:rsidTr="00C0489C">
        <w:trPr>
          <w:trHeight w:val="295"/>
          <w:jc w:val="center"/>
        </w:trPr>
        <w:tc>
          <w:tcPr>
            <w:tcW w:w="565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spacing w:after="0"/>
              <w:jc w:val="center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bCs/>
                <w:szCs w:val="21"/>
              </w:rPr>
              <w:t>LDH-lactate-NS obtained at 15</w:t>
            </w:r>
            <w:r w:rsidRPr="009007E7">
              <w:rPr>
                <w:rFonts w:ascii="Times New Roman" w:eastAsia="Microsoft YaHei" w:hAnsi="Times New Roman"/>
                <w:bCs/>
                <w:szCs w:val="21"/>
              </w:rPr>
              <w:t>℃</w:t>
            </w:r>
          </w:p>
        </w:tc>
      </w:tr>
      <w:tr w:rsidR="00FF407F" w:rsidRPr="009007E7" w:rsidTr="00C0489C">
        <w:trPr>
          <w:trHeight w:val="267"/>
          <w:jc w:val="center"/>
        </w:trPr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noWrap/>
            <w:vAlign w:val="bottom"/>
          </w:tcPr>
          <w:p w:rsidR="00FF407F" w:rsidRPr="009007E7" w:rsidRDefault="00FF407F" w:rsidP="00C0489C">
            <w:pPr>
              <w:spacing w:after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Size (d.nm):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% Volume: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St Dev (d.nm):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1: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483.2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100.2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2: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42.63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7.361</w:t>
            </w:r>
          </w:p>
        </w:tc>
      </w:tr>
      <w:tr w:rsidR="00FF407F" w:rsidRPr="009007E7" w:rsidTr="00C0489C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3:</w:t>
            </w:r>
          </w:p>
        </w:tc>
        <w:tc>
          <w:tcPr>
            <w:tcW w:w="0" w:type="auto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</w:tr>
      <w:tr w:rsidR="00FF407F" w:rsidRPr="009007E7" w:rsidTr="00C0489C">
        <w:trPr>
          <w:trHeight w:val="195"/>
          <w:jc w:val="center"/>
        </w:trPr>
        <w:tc>
          <w:tcPr>
            <w:tcW w:w="565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spacing w:after="0"/>
              <w:jc w:val="center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bCs/>
                <w:szCs w:val="21"/>
              </w:rPr>
              <w:t>LDH-lactate-NS obtained at 25</w:t>
            </w:r>
            <w:r w:rsidRPr="009007E7">
              <w:rPr>
                <w:rFonts w:ascii="Times New Roman" w:eastAsia="Microsoft YaHei" w:hAnsi="Times New Roman"/>
                <w:bCs/>
                <w:szCs w:val="21"/>
              </w:rPr>
              <w:t>℃</w:t>
            </w:r>
          </w:p>
        </w:tc>
      </w:tr>
      <w:tr w:rsidR="00FF407F" w:rsidRPr="009007E7" w:rsidTr="00C0489C">
        <w:trPr>
          <w:trHeight w:val="356"/>
          <w:jc w:val="center"/>
        </w:trPr>
        <w:tc>
          <w:tcPr>
            <w:tcW w:w="0" w:type="auto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FF407F" w:rsidRPr="009007E7" w:rsidRDefault="00FF407F" w:rsidP="00C0489C">
            <w:pPr>
              <w:spacing w:after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Size (d.nm):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% Volume: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St Dev (d.nm):</w:t>
            </w:r>
          </w:p>
        </w:tc>
      </w:tr>
      <w:tr w:rsidR="00FF407F" w:rsidRPr="009007E7" w:rsidTr="00C0489C">
        <w:trPr>
          <w:trHeight w:val="3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1: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61.18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39.47</w:t>
            </w:r>
          </w:p>
        </w:tc>
      </w:tr>
      <w:tr w:rsidR="00FF407F" w:rsidRPr="009007E7" w:rsidTr="00C0489C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2: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538.7</w:t>
            </w:r>
          </w:p>
        </w:tc>
      </w:tr>
      <w:tr w:rsidR="00FF407F" w:rsidRPr="009007E7" w:rsidTr="00C0489C">
        <w:trPr>
          <w:trHeight w:val="20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9007E7">
              <w:rPr>
                <w:rFonts w:asciiTheme="minorHAnsi" w:hAnsiTheme="minorHAnsi" w:cstheme="minorHAnsi"/>
                <w:b/>
                <w:bCs/>
                <w:kern w:val="0"/>
                <w:szCs w:val="21"/>
              </w:rPr>
              <w:t>Peak 3: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407F" w:rsidRPr="009007E7" w:rsidRDefault="00FF407F" w:rsidP="00C0489C">
            <w:pPr>
              <w:widowControl/>
              <w:spacing w:after="0"/>
              <w:textAlignment w:val="bottom"/>
              <w:rPr>
                <w:rFonts w:asciiTheme="minorHAnsi" w:hAnsiTheme="minorHAnsi" w:cstheme="minorHAnsi"/>
                <w:szCs w:val="21"/>
              </w:rPr>
            </w:pPr>
            <w:r w:rsidRPr="009007E7">
              <w:rPr>
                <w:rFonts w:asciiTheme="minorHAnsi" w:hAnsiTheme="minorHAnsi" w:cstheme="minorHAnsi"/>
                <w:kern w:val="0"/>
                <w:szCs w:val="21"/>
              </w:rPr>
              <w:t>0</w:t>
            </w:r>
          </w:p>
        </w:tc>
      </w:tr>
    </w:tbl>
    <w:p w:rsidR="00FF407F" w:rsidRPr="007F2A9C" w:rsidRDefault="00FF407F" w:rsidP="00FF407F">
      <w:pPr>
        <w:spacing w:after="0" w:line="300" w:lineRule="auto"/>
        <w:rPr>
          <w:rFonts w:ascii="Times New Roman" w:hAnsi="Times New Roman"/>
          <w:sz w:val="22"/>
          <w:szCs w:val="28"/>
        </w:rPr>
      </w:pPr>
      <w:r w:rsidRPr="007F2A9C">
        <w:rPr>
          <w:rFonts w:ascii="Times New Roman" w:hAnsi="Times New Roman"/>
          <w:sz w:val="22"/>
          <w:szCs w:val="28"/>
        </w:rPr>
        <w:t xml:space="preserve"> </w:t>
      </w:r>
    </w:p>
    <w:p w:rsidR="00E14830" w:rsidRDefault="00E14830" w:rsidP="00FF407F">
      <w:pPr>
        <w:spacing w:beforeLines="50" w:before="156" w:afterLines="50" w:after="156" w:line="300" w:lineRule="auto"/>
        <w:rPr>
          <w:rFonts w:asciiTheme="minorHAnsi" w:hAnsiTheme="minorHAnsi" w:cstheme="minorHAnsi"/>
          <w:b/>
        </w:rPr>
      </w:pPr>
    </w:p>
    <w:p w:rsidR="00FF407F" w:rsidRPr="002F0764" w:rsidRDefault="00FF407F" w:rsidP="00FF407F">
      <w:pPr>
        <w:spacing w:beforeLines="50" w:before="156" w:afterLines="50" w:after="156" w:line="30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>Table S3</w:t>
      </w:r>
      <w:r w:rsidRPr="002F0764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G</w:t>
      </w:r>
      <w:r w:rsidRPr="002F0764">
        <w:rPr>
          <w:rFonts w:asciiTheme="minorHAnsi" w:hAnsiTheme="minorHAnsi" w:cstheme="minorHAnsi"/>
        </w:rPr>
        <w:t>ermination rate of Arabidopsis seeds</w:t>
      </w:r>
    </w:p>
    <w:tbl>
      <w:tblPr>
        <w:tblStyle w:val="TableGrid"/>
        <w:tblW w:w="10348" w:type="dxa"/>
        <w:jc w:val="center"/>
        <w:tblInd w:w="0" w:type="dxa"/>
        <w:tblBorders>
          <w:left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58"/>
        <w:gridCol w:w="1686"/>
        <w:gridCol w:w="1701"/>
        <w:gridCol w:w="1701"/>
        <w:gridCol w:w="1701"/>
        <w:gridCol w:w="1701"/>
      </w:tblGrid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14830" w:rsidRDefault="00E14830" w:rsidP="00C0489C">
            <w:pPr>
              <w:spacing w:after="0" w:line="30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19FCC" wp14:editId="1B8C364B">
                      <wp:simplePos x="0" y="0"/>
                      <wp:positionH relativeFrom="column">
                        <wp:posOffset>-36075</wp:posOffset>
                      </wp:positionH>
                      <wp:positionV relativeFrom="paragraph">
                        <wp:posOffset>26168</wp:posOffset>
                      </wp:positionV>
                      <wp:extent cx="1085222" cy="276329"/>
                      <wp:effectExtent l="0" t="0" r="19685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222" cy="27632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490DC" id="直接连接符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05pt" to="82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</w:t>
            </w: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:rsidR="00E14830" w:rsidRPr="009007E7" w:rsidRDefault="00FF407F" w:rsidP="00C0489C">
            <w:pPr>
              <w:spacing w:after="0" w:line="300" w:lineRule="auto"/>
              <w:rPr>
                <w:rFonts w:asciiTheme="minorHAnsi" w:hAnsiTheme="minorHAnsi" w:cstheme="minorHAnsi" w:hint="eastAsia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Sam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 </w:t>
            </w: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3 day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4 day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5 day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6 day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b/>
                <w:sz w:val="18"/>
                <w:szCs w:val="18"/>
              </w:rPr>
              <w:t>7 day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CK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95.07 ± 2.85 %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99.26 ± 1.48 %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99.26 ± 1.48 %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99.26 ± 1.48 %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99.26 ± 1.48 %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LDH=1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95.63 ± 2.92 %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97.75 ± 2.89 %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97.75 ± 2.89 %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97.75 ± 2.89 %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97.75 ± 2.89 %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LDH=10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97.13 ± 2.22 %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97.81 ± 1.47 %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98.57 ± 1.66 %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99.24 ± 1.52 %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99.24 ± 1.52 %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LDH=100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98.65 ± 1.57 %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99.29 ± 1.43 %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99.29 ± 1.43 %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99.29 ± 1.43 %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99.29 ± 1.43 %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LDH=300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95.00 ± 4.40 %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96.39 ± 4.31 %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97.10 ± 3.35 %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97.10 ± 3.35%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97.10 ± 3.35 %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RM=1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96.37 ± 2.82 %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97.87 ± 2.63 %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100.00 %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100.00 %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100.00 %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RM=10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94.91 ± 3.63 %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98.61 ± 2.78 %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98.61 ± 2.78 %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98.61 ± 2.78 %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98.61 ± 2.78 %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RM=100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81.58 ± 9.03 %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94.64 ± 3.25 %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97.65 ± 3.03 %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97.65 ± 3.03 %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97.65 ± 3.03 %</w:t>
            </w:r>
          </w:p>
        </w:tc>
      </w:tr>
      <w:tr w:rsidR="00FF407F" w:rsidRPr="009007E7" w:rsidTr="00C0489C">
        <w:trPr>
          <w:trHeight w:val="24"/>
          <w:jc w:val="center"/>
        </w:trPr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RM=300 μg/ml</w:t>
            </w: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0.00 %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3.69 ± 1.93 %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9.33 ± 5.08 %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19.55 ± 2.28 %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F407F" w:rsidRPr="009007E7" w:rsidRDefault="00FF407F" w:rsidP="00C0489C">
            <w:pPr>
              <w:spacing w:after="0" w:line="300" w:lineRule="auto"/>
              <w:ind w:firstLineChars="200" w:firstLine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7E7">
              <w:rPr>
                <w:rFonts w:asciiTheme="minorHAnsi" w:hAnsiTheme="minorHAnsi" w:cstheme="minorHAnsi"/>
                <w:sz w:val="18"/>
                <w:szCs w:val="18"/>
              </w:rPr>
              <w:t>23.39 ± 5.12 %</w:t>
            </w:r>
          </w:p>
        </w:tc>
      </w:tr>
    </w:tbl>
    <w:p w:rsidR="00FF407F" w:rsidRPr="007F2A9C" w:rsidRDefault="00FF407F" w:rsidP="00FF407F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kern w:val="0"/>
        </w:rPr>
      </w:pPr>
      <w:r w:rsidRPr="007F2A9C">
        <w:rPr>
          <w:rFonts w:ascii="Times New Roman" w:hAnsi="Times New Roman"/>
          <w:kern w:val="0"/>
        </w:rPr>
        <w:t xml:space="preserve"> </w:t>
      </w:r>
    </w:p>
    <w:p w:rsidR="00FF407F" w:rsidRPr="007F2A9C" w:rsidRDefault="00FF407F" w:rsidP="00FF407F">
      <w:pPr>
        <w:spacing w:after="0"/>
        <w:jc w:val="center"/>
        <w:rPr>
          <w:sz w:val="18"/>
          <w:szCs w:val="21"/>
        </w:rPr>
      </w:pPr>
      <w:r w:rsidRPr="007F2A9C">
        <w:rPr>
          <w:noProof/>
          <w:sz w:val="18"/>
          <w:lang w:eastAsia="en-US"/>
        </w:rPr>
        <w:drawing>
          <wp:inline distT="0" distB="0" distL="0" distR="0" wp14:anchorId="6D0BA546" wp14:editId="72D059F3">
            <wp:extent cx="3060000" cy="444240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uhon\AppData\Local\Temp\ksohtml\wps3450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A9C">
        <w:rPr>
          <w:sz w:val="18"/>
        </w:rPr>
        <w:t xml:space="preserve"> </w:t>
      </w:r>
    </w:p>
    <w:p w:rsidR="00FF407F" w:rsidRPr="002F0764" w:rsidRDefault="00FF407F" w:rsidP="00FF407F">
      <w:pPr>
        <w:pStyle w:val="NormalWeb"/>
        <w:spacing w:after="0" w:line="36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b/>
        </w:rPr>
        <w:t>Figure S1</w:t>
      </w:r>
      <w:r w:rsidRPr="002F0764">
        <w:rPr>
          <w:rFonts w:asciiTheme="minorHAnsi" w:hAnsiTheme="minorHAnsi" w:cstheme="minorHAnsi"/>
          <w:b/>
          <w:sz w:val="21"/>
        </w:rPr>
        <w:t>.</w:t>
      </w:r>
      <w:r w:rsidRPr="002F0764">
        <w:rPr>
          <w:rFonts w:asciiTheme="minorHAnsi" w:hAnsiTheme="minorHAnsi" w:cstheme="minorHAnsi"/>
          <w:sz w:val="21"/>
        </w:rPr>
        <w:t xml:space="preserve"> </w:t>
      </w:r>
      <w:r w:rsidRPr="002F0764">
        <w:rPr>
          <w:rFonts w:asciiTheme="minorHAnsi" w:hAnsiTheme="minorHAnsi" w:cstheme="minorHAnsi"/>
          <w:i/>
          <w:sz w:val="21"/>
        </w:rPr>
        <w:t>DR5pro:GFP</w:t>
      </w:r>
      <w:r w:rsidRPr="002F0764">
        <w:rPr>
          <w:rFonts w:asciiTheme="minorHAnsi" w:hAnsiTheme="minorHAnsi" w:cstheme="minorHAnsi"/>
          <w:sz w:val="21"/>
        </w:rPr>
        <w:t xml:space="preserve"> observation and determination of IAA content in the root</w:t>
      </w:r>
      <w:r>
        <w:rPr>
          <w:rFonts w:asciiTheme="minorHAnsi" w:hAnsiTheme="minorHAnsi" w:cstheme="minorHAnsi"/>
          <w:sz w:val="21"/>
        </w:rPr>
        <w:t>. (</w:t>
      </w:r>
      <w:r w:rsidRPr="002F0764">
        <w:rPr>
          <w:rFonts w:asciiTheme="minorHAnsi" w:hAnsiTheme="minorHAnsi" w:cstheme="minorHAnsi"/>
          <w:b/>
          <w:sz w:val="21"/>
        </w:rPr>
        <w:t>A</w:t>
      </w:r>
      <w:r>
        <w:rPr>
          <w:rFonts w:asciiTheme="minorHAnsi" w:hAnsiTheme="minorHAnsi" w:cstheme="minorHAnsi"/>
          <w:sz w:val="21"/>
        </w:rPr>
        <w:t>)</w:t>
      </w:r>
      <w:r w:rsidRPr="002F0764">
        <w:rPr>
          <w:rFonts w:asciiTheme="minorHAnsi" w:hAnsiTheme="minorHAnsi" w:cstheme="minorHAnsi"/>
          <w:sz w:val="21"/>
        </w:rPr>
        <w:t xml:space="preserve"> </w:t>
      </w:r>
      <w:r w:rsidRPr="002F0764">
        <w:rPr>
          <w:rFonts w:asciiTheme="minorHAnsi" w:hAnsiTheme="minorHAnsi" w:cstheme="minorHAnsi"/>
          <w:i/>
          <w:sz w:val="21"/>
        </w:rPr>
        <w:t>DR5pro:GFP</w:t>
      </w:r>
      <w:r w:rsidRPr="002F0764">
        <w:rPr>
          <w:rFonts w:asciiTheme="minorHAnsi" w:hAnsiTheme="minorHAnsi" w:cstheme="minorHAnsi"/>
          <w:sz w:val="21"/>
        </w:rPr>
        <w:t xml:space="preserve"> fluorescence obs</w:t>
      </w:r>
      <w:r>
        <w:rPr>
          <w:rFonts w:asciiTheme="minorHAnsi" w:hAnsiTheme="minorHAnsi" w:cstheme="minorHAnsi"/>
          <w:sz w:val="21"/>
        </w:rPr>
        <w:t>erved by confocal microscopy; (</w:t>
      </w:r>
      <w:r w:rsidRPr="002F0764">
        <w:rPr>
          <w:rFonts w:asciiTheme="minorHAnsi" w:hAnsiTheme="minorHAnsi" w:cstheme="minorHAnsi"/>
          <w:b/>
          <w:sz w:val="21"/>
        </w:rPr>
        <w:t>B</w:t>
      </w:r>
      <w:r>
        <w:rPr>
          <w:rFonts w:asciiTheme="minorHAnsi" w:hAnsiTheme="minorHAnsi" w:cstheme="minorHAnsi"/>
          <w:sz w:val="21"/>
        </w:rPr>
        <w:t>)</w:t>
      </w:r>
      <w:r w:rsidRPr="002F0764">
        <w:rPr>
          <w:rFonts w:asciiTheme="minorHAnsi" w:hAnsiTheme="minorHAnsi" w:cstheme="minorHAnsi"/>
          <w:sz w:val="21"/>
        </w:rPr>
        <w:t xml:space="preserve"> Relative abundance of auxin content. Values are </w:t>
      </w:r>
      <w:r w:rsidRPr="002F0764">
        <w:rPr>
          <w:rFonts w:asciiTheme="minorHAnsi" w:hAnsiTheme="minorHAnsi" w:cstheme="minorHAnsi"/>
          <w:sz w:val="21"/>
        </w:rPr>
        <w:lastRenderedPageBreak/>
        <w:t>means ± SD (</w:t>
      </w:r>
      <w:r w:rsidRPr="002F0764">
        <w:rPr>
          <w:rFonts w:asciiTheme="minorHAnsi" w:hAnsiTheme="minorHAnsi" w:cstheme="minorHAnsi"/>
          <w:i/>
          <w:sz w:val="21"/>
        </w:rPr>
        <w:t>n</w:t>
      </w:r>
      <w:r w:rsidRPr="002F0764">
        <w:rPr>
          <w:rFonts w:asciiTheme="minorHAnsi" w:hAnsiTheme="minorHAnsi" w:cstheme="minorHAnsi"/>
          <w:sz w:val="21"/>
        </w:rPr>
        <w:t xml:space="preserve"> = 3). CK, Control check</w:t>
      </w:r>
      <w:r w:rsidRPr="002F0764">
        <w:rPr>
          <w:rFonts w:asciiTheme="minorHAnsi" w:hAnsiTheme="minorHAnsi" w:cstheme="minorHAnsi"/>
          <w:kern w:val="0"/>
          <w:sz w:val="21"/>
        </w:rPr>
        <w:t xml:space="preserve">. ns </w:t>
      </w:r>
      <w:r w:rsidRPr="002F0764">
        <w:rPr>
          <w:rFonts w:asciiTheme="minorHAnsi" w:hAnsiTheme="minorHAnsi" w:cstheme="minorHAnsi"/>
          <w:sz w:val="21"/>
        </w:rPr>
        <w:t>&gt; 0.05</w:t>
      </w:r>
      <w:r w:rsidRPr="002F0764">
        <w:rPr>
          <w:rFonts w:asciiTheme="minorHAnsi" w:hAnsiTheme="minorHAnsi" w:cstheme="minorHAnsi"/>
          <w:kern w:val="0"/>
          <w:sz w:val="21"/>
        </w:rPr>
        <w:t>, **</w:t>
      </w:r>
      <w:r w:rsidRPr="002F0764">
        <w:rPr>
          <w:rFonts w:asciiTheme="minorHAnsi" w:hAnsiTheme="minorHAnsi" w:cstheme="minorHAnsi"/>
          <w:iCs/>
          <w:kern w:val="0"/>
          <w:sz w:val="21"/>
        </w:rPr>
        <w:t xml:space="preserve">P </w:t>
      </w:r>
      <w:r w:rsidRPr="002F0764">
        <w:rPr>
          <w:rFonts w:asciiTheme="minorHAnsi" w:hAnsiTheme="minorHAnsi" w:cstheme="minorHAnsi"/>
          <w:kern w:val="0"/>
          <w:sz w:val="21"/>
        </w:rPr>
        <w:t>&lt; 0.01, *</w:t>
      </w:r>
      <w:r w:rsidRPr="002F0764">
        <w:rPr>
          <w:rFonts w:asciiTheme="minorHAnsi" w:hAnsiTheme="minorHAnsi" w:cstheme="minorHAnsi"/>
          <w:iCs/>
          <w:kern w:val="0"/>
          <w:sz w:val="21"/>
        </w:rPr>
        <w:t>P</w:t>
      </w:r>
      <w:r w:rsidRPr="002F0764">
        <w:rPr>
          <w:rFonts w:asciiTheme="minorHAnsi" w:hAnsiTheme="minorHAnsi" w:cstheme="minorHAnsi"/>
          <w:i/>
          <w:iCs/>
          <w:kern w:val="0"/>
          <w:sz w:val="21"/>
        </w:rPr>
        <w:t xml:space="preserve"> </w:t>
      </w:r>
      <w:r w:rsidRPr="002F0764">
        <w:rPr>
          <w:rFonts w:asciiTheme="minorHAnsi" w:hAnsiTheme="minorHAnsi" w:cstheme="minorHAnsi"/>
          <w:kern w:val="0"/>
          <w:sz w:val="21"/>
        </w:rPr>
        <w:t xml:space="preserve">&lt; 0.05, Student’s </w:t>
      </w:r>
      <w:r w:rsidRPr="002F0764">
        <w:rPr>
          <w:rFonts w:asciiTheme="minorHAnsi" w:hAnsiTheme="minorHAnsi" w:cstheme="minorHAnsi"/>
          <w:i/>
          <w:iCs/>
          <w:kern w:val="0"/>
          <w:sz w:val="21"/>
        </w:rPr>
        <w:t>t</w:t>
      </w:r>
      <w:r w:rsidRPr="002F0764">
        <w:rPr>
          <w:rFonts w:asciiTheme="minorHAnsi" w:hAnsiTheme="minorHAnsi" w:cstheme="minorHAnsi"/>
          <w:kern w:val="0"/>
          <w:sz w:val="21"/>
        </w:rPr>
        <w:t xml:space="preserve">-test. </w:t>
      </w:r>
    </w:p>
    <w:p w:rsidR="00FF407F" w:rsidRPr="007F2A9C" w:rsidRDefault="00FF407F" w:rsidP="00FF407F">
      <w:pPr>
        <w:spacing w:line="300" w:lineRule="auto"/>
        <w:jc w:val="center"/>
        <w:rPr>
          <w:rFonts w:ascii="Times New Roman" w:hAnsi="Times New Roman"/>
          <w:sz w:val="18"/>
          <w:szCs w:val="21"/>
        </w:rPr>
      </w:pPr>
      <w:r w:rsidRPr="007F2A9C">
        <w:rPr>
          <w:noProof/>
          <w:sz w:val="18"/>
          <w:lang w:eastAsia="en-US"/>
        </w:rPr>
        <w:drawing>
          <wp:inline distT="0" distB="0" distL="0" distR="0" wp14:anchorId="3E17B24B" wp14:editId="2E1FBA31">
            <wp:extent cx="3060000" cy="3135600"/>
            <wp:effectExtent l="0" t="0" r="7620" b="8255"/>
            <wp:docPr id="6" name="图片 6" descr="C:\Users\wuhon\AppData\Local\Temp\ksohtml\wps346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uhon\AppData\Local\Temp\ksohtml\wps3461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A9C">
        <w:rPr>
          <w:rFonts w:ascii="Times New Roman" w:hAnsi="Times New Roman"/>
          <w:sz w:val="18"/>
        </w:rPr>
        <w:t xml:space="preserve"> </w:t>
      </w:r>
    </w:p>
    <w:p w:rsidR="00FF407F" w:rsidRPr="002F0764" w:rsidRDefault="00FF407F" w:rsidP="00FF407F">
      <w:pPr>
        <w:spacing w:line="36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</w:rPr>
        <w:t>Figure S2</w:t>
      </w:r>
      <w:r w:rsidRPr="002F0764">
        <w:rPr>
          <w:rFonts w:asciiTheme="minorHAnsi" w:hAnsiTheme="minorHAnsi" w:cstheme="minorHAnsi"/>
          <w:b/>
        </w:rPr>
        <w:t>.</w:t>
      </w:r>
      <w:r w:rsidRPr="002F0764">
        <w:rPr>
          <w:rFonts w:asciiTheme="minorHAnsi" w:hAnsiTheme="minorHAnsi" w:cstheme="minorHAnsi"/>
        </w:rPr>
        <w:t xml:space="preserve"> Effect of various concentrations of LDH-Lactate-NS on root geotropism of </w:t>
      </w:r>
      <w:r w:rsidRPr="002F0764">
        <w:rPr>
          <w:rFonts w:asciiTheme="minorHAnsi" w:eastAsiaTheme="minorEastAsia" w:hAnsiTheme="minorHAnsi" w:cstheme="minorHAnsi"/>
          <w:i/>
        </w:rPr>
        <w:t>A. thaliana</w:t>
      </w:r>
      <w:r w:rsidRPr="002F0764">
        <w:rPr>
          <w:rFonts w:asciiTheme="minorHAnsi" w:eastAsiaTheme="minorEastAsia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Pr="002F0764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>)</w:t>
      </w:r>
      <w:r w:rsidRPr="002F0764">
        <w:rPr>
          <w:rFonts w:asciiTheme="minorHAnsi" w:hAnsiTheme="minorHAnsi" w:cstheme="minorHAnsi"/>
        </w:rPr>
        <w:t xml:space="preserve"> After rotation of 90°, the root tip bending Angle after 3 hours (a)CK; (b)LDH=1 µg/ml; (c)LDH=10 µg/ml; (d)LDH=100 µg/ml; (e)LDH=300 µg/ml; </w:t>
      </w:r>
      <w:r>
        <w:rPr>
          <w:rFonts w:asciiTheme="minorHAnsi" w:hAnsiTheme="minorHAnsi" w:cstheme="minorHAnsi"/>
        </w:rPr>
        <w:t>(</w:t>
      </w:r>
      <w:r w:rsidRPr="002F0764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</w:rPr>
        <w:t>)</w:t>
      </w:r>
      <w:r w:rsidRPr="002F0764">
        <w:rPr>
          <w:rFonts w:asciiTheme="minorHAnsi" w:hAnsiTheme="minorHAnsi" w:cstheme="minorHAnsi"/>
        </w:rPr>
        <w:t xml:space="preserve"> Geotropism experiment statistics of root tip bending angles of CK and LDH. Error bars represent SD. ns</w:t>
      </w:r>
      <w:r w:rsidRPr="002F0764">
        <w:rPr>
          <w:rFonts w:asciiTheme="minorHAnsi" w:hAnsiTheme="minorHAnsi" w:cstheme="minorHAnsi"/>
        </w:rPr>
        <w:t>＞</w:t>
      </w:r>
      <w:r w:rsidRPr="002F0764">
        <w:rPr>
          <w:rFonts w:asciiTheme="minorHAnsi" w:hAnsiTheme="minorHAnsi" w:cstheme="minorHAnsi"/>
        </w:rPr>
        <w:t xml:space="preserve">0.05, *P&lt;0.05, **P&lt;0.01, Student’s </w:t>
      </w:r>
      <w:r w:rsidRPr="002F0764">
        <w:rPr>
          <w:rFonts w:asciiTheme="minorHAnsi" w:hAnsiTheme="minorHAnsi" w:cstheme="minorHAnsi"/>
          <w:i/>
        </w:rPr>
        <w:t>t</w:t>
      </w:r>
      <w:r w:rsidRPr="002F0764">
        <w:rPr>
          <w:rFonts w:asciiTheme="minorHAnsi" w:hAnsiTheme="minorHAnsi" w:cstheme="minorHAnsi"/>
        </w:rPr>
        <w:t>-test.</w:t>
      </w:r>
    </w:p>
    <w:p w:rsidR="00342BD7" w:rsidRDefault="00342BD7"/>
    <w:sectPr w:rsidR="00342BD7" w:rsidSect="00E710E0">
      <w:headerReference w:type="default" r:id="rId6"/>
      <w:footerReference w:type="default" r:id="rId7"/>
      <w:pgSz w:w="12191" w:h="15819"/>
      <w:pgMar w:top="1440" w:right="1800" w:bottom="1440" w:left="1800" w:header="851" w:footer="992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64" w:rsidRDefault="00E148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F0764" w:rsidRDefault="00E148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64" w:rsidRDefault="00E14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F"/>
    <w:rsid w:val="00342BD7"/>
    <w:rsid w:val="00D06268"/>
    <w:rsid w:val="00E14830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7F9E"/>
  <w15:chartTrackingRefBased/>
  <w15:docId w15:val="{30D383D0-F838-4ACB-9392-051A8AF7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7F"/>
    <w:pPr>
      <w:widowControl w:val="0"/>
      <w:spacing w:after="200" w:line="276" w:lineRule="auto"/>
      <w:jc w:val="both"/>
    </w:pPr>
    <w:rPr>
      <w:rFonts w:ascii="Calibri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FF4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7F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qFormat/>
    <w:rsid w:val="00FF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FF407F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qFormat/>
    <w:rsid w:val="00FF407F"/>
    <w:rPr>
      <w:sz w:val="24"/>
    </w:rPr>
  </w:style>
  <w:style w:type="table" w:styleId="TableGrid">
    <w:name w:val="Table Grid"/>
    <w:uiPriority w:val="99"/>
    <w:qFormat/>
    <w:rsid w:val="00FF40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F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2</cp:revision>
  <dcterms:created xsi:type="dcterms:W3CDTF">2021-10-22T12:56:00Z</dcterms:created>
  <dcterms:modified xsi:type="dcterms:W3CDTF">2021-10-22T13:19:00Z</dcterms:modified>
</cp:coreProperties>
</file>