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FCEA9" w14:textId="6CED24F1" w:rsidR="003E1953" w:rsidRPr="002B5B4E" w:rsidRDefault="008B7892" w:rsidP="000E35B3">
      <w:pPr>
        <w:spacing w:line="480" w:lineRule="auto"/>
        <w:contextualSpacing/>
        <w:rPr>
          <w:rFonts w:ascii="Arial" w:hAnsi="Arial" w:cs="Arial"/>
          <w:b/>
          <w:sz w:val="24"/>
          <w:szCs w:val="24"/>
        </w:rPr>
      </w:pPr>
      <w:bookmarkStart w:id="0" w:name="_GoBack"/>
      <w:bookmarkEnd w:id="0"/>
      <w:r w:rsidRPr="002B5B4E">
        <w:rPr>
          <w:rFonts w:ascii="Arial" w:hAnsi="Arial" w:cs="Arial"/>
          <w:b/>
          <w:sz w:val="24"/>
          <w:szCs w:val="24"/>
        </w:rPr>
        <w:t xml:space="preserve">A missing piece of </w:t>
      </w:r>
      <w:r w:rsidR="00236FDD" w:rsidRPr="002B5B4E">
        <w:rPr>
          <w:rFonts w:ascii="Arial" w:hAnsi="Arial" w:cs="Arial"/>
          <w:b/>
          <w:sz w:val="24"/>
          <w:szCs w:val="24"/>
        </w:rPr>
        <w:t xml:space="preserve">the </w:t>
      </w:r>
      <w:r w:rsidRPr="002B5B4E">
        <w:rPr>
          <w:rFonts w:ascii="Arial" w:hAnsi="Arial" w:cs="Arial"/>
          <w:b/>
          <w:sz w:val="24"/>
          <w:szCs w:val="24"/>
        </w:rPr>
        <w:t>puzzle in pulmonary fibrosis</w:t>
      </w:r>
      <w:r w:rsidR="00236FDD" w:rsidRPr="002B5B4E">
        <w:rPr>
          <w:rFonts w:ascii="Arial" w:hAnsi="Arial" w:cs="Arial"/>
          <w:b/>
          <w:sz w:val="24"/>
          <w:szCs w:val="24"/>
        </w:rPr>
        <w:t xml:space="preserve">: </w:t>
      </w:r>
      <w:proofErr w:type="spellStart"/>
      <w:r w:rsidRPr="002B5B4E">
        <w:rPr>
          <w:rFonts w:ascii="Arial" w:hAnsi="Arial" w:cs="Arial"/>
          <w:b/>
          <w:sz w:val="24"/>
          <w:szCs w:val="24"/>
        </w:rPr>
        <w:t>anoikis</w:t>
      </w:r>
      <w:proofErr w:type="spellEnd"/>
      <w:r w:rsidRPr="002B5B4E">
        <w:rPr>
          <w:rFonts w:ascii="Arial" w:hAnsi="Arial" w:cs="Arial"/>
          <w:b/>
          <w:sz w:val="24"/>
          <w:szCs w:val="24"/>
        </w:rPr>
        <w:t xml:space="preserve"> resistance promotes fibroblast </w:t>
      </w:r>
      <w:r w:rsidR="00463224" w:rsidRPr="008B1780">
        <w:rPr>
          <w:rFonts w:ascii="Arial" w:hAnsi="Arial" w:cs="Arial"/>
          <w:b/>
          <w:sz w:val="24"/>
          <w:szCs w:val="24"/>
        </w:rPr>
        <w:t>activation</w:t>
      </w:r>
      <w:r w:rsidR="00463224" w:rsidRPr="002B5B4E" w:rsidDel="00463224">
        <w:rPr>
          <w:rFonts w:ascii="Arial" w:hAnsi="Arial" w:cs="Arial"/>
          <w:b/>
          <w:sz w:val="24"/>
          <w:szCs w:val="24"/>
        </w:rPr>
        <w:t xml:space="preserve"> </w:t>
      </w:r>
    </w:p>
    <w:p w14:paraId="510745DD" w14:textId="77777777" w:rsidR="002B5B4E" w:rsidRPr="002B5B4E" w:rsidRDefault="002B5B4E" w:rsidP="000E35B3">
      <w:pPr>
        <w:autoSpaceDE w:val="0"/>
        <w:autoSpaceDN w:val="0"/>
        <w:adjustRightInd w:val="0"/>
        <w:spacing w:line="480" w:lineRule="auto"/>
        <w:contextualSpacing/>
        <w:rPr>
          <w:rFonts w:ascii="Arial" w:hAnsi="Arial" w:cs="Arial"/>
          <w:bCs/>
          <w:sz w:val="24"/>
          <w:szCs w:val="24"/>
        </w:rPr>
      </w:pPr>
    </w:p>
    <w:p w14:paraId="4769EE8E" w14:textId="07A5B1E1" w:rsidR="003E1953" w:rsidRPr="002B5B4E" w:rsidRDefault="008B7892" w:rsidP="000E35B3">
      <w:pPr>
        <w:autoSpaceDE w:val="0"/>
        <w:autoSpaceDN w:val="0"/>
        <w:adjustRightInd w:val="0"/>
        <w:spacing w:line="480" w:lineRule="auto"/>
        <w:contextualSpacing/>
        <w:rPr>
          <w:rFonts w:ascii="Arial" w:hAnsi="Arial" w:cs="Arial"/>
          <w:bCs/>
          <w:sz w:val="24"/>
          <w:szCs w:val="24"/>
        </w:rPr>
      </w:pPr>
      <w:r w:rsidRPr="002B5B4E">
        <w:rPr>
          <w:rFonts w:ascii="Arial" w:hAnsi="Arial" w:cs="Arial"/>
          <w:b/>
          <w:sz w:val="24"/>
          <w:szCs w:val="24"/>
        </w:rPr>
        <w:t>Running title</w:t>
      </w:r>
      <w:r w:rsidR="00236FDD" w:rsidRPr="002B5B4E">
        <w:rPr>
          <w:rFonts w:ascii="Arial" w:hAnsi="Arial" w:cs="Arial"/>
          <w:b/>
          <w:sz w:val="24"/>
          <w:szCs w:val="24"/>
        </w:rPr>
        <w:t>:</w:t>
      </w:r>
      <w:r w:rsidR="00236FDD" w:rsidRPr="002B5B4E">
        <w:rPr>
          <w:rFonts w:ascii="Arial" w:hAnsi="Arial" w:cs="Arial" w:hint="eastAsia"/>
          <w:bCs/>
          <w:sz w:val="24"/>
          <w:szCs w:val="24"/>
        </w:rPr>
        <w:t xml:space="preserve"> </w:t>
      </w:r>
      <w:proofErr w:type="spellStart"/>
      <w:r w:rsidRPr="002B5B4E">
        <w:rPr>
          <w:rFonts w:ascii="Arial" w:hAnsi="Arial" w:cs="Arial"/>
          <w:bCs/>
          <w:sz w:val="24"/>
          <w:szCs w:val="24"/>
        </w:rPr>
        <w:t>Anoikis</w:t>
      </w:r>
      <w:proofErr w:type="spellEnd"/>
      <w:r w:rsidRPr="002B5B4E">
        <w:rPr>
          <w:rFonts w:ascii="Arial" w:hAnsi="Arial" w:cs="Arial"/>
          <w:bCs/>
          <w:sz w:val="24"/>
          <w:szCs w:val="24"/>
        </w:rPr>
        <w:t xml:space="preserve"> resistance promotes fibroblast activation</w:t>
      </w:r>
    </w:p>
    <w:p w14:paraId="45F1A091" w14:textId="77777777" w:rsidR="003E1953" w:rsidRPr="002B5B4E" w:rsidRDefault="003E1953" w:rsidP="000E35B3">
      <w:pPr>
        <w:autoSpaceDE w:val="0"/>
        <w:autoSpaceDN w:val="0"/>
        <w:adjustRightInd w:val="0"/>
        <w:spacing w:line="480" w:lineRule="auto"/>
        <w:contextualSpacing/>
        <w:rPr>
          <w:rFonts w:ascii="Arial" w:hAnsi="Arial" w:cs="Arial"/>
          <w:sz w:val="24"/>
          <w:szCs w:val="24"/>
        </w:rPr>
      </w:pPr>
    </w:p>
    <w:p w14:paraId="61A9B27D" w14:textId="163C728B" w:rsidR="003E1953" w:rsidRPr="002B5B4E" w:rsidRDefault="008B7892" w:rsidP="000E35B3">
      <w:pPr>
        <w:autoSpaceDE w:val="0"/>
        <w:autoSpaceDN w:val="0"/>
        <w:adjustRightInd w:val="0"/>
        <w:spacing w:line="480" w:lineRule="auto"/>
        <w:contextualSpacing/>
        <w:rPr>
          <w:rFonts w:ascii="Arial" w:hAnsi="Arial" w:cs="Arial"/>
          <w:sz w:val="24"/>
          <w:szCs w:val="24"/>
        </w:rPr>
      </w:pPr>
      <w:r w:rsidRPr="002B5B4E">
        <w:rPr>
          <w:rFonts w:ascii="Arial" w:hAnsi="Arial" w:cs="Arial"/>
          <w:sz w:val="24"/>
          <w:szCs w:val="24"/>
        </w:rPr>
        <w:t xml:space="preserve">Juan Yin, </w:t>
      </w:r>
      <w:r w:rsidR="00031CF1" w:rsidRPr="002B5B4E">
        <w:rPr>
          <w:rFonts w:ascii="Arial" w:hAnsi="Arial" w:cs="Arial"/>
          <w:sz w:val="24"/>
          <w:szCs w:val="24"/>
        </w:rPr>
        <w:t>Jing Wang,</w:t>
      </w:r>
      <w:r w:rsidR="00031CF1">
        <w:rPr>
          <w:rFonts w:ascii="Arial" w:hAnsi="Arial" w:cs="Arial"/>
          <w:sz w:val="24"/>
          <w:szCs w:val="24"/>
        </w:rPr>
        <w:t xml:space="preserve"> </w:t>
      </w:r>
      <w:proofErr w:type="spellStart"/>
      <w:r w:rsidR="00031CF1">
        <w:rPr>
          <w:rFonts w:ascii="Arial" w:hAnsi="Arial" w:cs="Arial"/>
          <w:sz w:val="24"/>
          <w:szCs w:val="24"/>
        </w:rPr>
        <w:t>Xinxin</w:t>
      </w:r>
      <w:proofErr w:type="spellEnd"/>
      <w:r w:rsidR="00031CF1">
        <w:rPr>
          <w:rFonts w:ascii="Arial" w:hAnsi="Arial" w:cs="Arial"/>
          <w:sz w:val="24"/>
          <w:szCs w:val="24"/>
        </w:rPr>
        <w:t xml:space="preserve"> Zhang, </w:t>
      </w:r>
      <w:r w:rsidRPr="002B5B4E">
        <w:rPr>
          <w:rFonts w:ascii="Arial" w:hAnsi="Arial" w:cs="Arial"/>
          <w:sz w:val="24"/>
          <w:szCs w:val="24"/>
        </w:rPr>
        <w:t>Yan Liao, Wei Luo,</w:t>
      </w:r>
      <w:r w:rsidRPr="002B5B4E">
        <w:rPr>
          <w:rFonts w:ascii="Arial" w:hAnsi="Arial" w:cs="Arial"/>
          <w:sz w:val="24"/>
          <w:szCs w:val="24"/>
          <w:vertAlign w:val="superscript"/>
        </w:rPr>
        <w:t xml:space="preserve"> </w:t>
      </w:r>
      <w:r w:rsidRPr="002B5B4E">
        <w:rPr>
          <w:rFonts w:ascii="Arial" w:hAnsi="Arial" w:cs="Arial"/>
          <w:sz w:val="24"/>
          <w:szCs w:val="24"/>
        </w:rPr>
        <w:t xml:space="preserve">Sha Wang, Jiawei Ding, Jie Huang, </w:t>
      </w:r>
      <w:proofErr w:type="spellStart"/>
      <w:r w:rsidRPr="002B5B4E">
        <w:rPr>
          <w:rFonts w:ascii="Arial" w:hAnsi="Arial" w:cs="Arial"/>
          <w:sz w:val="24"/>
          <w:szCs w:val="24"/>
        </w:rPr>
        <w:t>Mengling</w:t>
      </w:r>
      <w:proofErr w:type="spellEnd"/>
      <w:r w:rsidRPr="002B5B4E">
        <w:rPr>
          <w:rFonts w:ascii="Arial" w:hAnsi="Arial" w:cs="Arial"/>
          <w:sz w:val="24"/>
          <w:szCs w:val="24"/>
        </w:rPr>
        <w:t xml:space="preserve"> Chen, </w:t>
      </w:r>
      <w:proofErr w:type="spellStart"/>
      <w:r w:rsidRPr="002B5B4E">
        <w:rPr>
          <w:rFonts w:ascii="Arial" w:hAnsi="Arial" w:cs="Arial"/>
          <w:sz w:val="24"/>
          <w:szCs w:val="24"/>
        </w:rPr>
        <w:t>Shencun</w:t>
      </w:r>
      <w:proofErr w:type="spellEnd"/>
      <w:r w:rsidRPr="002B5B4E">
        <w:rPr>
          <w:rFonts w:ascii="Arial" w:hAnsi="Arial" w:cs="Arial"/>
          <w:sz w:val="24"/>
          <w:szCs w:val="24"/>
        </w:rPr>
        <w:t xml:space="preserve"> Fang, Jie Chao</w:t>
      </w:r>
    </w:p>
    <w:p w14:paraId="4631611E" w14:textId="77777777" w:rsidR="007650D0" w:rsidRPr="00555C9D" w:rsidRDefault="007650D0" w:rsidP="000E35B3">
      <w:pPr>
        <w:spacing w:line="480" w:lineRule="auto"/>
        <w:contextualSpacing/>
        <w:rPr>
          <w:rFonts w:ascii="Arial" w:hAnsi="Arial" w:cs="Arial"/>
          <w:b/>
          <w:sz w:val="24"/>
          <w:szCs w:val="24"/>
        </w:rPr>
      </w:pPr>
    </w:p>
    <w:p w14:paraId="6F679177" w14:textId="77777777" w:rsidR="007650D0" w:rsidRDefault="008B7892" w:rsidP="000E35B3">
      <w:pPr>
        <w:spacing w:line="480" w:lineRule="auto"/>
        <w:contextualSpacing/>
        <w:rPr>
          <w:rFonts w:ascii="Arial" w:hAnsi="Arial" w:cs="Arial"/>
          <w:b/>
          <w:sz w:val="24"/>
          <w:szCs w:val="24"/>
        </w:rPr>
      </w:pPr>
      <w:r w:rsidRPr="002B5B4E">
        <w:rPr>
          <w:rFonts w:ascii="Arial" w:hAnsi="Arial" w:cs="Arial"/>
          <w:b/>
          <w:sz w:val="24"/>
          <w:szCs w:val="24"/>
        </w:rPr>
        <w:t>Table of contents</w:t>
      </w:r>
    </w:p>
    <w:p w14:paraId="42C067D1" w14:textId="25F5891E" w:rsidR="00284B57" w:rsidRPr="000E35B3" w:rsidRDefault="009A1468" w:rsidP="000E35B3">
      <w:pPr>
        <w:tabs>
          <w:tab w:val="right" w:pos="8640"/>
        </w:tabs>
        <w:spacing w:line="480" w:lineRule="auto"/>
        <w:contextualSpacing/>
        <w:rPr>
          <w:rFonts w:ascii="Arial" w:hAnsi="Arial" w:cs="Arial"/>
          <w:sz w:val="24"/>
          <w:szCs w:val="24"/>
        </w:rPr>
      </w:pPr>
      <w:r w:rsidRPr="000E35B3">
        <w:rPr>
          <w:rFonts w:ascii="Arial" w:hAnsi="Arial" w:cs="Arial"/>
          <w:sz w:val="24"/>
          <w:szCs w:val="24"/>
        </w:rPr>
        <w:t>Material and methods</w:t>
      </w:r>
      <w:r>
        <w:rPr>
          <w:rFonts w:ascii="Arial" w:hAnsi="Arial" w:cs="Arial"/>
          <w:sz w:val="24"/>
          <w:szCs w:val="24"/>
        </w:rPr>
        <w:t xml:space="preserve">                                               2</w:t>
      </w:r>
      <w:r w:rsidR="000E35B3">
        <w:rPr>
          <w:rFonts w:ascii="Arial" w:hAnsi="Arial" w:cs="Arial"/>
          <w:sz w:val="24"/>
          <w:szCs w:val="24"/>
        </w:rPr>
        <w:t>-4</w:t>
      </w:r>
    </w:p>
    <w:p w14:paraId="73446CB3" w14:textId="7AA5BA75" w:rsidR="007650D0" w:rsidRPr="002B5B4E" w:rsidRDefault="00CB164C" w:rsidP="000E35B3">
      <w:pPr>
        <w:tabs>
          <w:tab w:val="right" w:pos="8640"/>
        </w:tabs>
        <w:spacing w:line="480" w:lineRule="auto"/>
        <w:contextualSpacing/>
        <w:rPr>
          <w:rFonts w:ascii="Arial" w:hAnsi="Arial" w:cs="Arial"/>
          <w:sz w:val="24"/>
          <w:szCs w:val="24"/>
        </w:rPr>
      </w:pPr>
      <w:r w:rsidRPr="002B5B4E">
        <w:rPr>
          <w:rFonts w:ascii="Arial" w:hAnsi="Arial" w:cs="Arial"/>
          <w:sz w:val="24"/>
          <w:szCs w:val="24"/>
        </w:rPr>
        <w:t xml:space="preserve">Supplementary Figure S1                                             </w:t>
      </w:r>
      <w:r w:rsidR="009A1468">
        <w:rPr>
          <w:rFonts w:ascii="Arial" w:hAnsi="Arial" w:cs="Arial"/>
          <w:sz w:val="24"/>
          <w:szCs w:val="24"/>
        </w:rPr>
        <w:t>5</w:t>
      </w:r>
    </w:p>
    <w:p w14:paraId="230B1394" w14:textId="42EF23C6" w:rsidR="007650D0" w:rsidRPr="002B5B4E" w:rsidRDefault="00CB164C" w:rsidP="000E35B3">
      <w:pPr>
        <w:tabs>
          <w:tab w:val="right" w:pos="8640"/>
        </w:tabs>
        <w:spacing w:line="480" w:lineRule="auto"/>
        <w:contextualSpacing/>
        <w:rPr>
          <w:rFonts w:ascii="Arial" w:hAnsi="Arial" w:cs="Arial"/>
          <w:sz w:val="24"/>
          <w:szCs w:val="24"/>
        </w:rPr>
      </w:pPr>
      <w:r w:rsidRPr="002B5B4E">
        <w:rPr>
          <w:rFonts w:ascii="Arial" w:hAnsi="Arial" w:cs="Arial"/>
          <w:sz w:val="24"/>
          <w:szCs w:val="24"/>
        </w:rPr>
        <w:t xml:space="preserve">Supplementary Figure S2                                             </w:t>
      </w:r>
      <w:r w:rsidR="009A1468">
        <w:rPr>
          <w:rFonts w:ascii="Arial" w:hAnsi="Arial" w:cs="Arial"/>
          <w:sz w:val="24"/>
          <w:szCs w:val="24"/>
        </w:rPr>
        <w:t>6</w:t>
      </w:r>
    </w:p>
    <w:p w14:paraId="7AFAD4AD" w14:textId="6B3C33C6" w:rsidR="007650D0" w:rsidRDefault="00CB164C" w:rsidP="000E35B3">
      <w:pPr>
        <w:tabs>
          <w:tab w:val="right" w:pos="8640"/>
        </w:tabs>
        <w:spacing w:line="480" w:lineRule="auto"/>
        <w:contextualSpacing/>
        <w:rPr>
          <w:rFonts w:ascii="Arial" w:hAnsi="Arial" w:cs="Arial"/>
          <w:sz w:val="24"/>
          <w:szCs w:val="24"/>
        </w:rPr>
      </w:pPr>
      <w:r w:rsidRPr="002B5B4E">
        <w:rPr>
          <w:rFonts w:ascii="Arial" w:hAnsi="Arial" w:cs="Arial"/>
          <w:sz w:val="24"/>
          <w:szCs w:val="24"/>
        </w:rPr>
        <w:t xml:space="preserve">Supplementary Figure S3                                             </w:t>
      </w:r>
      <w:r w:rsidR="009A1468">
        <w:rPr>
          <w:rFonts w:ascii="Arial" w:hAnsi="Arial" w:cs="Arial"/>
          <w:sz w:val="24"/>
          <w:szCs w:val="24"/>
        </w:rPr>
        <w:t>7</w:t>
      </w:r>
    </w:p>
    <w:p w14:paraId="781F1DC3" w14:textId="0CF4CD85" w:rsidR="009F70EA" w:rsidRPr="002B5B4E" w:rsidRDefault="009F70EA" w:rsidP="000E35B3">
      <w:pPr>
        <w:tabs>
          <w:tab w:val="right" w:pos="8640"/>
        </w:tabs>
        <w:spacing w:line="480" w:lineRule="auto"/>
        <w:contextualSpacing/>
        <w:rPr>
          <w:rFonts w:ascii="Arial" w:hAnsi="Arial" w:cs="Arial"/>
          <w:sz w:val="24"/>
          <w:szCs w:val="24"/>
        </w:rPr>
      </w:pPr>
      <w:r w:rsidRPr="002B5B4E">
        <w:rPr>
          <w:rFonts w:ascii="Arial" w:hAnsi="Arial" w:cs="Arial"/>
          <w:sz w:val="24"/>
          <w:szCs w:val="24"/>
        </w:rPr>
        <w:t>Supplementary Figure S</w:t>
      </w:r>
      <w:r w:rsidR="00AD1BF6">
        <w:rPr>
          <w:rFonts w:ascii="Arial" w:hAnsi="Arial" w:cs="Arial"/>
          <w:sz w:val="24"/>
          <w:szCs w:val="24"/>
        </w:rPr>
        <w:t>4</w:t>
      </w:r>
      <w:r w:rsidRPr="002B5B4E">
        <w:rPr>
          <w:rFonts w:ascii="Arial" w:hAnsi="Arial" w:cs="Arial"/>
          <w:sz w:val="24"/>
          <w:szCs w:val="24"/>
        </w:rPr>
        <w:t xml:space="preserve">                                             </w:t>
      </w:r>
      <w:r>
        <w:rPr>
          <w:rFonts w:ascii="Arial" w:hAnsi="Arial" w:cs="Arial"/>
          <w:sz w:val="24"/>
          <w:szCs w:val="24"/>
        </w:rPr>
        <w:t>8</w:t>
      </w:r>
    </w:p>
    <w:p w14:paraId="30AD8FF1" w14:textId="77777777" w:rsidR="007650D0" w:rsidRPr="002B5B4E" w:rsidRDefault="008B7892" w:rsidP="000E35B3">
      <w:pPr>
        <w:widowControl/>
        <w:spacing w:line="480" w:lineRule="auto"/>
        <w:contextualSpacing/>
        <w:rPr>
          <w:rFonts w:ascii="Arial" w:hAnsi="Arial" w:cs="Arial"/>
          <w:sz w:val="24"/>
          <w:szCs w:val="24"/>
        </w:rPr>
      </w:pPr>
      <w:r w:rsidRPr="002B5B4E">
        <w:rPr>
          <w:rFonts w:ascii="Arial" w:hAnsi="Arial" w:cs="Arial"/>
          <w:sz w:val="24"/>
          <w:szCs w:val="24"/>
        </w:rPr>
        <w:br w:type="page"/>
      </w:r>
    </w:p>
    <w:p w14:paraId="699AB36F" w14:textId="4C710A49" w:rsidR="00732A20" w:rsidRDefault="00732A20" w:rsidP="009A1468">
      <w:pPr>
        <w:spacing w:line="480" w:lineRule="auto"/>
        <w:contextualSpacing/>
        <w:rPr>
          <w:rFonts w:ascii="Arial" w:hAnsi="Arial" w:cs="Arial"/>
          <w:b/>
          <w:i/>
          <w:iCs/>
          <w:sz w:val="24"/>
          <w:szCs w:val="24"/>
        </w:rPr>
      </w:pPr>
      <w:r w:rsidRPr="001771C6">
        <w:rPr>
          <w:rFonts w:ascii="Arial" w:hAnsi="Arial" w:cs="Arial"/>
          <w:b/>
          <w:sz w:val="24"/>
          <w:szCs w:val="24"/>
        </w:rPr>
        <w:lastRenderedPageBreak/>
        <w:t>Material and methods</w:t>
      </w:r>
    </w:p>
    <w:p w14:paraId="5C321A4C" w14:textId="2CC0EEF8" w:rsidR="00284B57" w:rsidRPr="001771C6" w:rsidRDefault="00732A20" w:rsidP="000E35B3">
      <w:pPr>
        <w:spacing w:line="480" w:lineRule="auto"/>
        <w:contextualSpacing/>
        <w:rPr>
          <w:rFonts w:ascii="Arial" w:hAnsi="Arial" w:cs="Arial"/>
          <w:b/>
          <w:i/>
          <w:iCs/>
          <w:sz w:val="24"/>
          <w:szCs w:val="24"/>
        </w:rPr>
      </w:pPr>
      <w:r>
        <w:rPr>
          <w:rFonts w:ascii="Arial" w:hAnsi="Arial" w:cs="Arial"/>
          <w:b/>
          <w:i/>
          <w:iCs/>
          <w:sz w:val="24"/>
          <w:szCs w:val="24"/>
        </w:rPr>
        <w:t>1.</w:t>
      </w:r>
      <w:r w:rsidR="00284B57" w:rsidRPr="001771C6">
        <w:rPr>
          <w:rFonts w:ascii="Arial" w:hAnsi="Arial" w:cs="Arial"/>
          <w:b/>
          <w:i/>
          <w:iCs/>
          <w:sz w:val="24"/>
          <w:szCs w:val="24"/>
        </w:rPr>
        <w:t xml:space="preserve"> Western blot analysis</w:t>
      </w:r>
    </w:p>
    <w:p w14:paraId="0927C123"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 xml:space="preserve">Western blot analysis was performed as </w:t>
      </w:r>
      <w:r w:rsidRPr="001771C6">
        <w:rPr>
          <w:rFonts w:ascii="Arial" w:eastAsia="宋体" w:hAnsi="Arial" w:cs="Arial"/>
          <w:sz w:val="24"/>
          <w:szCs w:val="24"/>
        </w:rPr>
        <w:t xml:space="preserve">described </w:t>
      </w:r>
      <w:r w:rsidRPr="001771C6">
        <w:rPr>
          <w:rFonts w:ascii="Arial" w:hAnsi="Arial" w:cs="Arial"/>
          <w:sz w:val="24"/>
          <w:szCs w:val="24"/>
        </w:rPr>
        <w:t xml:space="preserve">in a previous study </w:t>
      </w:r>
      <w:r w:rsidRPr="001771C6">
        <w:rPr>
          <w:rFonts w:ascii="Arial" w:hAnsi="Arial" w:cs="Arial"/>
          <w:sz w:val="24"/>
          <w:szCs w:val="24"/>
        </w:rPr>
        <w:fldChar w:fldCharType="begin"/>
      </w:r>
      <w:r w:rsidRPr="001771C6">
        <w:rPr>
          <w:rFonts w:ascii="Arial" w:hAnsi="Arial" w:cs="Arial"/>
          <w:sz w:val="24"/>
          <w:szCs w:val="24"/>
        </w:rPr>
        <w:instrText xml:space="preserve"> ADDIN EN.CITE &lt;EndNote&gt;&lt;Cite&gt;&lt;Author&gt;Ruan&lt;/Author&gt;&lt;Year&gt;2012&lt;/Year&gt;&lt;RecNum&gt;48&lt;/RecNum&gt;&lt;DisplayText&gt;[14]&lt;/DisplayText&gt;&lt;record&gt;&lt;rec-number&gt;48&lt;/rec-number&gt;&lt;foreign-keys&gt;&lt;key app="EN" db-id="9vteprdx7992vlep52hvxptjptpex952s50w" timestamp="1626358656"&gt;48&lt;/key&gt;&lt;/foreign-keys&gt;&lt;ref-type name="Journal Article"&gt;17&lt;/ref-type&gt;&lt;contributors&gt;&lt;authors&gt;&lt;author&gt;Ruan, Xiangyan&lt;/author&gt;&lt;author&gt;Schneck, Helen&lt;/author&gt;&lt;author&gt;Schultz, Silke&lt;/author&gt;&lt;author&gt;Fehm, Tanja&lt;/author&gt;&lt;author&gt;Cahill, Michael A.&lt;/author&gt;&lt;author&gt;Seeger, Harald&lt;/author&gt;&lt;author&gt;Chen, Rong&lt;/author&gt;&lt;author&gt;Yu, Qi&lt;/author&gt;&lt;author&gt;Mueck, Alfred O.&lt;/author&gt;&lt;author&gt;Neubauer, Hans&lt;/author&gt;&lt;/authors&gt;&lt;/contributors&gt;&lt;auth-address&gt;Beijing Ob/Gyn Hospital, Capital Medical University, Beijing, China.&lt;/auth-address&gt;&lt;titles&gt;&lt;title&gt;Nomegestrol acetate sequentially or continuously combined to estradiol did not negatively affect membrane-receptor associated progestogenic effects in human breast cancer cells&lt;/title&gt;&lt;secondary-title&gt;Gynecol Endocrinol&lt;/secondary-title&gt;&lt;alt-title&gt;Gynecol Endocrinol&lt;/alt-title&gt;&lt;/titles&gt;&lt;periodical&gt;&lt;full-title&gt;Gynecological endocrinology : the official journal of the International Society of Gynecological Endocrinology&lt;/full-title&gt;&lt;abbr-1&gt;Gynecol Endocrinol&lt;/abbr-1&gt;&lt;/periodical&gt;&lt;alt-periodical&gt;&lt;full-title&gt;Gynecological endocrinology : the official journal of the International Society of Gynecological Endocrinology&lt;/full-title&gt;&lt;abbr-1&gt;Gynecol Endocrinol&lt;/abbr-1&gt;&lt;/alt-periodical&gt;&lt;pages&gt;863-866&lt;/pages&gt;&lt;volume&gt;28&lt;/volume&gt;&lt;number&gt;11&lt;/number&gt;&lt;dates&gt;&lt;year&gt;2012&lt;/year&gt;&lt;/dates&gt;&lt;isbn&gt;1473-0766&lt;/isbn&gt;&lt;accession-num&gt;22494101&lt;/accession-num&gt;&lt;urls&gt;&lt;related-urls&gt;&lt;url&gt;&lt;style face="underline" font="default" size="100%"&gt;https://pubmed.ncbi.nlm.nih.gov/22494101&lt;/style&gt;&lt;/url&gt;&lt;/related-urls&gt;&lt;/urls&gt;&lt;electronic-resource-num&gt;10.3109/09513590.2012.671396&lt;/electronic-resource-num&gt;&lt;remote-database-name&gt;PubMed&lt;/remote-database-name&gt;&lt;language&gt;eng&lt;/language&gt;&lt;/record&gt;&lt;/Cite&gt;&lt;/EndNote&gt;</w:instrText>
      </w:r>
      <w:r w:rsidRPr="001771C6">
        <w:rPr>
          <w:rFonts w:ascii="Arial" w:hAnsi="Arial" w:cs="Arial"/>
          <w:sz w:val="24"/>
          <w:szCs w:val="24"/>
        </w:rPr>
        <w:fldChar w:fldCharType="separate"/>
      </w:r>
      <w:r w:rsidRPr="001771C6">
        <w:rPr>
          <w:rFonts w:ascii="Arial" w:hAnsi="Arial" w:cs="Arial"/>
          <w:noProof/>
          <w:sz w:val="24"/>
          <w:szCs w:val="24"/>
        </w:rPr>
        <w:t>[14]</w:t>
      </w:r>
      <w:r w:rsidRPr="001771C6">
        <w:rPr>
          <w:rFonts w:ascii="Arial" w:hAnsi="Arial" w:cs="Arial"/>
          <w:sz w:val="24"/>
          <w:szCs w:val="24"/>
        </w:rPr>
        <w:fldChar w:fldCharType="end"/>
      </w:r>
      <w:r w:rsidRPr="001771C6">
        <w:rPr>
          <w:rFonts w:ascii="Arial" w:hAnsi="Arial" w:cs="Arial"/>
          <w:sz w:val="24"/>
          <w:szCs w:val="24"/>
        </w:rPr>
        <w:t xml:space="preserve">. Primary antibodies against ZC3H4 (1:1000), </w:t>
      </w:r>
      <w:proofErr w:type="spellStart"/>
      <w:r w:rsidRPr="001771C6">
        <w:rPr>
          <w:rFonts w:ascii="Arial" w:hAnsi="Arial" w:cs="Arial"/>
          <w:sz w:val="24"/>
          <w:szCs w:val="24"/>
        </w:rPr>
        <w:t>TrkB</w:t>
      </w:r>
      <w:proofErr w:type="spellEnd"/>
      <w:r w:rsidRPr="001771C6">
        <w:rPr>
          <w:rFonts w:ascii="Arial" w:hAnsi="Arial" w:cs="Arial"/>
          <w:sz w:val="24"/>
          <w:szCs w:val="24"/>
        </w:rPr>
        <w:t xml:space="preserve"> (1:800), Caspase-3 (1:500), Cleaved Caspase-3 (1:500), JNK (1:1000), p-JNK (1:1000), </w:t>
      </w:r>
      <w:proofErr w:type="spellStart"/>
      <w:r w:rsidRPr="001771C6">
        <w:rPr>
          <w:rFonts w:ascii="Arial" w:hAnsi="Arial" w:cs="Arial"/>
          <w:sz w:val="24"/>
          <w:szCs w:val="24"/>
        </w:rPr>
        <w:t>Akt</w:t>
      </w:r>
      <w:proofErr w:type="spellEnd"/>
      <w:r w:rsidRPr="001771C6">
        <w:rPr>
          <w:rFonts w:ascii="Arial" w:hAnsi="Arial" w:cs="Arial"/>
          <w:sz w:val="24"/>
          <w:szCs w:val="24"/>
        </w:rPr>
        <w:t xml:space="preserve"> (1:1000), p-</w:t>
      </w:r>
      <w:proofErr w:type="spellStart"/>
      <w:r w:rsidRPr="001771C6">
        <w:rPr>
          <w:rFonts w:ascii="Arial" w:hAnsi="Arial" w:cs="Arial"/>
          <w:sz w:val="24"/>
          <w:szCs w:val="24"/>
        </w:rPr>
        <w:t>Akt</w:t>
      </w:r>
      <w:proofErr w:type="spellEnd"/>
      <w:r w:rsidRPr="001771C6">
        <w:rPr>
          <w:rFonts w:ascii="Arial" w:hAnsi="Arial" w:cs="Arial"/>
          <w:sz w:val="24"/>
          <w:szCs w:val="24"/>
        </w:rPr>
        <w:t xml:space="preserve"> (1:1000), P38 (1:1000), p-P38 (1:1000), </w:t>
      </w:r>
      <w:proofErr w:type="spellStart"/>
      <w:r w:rsidRPr="001771C6">
        <w:rPr>
          <w:rFonts w:ascii="Arial" w:hAnsi="Arial" w:cs="Arial"/>
          <w:sz w:val="24"/>
          <w:szCs w:val="24"/>
        </w:rPr>
        <w:t>Bax</w:t>
      </w:r>
      <w:proofErr w:type="spellEnd"/>
      <w:r w:rsidRPr="001771C6">
        <w:rPr>
          <w:rFonts w:ascii="Arial" w:hAnsi="Arial" w:cs="Arial"/>
          <w:sz w:val="24"/>
          <w:szCs w:val="24"/>
        </w:rPr>
        <w:t xml:space="preserve"> (1:1000), </w:t>
      </w:r>
      <w:proofErr w:type="spellStart"/>
      <w:r w:rsidRPr="001771C6">
        <w:rPr>
          <w:rFonts w:ascii="Arial" w:hAnsi="Arial" w:cs="Arial"/>
          <w:sz w:val="24"/>
          <w:szCs w:val="24"/>
        </w:rPr>
        <w:t>Npnt</w:t>
      </w:r>
      <w:proofErr w:type="spellEnd"/>
      <w:r w:rsidRPr="001771C6">
        <w:rPr>
          <w:rFonts w:ascii="Arial" w:eastAsia="宋体" w:hAnsi="Arial" w:cs="Arial"/>
          <w:sz w:val="24"/>
          <w:szCs w:val="24"/>
        </w:rPr>
        <w:t xml:space="preserve"> </w:t>
      </w:r>
      <w:r w:rsidRPr="001771C6">
        <w:rPr>
          <w:rFonts w:ascii="Arial" w:hAnsi="Arial" w:cs="Arial"/>
          <w:sz w:val="24"/>
          <w:szCs w:val="24"/>
        </w:rPr>
        <w:t xml:space="preserve">(1:1000) and </w:t>
      </w:r>
      <w:proofErr w:type="spellStart"/>
      <w:r w:rsidRPr="001771C6">
        <w:rPr>
          <w:rFonts w:ascii="Arial" w:hAnsi="Arial" w:cs="Arial"/>
          <w:sz w:val="24"/>
          <w:szCs w:val="24"/>
        </w:rPr>
        <w:t>Bcl-xL</w:t>
      </w:r>
      <w:proofErr w:type="spellEnd"/>
      <w:r w:rsidRPr="001771C6">
        <w:rPr>
          <w:rFonts w:ascii="Arial" w:hAnsi="Arial" w:cs="Arial"/>
          <w:sz w:val="24"/>
          <w:szCs w:val="24"/>
        </w:rPr>
        <w:t xml:space="preserve"> (1:1000) were used. All western blots are representative of three or more independent experiments. The protein band intensities were quantiﬁed using ImageJ v1.48 software.</w:t>
      </w:r>
    </w:p>
    <w:p w14:paraId="213BD35E" w14:textId="6E05C695" w:rsidR="00284B57" w:rsidRPr="001771C6" w:rsidRDefault="00284B57" w:rsidP="000E35B3">
      <w:pPr>
        <w:spacing w:line="480" w:lineRule="auto"/>
        <w:contextualSpacing/>
        <w:rPr>
          <w:rFonts w:ascii="Arial" w:hAnsi="Arial" w:cs="Arial"/>
          <w:b/>
          <w:i/>
          <w:iCs/>
          <w:sz w:val="24"/>
          <w:szCs w:val="24"/>
        </w:rPr>
      </w:pPr>
      <w:r w:rsidRPr="001771C6">
        <w:rPr>
          <w:rFonts w:ascii="Arial" w:hAnsi="Arial" w:cs="Arial"/>
          <w:b/>
          <w:i/>
          <w:iCs/>
          <w:sz w:val="24"/>
          <w:szCs w:val="24"/>
        </w:rPr>
        <w:t>2. Immunofluorescence staining</w:t>
      </w:r>
    </w:p>
    <w:p w14:paraId="0F2870B4"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 xml:space="preserve">The mouse lung tissue was fixed with OCT gel. When the OCT gel </w:t>
      </w:r>
      <w:r w:rsidRPr="001771C6">
        <w:rPr>
          <w:rFonts w:ascii="Arial" w:eastAsia="宋体" w:hAnsi="Arial" w:cs="Arial"/>
          <w:sz w:val="24"/>
          <w:szCs w:val="24"/>
        </w:rPr>
        <w:t xml:space="preserve">solidified, </w:t>
      </w:r>
      <w:r w:rsidRPr="001771C6">
        <w:rPr>
          <w:rFonts w:ascii="Arial" w:hAnsi="Arial" w:cs="Arial"/>
          <w:sz w:val="24"/>
          <w:szCs w:val="24"/>
        </w:rPr>
        <w:t xml:space="preserve">5- to 10-μm-thick </w:t>
      </w:r>
      <w:r w:rsidRPr="001771C6">
        <w:rPr>
          <w:rFonts w:ascii="Arial" w:eastAsia="宋体" w:hAnsi="Arial" w:cs="Arial"/>
          <w:sz w:val="24"/>
          <w:szCs w:val="24"/>
        </w:rPr>
        <w:t xml:space="preserve">tissue slices </w:t>
      </w:r>
      <w:r w:rsidRPr="001771C6">
        <w:rPr>
          <w:rFonts w:ascii="Arial" w:hAnsi="Arial" w:cs="Arial"/>
          <w:sz w:val="24"/>
          <w:szCs w:val="24"/>
        </w:rPr>
        <w:t xml:space="preserve">were </w:t>
      </w:r>
      <w:r w:rsidRPr="001771C6">
        <w:rPr>
          <w:rFonts w:ascii="Arial" w:eastAsia="宋体" w:hAnsi="Arial" w:cs="Arial"/>
          <w:sz w:val="24"/>
          <w:szCs w:val="24"/>
        </w:rPr>
        <w:t>obtained</w:t>
      </w:r>
      <w:r w:rsidRPr="001771C6">
        <w:rPr>
          <w:rFonts w:ascii="Arial" w:hAnsi="Arial" w:cs="Arial"/>
          <w:sz w:val="24"/>
          <w:szCs w:val="24"/>
        </w:rPr>
        <w:t xml:space="preserve"> by frozen </w:t>
      </w:r>
      <w:r w:rsidRPr="001771C6">
        <w:rPr>
          <w:rFonts w:ascii="Arial" w:eastAsia="宋体" w:hAnsi="Arial" w:cs="Arial"/>
          <w:sz w:val="24"/>
          <w:szCs w:val="24"/>
        </w:rPr>
        <w:t>sectioning</w:t>
      </w:r>
      <w:r w:rsidRPr="001771C6">
        <w:rPr>
          <w:rFonts w:ascii="Arial" w:hAnsi="Arial" w:cs="Arial"/>
          <w:sz w:val="24"/>
          <w:szCs w:val="24"/>
        </w:rPr>
        <w:t xml:space="preserve"> and set on slides. The edge of the slides was surrounded with hydrogel</w:t>
      </w:r>
      <w:r w:rsidRPr="001771C6">
        <w:rPr>
          <w:rFonts w:ascii="Arial" w:eastAsia="宋体" w:hAnsi="Arial" w:cs="Arial"/>
          <w:sz w:val="24"/>
          <w:szCs w:val="24"/>
        </w:rPr>
        <w:t>,</w:t>
      </w:r>
      <w:r w:rsidRPr="001771C6">
        <w:rPr>
          <w:rFonts w:ascii="Arial" w:hAnsi="Arial" w:cs="Arial"/>
          <w:sz w:val="24"/>
          <w:szCs w:val="24"/>
        </w:rPr>
        <w:t xml:space="preserve"> and the sections were fixed with 4% paraformaldehyde. The OCT glue was removed with PBS before the slides were blocked with 10% normal goat serum in 0.3% Triton X-100 for </w:t>
      </w:r>
      <w:r w:rsidRPr="001771C6">
        <w:rPr>
          <w:rFonts w:ascii="Arial" w:eastAsia="宋体" w:hAnsi="Arial" w:cs="Arial"/>
          <w:sz w:val="24"/>
          <w:szCs w:val="24"/>
        </w:rPr>
        <w:t>2 h</w:t>
      </w:r>
      <w:r w:rsidRPr="001771C6">
        <w:rPr>
          <w:rFonts w:ascii="Arial" w:hAnsi="Arial" w:cs="Arial"/>
          <w:sz w:val="24"/>
          <w:szCs w:val="24"/>
        </w:rPr>
        <w:t xml:space="preserve"> at room temperature followed by incubation with primary antibodies targeting ZC3H4</w:t>
      </w:r>
      <w:r w:rsidRPr="001771C6">
        <w:rPr>
          <w:rFonts w:ascii="Arial" w:eastAsia="宋体" w:hAnsi="Arial" w:cs="Arial"/>
          <w:sz w:val="24"/>
          <w:szCs w:val="24"/>
        </w:rPr>
        <w:t>,</w:t>
      </w:r>
      <w:r w:rsidRPr="001771C6">
        <w:rPr>
          <w:rFonts w:ascii="Arial" w:hAnsi="Arial" w:cs="Arial"/>
          <w:sz w:val="24"/>
          <w:szCs w:val="24"/>
        </w:rPr>
        <w:t xml:space="preserve"> </w:t>
      </w:r>
      <w:proofErr w:type="spellStart"/>
      <w:r w:rsidRPr="001771C6">
        <w:rPr>
          <w:rFonts w:ascii="Arial" w:hAnsi="Arial" w:cs="Arial"/>
          <w:sz w:val="24"/>
          <w:szCs w:val="24"/>
        </w:rPr>
        <w:t>TrkB</w:t>
      </w:r>
      <w:proofErr w:type="spellEnd"/>
      <w:r w:rsidRPr="001771C6">
        <w:rPr>
          <w:rFonts w:ascii="Arial" w:hAnsi="Arial" w:cs="Arial"/>
          <w:sz w:val="24"/>
          <w:szCs w:val="24"/>
        </w:rPr>
        <w:t xml:space="preserve"> or </w:t>
      </w:r>
      <w:proofErr w:type="spellStart"/>
      <w:r w:rsidRPr="001771C6">
        <w:rPr>
          <w:rFonts w:ascii="Arial" w:hAnsi="Arial" w:cs="Arial"/>
          <w:sz w:val="24"/>
          <w:szCs w:val="24"/>
        </w:rPr>
        <w:t>Npnt</w:t>
      </w:r>
      <w:proofErr w:type="spellEnd"/>
      <w:r w:rsidRPr="001771C6">
        <w:rPr>
          <w:rFonts w:ascii="Arial" w:hAnsi="Arial" w:cs="Arial"/>
          <w:sz w:val="24"/>
          <w:szCs w:val="24"/>
        </w:rPr>
        <w:t xml:space="preserve"> at 4°C overnight. The next day, the tissue </w:t>
      </w:r>
      <w:r w:rsidRPr="001771C6">
        <w:rPr>
          <w:rFonts w:ascii="Arial" w:eastAsia="宋体" w:hAnsi="Arial" w:cs="Arial"/>
          <w:sz w:val="24"/>
          <w:szCs w:val="24"/>
        </w:rPr>
        <w:t>was</w:t>
      </w:r>
      <w:r w:rsidRPr="001771C6">
        <w:rPr>
          <w:rFonts w:ascii="Arial" w:hAnsi="Arial" w:cs="Arial"/>
          <w:sz w:val="24"/>
          <w:szCs w:val="24"/>
        </w:rPr>
        <w:t xml:space="preserve"> incubated with the appropriate fluorescent secondary antibodies (Alexa Fluor, Thermo Fisher Scientific). A fluorescence microscope (Olympus IX70, Olympus America, Inc., Center Valley, PA, USA) was used to observe the tissue.</w:t>
      </w:r>
    </w:p>
    <w:p w14:paraId="2D618464" w14:textId="1514CA04" w:rsidR="00284B57" w:rsidRPr="001771C6" w:rsidRDefault="00732A20" w:rsidP="000E35B3">
      <w:pPr>
        <w:spacing w:line="480" w:lineRule="auto"/>
        <w:contextualSpacing/>
        <w:rPr>
          <w:rFonts w:ascii="Arial" w:hAnsi="Arial" w:cs="Arial"/>
          <w:b/>
          <w:i/>
          <w:iCs/>
          <w:sz w:val="24"/>
          <w:szCs w:val="24"/>
        </w:rPr>
      </w:pPr>
      <w:r>
        <w:rPr>
          <w:rFonts w:ascii="Arial" w:hAnsi="Arial" w:cs="Arial"/>
          <w:b/>
          <w:i/>
          <w:iCs/>
          <w:sz w:val="24"/>
          <w:szCs w:val="24"/>
        </w:rPr>
        <w:t>3</w:t>
      </w:r>
      <w:r w:rsidR="00284B57" w:rsidRPr="001771C6">
        <w:rPr>
          <w:rFonts w:ascii="Arial" w:hAnsi="Arial" w:cs="Arial"/>
          <w:b/>
          <w:i/>
          <w:iCs/>
          <w:sz w:val="24"/>
          <w:szCs w:val="24"/>
        </w:rPr>
        <w:t>. Cell viability</w:t>
      </w:r>
    </w:p>
    <w:p w14:paraId="1120BEEE"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 xml:space="preserve">Cells were seeded </w:t>
      </w:r>
      <w:r w:rsidRPr="001771C6">
        <w:rPr>
          <w:rFonts w:ascii="Arial" w:eastAsia="宋体" w:hAnsi="Arial" w:cs="Arial"/>
          <w:sz w:val="24"/>
          <w:szCs w:val="24"/>
        </w:rPr>
        <w:t>in</w:t>
      </w:r>
      <w:r w:rsidRPr="001771C6">
        <w:rPr>
          <w:rFonts w:ascii="Arial" w:hAnsi="Arial" w:cs="Arial"/>
          <w:sz w:val="24"/>
          <w:szCs w:val="24"/>
        </w:rPr>
        <w:t xml:space="preserve"> 96-well</w:t>
      </w:r>
      <w:r w:rsidRPr="001771C6">
        <w:rPr>
          <w:rFonts w:ascii="Arial" w:eastAsia="宋体" w:hAnsi="Arial" w:cs="Arial"/>
          <w:sz w:val="24"/>
          <w:szCs w:val="24"/>
        </w:rPr>
        <w:t xml:space="preserve"> plates at 5000</w:t>
      </w:r>
      <w:r w:rsidRPr="001771C6">
        <w:rPr>
          <w:rFonts w:ascii="Arial" w:hAnsi="Arial" w:cs="Arial"/>
          <w:sz w:val="24"/>
          <w:szCs w:val="24"/>
        </w:rPr>
        <w:t xml:space="preserve"> per well and stimulated </w:t>
      </w:r>
      <w:r w:rsidRPr="001771C6">
        <w:rPr>
          <w:rFonts w:ascii="Arial" w:eastAsia="宋体" w:hAnsi="Arial" w:cs="Arial"/>
          <w:sz w:val="24"/>
          <w:szCs w:val="24"/>
        </w:rPr>
        <w:t>with macrophage-</w:t>
      </w:r>
      <w:r w:rsidRPr="001771C6">
        <w:rPr>
          <w:rFonts w:ascii="Arial" w:hAnsi="Arial" w:cs="Arial"/>
          <w:sz w:val="24"/>
          <w:szCs w:val="24"/>
        </w:rPr>
        <w:t xml:space="preserve">conditioned medium (CM). After the reaction, CCK8 </w:t>
      </w:r>
      <w:r w:rsidRPr="001771C6">
        <w:rPr>
          <w:rFonts w:ascii="Arial" w:eastAsia="宋体" w:hAnsi="Arial" w:cs="Arial"/>
          <w:sz w:val="24"/>
          <w:szCs w:val="24"/>
        </w:rPr>
        <w:t>reagent</w:t>
      </w:r>
      <w:r w:rsidRPr="001771C6">
        <w:rPr>
          <w:rFonts w:ascii="Arial" w:hAnsi="Arial" w:cs="Arial"/>
          <w:sz w:val="24"/>
          <w:szCs w:val="24"/>
        </w:rPr>
        <w:t xml:space="preserve"> (</w:t>
      </w:r>
      <w:proofErr w:type="spellStart"/>
      <w:r w:rsidRPr="001771C6">
        <w:rPr>
          <w:rFonts w:ascii="Arial" w:hAnsi="Arial" w:cs="Arial"/>
          <w:sz w:val="24"/>
          <w:szCs w:val="24"/>
        </w:rPr>
        <w:t>APExBIO</w:t>
      </w:r>
      <w:proofErr w:type="spellEnd"/>
      <w:r w:rsidRPr="001771C6">
        <w:rPr>
          <w:rFonts w:ascii="Arial" w:hAnsi="Arial" w:cs="Arial"/>
          <w:sz w:val="24"/>
          <w:szCs w:val="24"/>
        </w:rPr>
        <w:t xml:space="preserve">, USA) was added </w:t>
      </w:r>
      <w:r w:rsidRPr="001771C6">
        <w:rPr>
          <w:rFonts w:ascii="Arial" w:hAnsi="Arial" w:cs="Arial"/>
          <w:sz w:val="24"/>
          <w:szCs w:val="24"/>
        </w:rPr>
        <w:lastRenderedPageBreak/>
        <w:t xml:space="preserve">at a ratio of 10:1 and incubated with the cells for </w:t>
      </w:r>
      <w:r w:rsidRPr="001771C6">
        <w:rPr>
          <w:rFonts w:ascii="Arial" w:eastAsia="宋体" w:hAnsi="Arial" w:cs="Arial"/>
          <w:sz w:val="24"/>
          <w:szCs w:val="24"/>
        </w:rPr>
        <w:t xml:space="preserve">30 min </w:t>
      </w:r>
      <w:r w:rsidRPr="001771C6">
        <w:rPr>
          <w:rFonts w:ascii="Arial" w:hAnsi="Arial" w:cs="Arial"/>
          <w:sz w:val="24"/>
          <w:szCs w:val="24"/>
        </w:rPr>
        <w:t xml:space="preserve">in the dark. Finally, the absorbance at </w:t>
      </w:r>
      <w:r w:rsidRPr="001771C6">
        <w:rPr>
          <w:rFonts w:ascii="Arial" w:eastAsia="宋体" w:hAnsi="Arial" w:cs="Arial"/>
          <w:sz w:val="24"/>
          <w:szCs w:val="24"/>
        </w:rPr>
        <w:t>450 nm</w:t>
      </w:r>
      <w:r w:rsidRPr="001771C6">
        <w:rPr>
          <w:rFonts w:ascii="Arial" w:hAnsi="Arial" w:cs="Arial"/>
          <w:sz w:val="24"/>
          <w:szCs w:val="24"/>
        </w:rPr>
        <w:t xml:space="preserve"> was measured with a microplate reader (</w:t>
      </w:r>
      <w:proofErr w:type="spellStart"/>
      <w:r w:rsidRPr="001771C6">
        <w:rPr>
          <w:rFonts w:ascii="Arial" w:hAnsi="Arial" w:cs="Arial"/>
          <w:sz w:val="24"/>
          <w:szCs w:val="24"/>
        </w:rPr>
        <w:t>BioTek</w:t>
      </w:r>
      <w:proofErr w:type="spellEnd"/>
      <w:r w:rsidRPr="001771C6">
        <w:rPr>
          <w:rFonts w:ascii="Arial" w:hAnsi="Arial" w:cs="Arial"/>
          <w:sz w:val="24"/>
          <w:szCs w:val="24"/>
        </w:rPr>
        <w:t>, USA)</w:t>
      </w:r>
    </w:p>
    <w:p w14:paraId="0DA7FC0A" w14:textId="4D91D429" w:rsidR="00284B57" w:rsidRPr="001771C6" w:rsidRDefault="00732A20" w:rsidP="000E35B3">
      <w:pPr>
        <w:spacing w:line="480" w:lineRule="auto"/>
        <w:contextualSpacing/>
        <w:rPr>
          <w:rFonts w:ascii="Arial" w:hAnsi="Arial" w:cs="Arial"/>
          <w:b/>
          <w:i/>
          <w:iCs/>
          <w:sz w:val="24"/>
          <w:szCs w:val="24"/>
        </w:rPr>
      </w:pPr>
      <w:r>
        <w:rPr>
          <w:rFonts w:ascii="Arial" w:hAnsi="Arial" w:cs="Arial"/>
          <w:b/>
          <w:i/>
          <w:iCs/>
          <w:sz w:val="24"/>
          <w:szCs w:val="24"/>
        </w:rPr>
        <w:t>4</w:t>
      </w:r>
      <w:r w:rsidR="00284B57" w:rsidRPr="001771C6">
        <w:rPr>
          <w:rFonts w:ascii="Arial" w:hAnsi="Arial" w:cs="Arial"/>
          <w:b/>
          <w:i/>
          <w:iCs/>
          <w:sz w:val="24"/>
          <w:szCs w:val="24"/>
        </w:rPr>
        <w:t>. Quantitative reverse transcription-polymerase chain reaction (</w:t>
      </w:r>
      <w:proofErr w:type="spellStart"/>
      <w:r w:rsidR="00284B57" w:rsidRPr="001771C6">
        <w:rPr>
          <w:rFonts w:ascii="Arial" w:hAnsi="Arial" w:cs="Arial"/>
          <w:b/>
          <w:i/>
          <w:iCs/>
          <w:sz w:val="24"/>
          <w:szCs w:val="24"/>
        </w:rPr>
        <w:t>qRT</w:t>
      </w:r>
      <w:proofErr w:type="spellEnd"/>
      <w:r w:rsidR="00284B57" w:rsidRPr="001771C6">
        <w:rPr>
          <w:rFonts w:ascii="Arial" w:hAnsi="Arial" w:cs="Arial"/>
          <w:b/>
          <w:i/>
          <w:iCs/>
          <w:sz w:val="24"/>
          <w:szCs w:val="24"/>
        </w:rPr>
        <w:t>-PCR)</w:t>
      </w:r>
    </w:p>
    <w:p w14:paraId="007CC807"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Real-time quantitative PCR (</w:t>
      </w:r>
      <w:proofErr w:type="spellStart"/>
      <w:r w:rsidRPr="001771C6">
        <w:rPr>
          <w:rFonts w:ascii="Arial" w:hAnsi="Arial" w:cs="Arial"/>
          <w:sz w:val="24"/>
          <w:szCs w:val="24"/>
        </w:rPr>
        <w:t>qRT</w:t>
      </w:r>
      <w:proofErr w:type="spellEnd"/>
      <w:r w:rsidRPr="001771C6">
        <w:rPr>
          <w:rFonts w:ascii="Arial" w:hAnsi="Arial" w:cs="Arial"/>
          <w:sz w:val="24"/>
          <w:szCs w:val="24"/>
        </w:rPr>
        <w:t xml:space="preserve">-PCR) was performed to determine the relative expression of circ-ZC3H4 </w:t>
      </w:r>
      <w:proofErr w:type="spellStart"/>
      <w:r w:rsidRPr="001771C6">
        <w:rPr>
          <w:rFonts w:ascii="Arial" w:hAnsi="Arial" w:cs="Arial"/>
          <w:sz w:val="24"/>
          <w:szCs w:val="24"/>
        </w:rPr>
        <w:t>circRNA</w:t>
      </w:r>
      <w:proofErr w:type="spellEnd"/>
      <w:r w:rsidRPr="001771C6">
        <w:rPr>
          <w:rFonts w:ascii="Arial" w:hAnsi="Arial" w:cs="Arial"/>
          <w:sz w:val="24"/>
          <w:szCs w:val="24"/>
        </w:rPr>
        <w:t xml:space="preserve"> and Zc3h4 mRNA. Total RNA was extracted from HPF-a cells with </w:t>
      </w:r>
      <w:proofErr w:type="spellStart"/>
      <w:r w:rsidRPr="001771C6">
        <w:rPr>
          <w:rFonts w:ascii="Arial" w:eastAsia="宋体" w:hAnsi="Arial" w:cs="Arial"/>
          <w:sz w:val="24"/>
          <w:szCs w:val="24"/>
        </w:rPr>
        <w:t>TRIzol</w:t>
      </w:r>
      <w:proofErr w:type="spellEnd"/>
      <w:r w:rsidRPr="001771C6">
        <w:rPr>
          <w:rFonts w:ascii="Arial" w:hAnsi="Arial" w:cs="Arial"/>
          <w:sz w:val="24"/>
          <w:szCs w:val="24"/>
        </w:rPr>
        <w:t xml:space="preserve"> reagent (Invitrogen) according to the manufacturer’s instructions. After the extraction of total RNA, the concentration was measured on a </w:t>
      </w:r>
      <w:proofErr w:type="spellStart"/>
      <w:r w:rsidRPr="001771C6">
        <w:rPr>
          <w:rFonts w:ascii="Arial" w:hAnsi="Arial" w:cs="Arial"/>
          <w:sz w:val="24"/>
          <w:szCs w:val="24"/>
        </w:rPr>
        <w:t>NanoDrop</w:t>
      </w:r>
      <w:proofErr w:type="spellEnd"/>
      <w:r w:rsidRPr="001771C6">
        <w:rPr>
          <w:rFonts w:ascii="Arial" w:hAnsi="Arial" w:cs="Arial"/>
          <w:sz w:val="24"/>
          <w:szCs w:val="24"/>
        </w:rPr>
        <w:t xml:space="preserve"> One (Thermo Fisher Scientific). The volumes of the samples were adjusted, and </w:t>
      </w:r>
      <w:r w:rsidRPr="001771C6">
        <w:rPr>
          <w:rFonts w:ascii="Arial" w:eastAsia="宋体" w:hAnsi="Arial" w:cs="Arial"/>
          <w:sz w:val="24"/>
          <w:szCs w:val="24"/>
        </w:rPr>
        <w:t>300 ng</w:t>
      </w:r>
      <w:r w:rsidRPr="001771C6">
        <w:rPr>
          <w:rFonts w:ascii="Arial" w:hAnsi="Arial" w:cs="Arial"/>
          <w:sz w:val="24"/>
          <w:szCs w:val="24"/>
        </w:rPr>
        <w:t xml:space="preserve"> or </w:t>
      </w:r>
      <w:r w:rsidRPr="001771C6">
        <w:rPr>
          <w:rFonts w:ascii="Arial" w:eastAsia="宋体" w:hAnsi="Arial" w:cs="Arial"/>
          <w:sz w:val="24"/>
          <w:szCs w:val="24"/>
        </w:rPr>
        <w:t>400 ng</w:t>
      </w:r>
      <w:r w:rsidRPr="001771C6">
        <w:rPr>
          <w:rFonts w:ascii="Arial" w:hAnsi="Arial" w:cs="Arial"/>
          <w:sz w:val="24"/>
          <w:szCs w:val="24"/>
        </w:rPr>
        <w:t xml:space="preserve"> of RNA was reverse-transcribed into cDNA, which were used as templates for real-time </w:t>
      </w:r>
      <w:proofErr w:type="spellStart"/>
      <w:r w:rsidRPr="001771C6">
        <w:rPr>
          <w:rFonts w:ascii="Arial" w:hAnsi="Arial" w:cs="Arial"/>
          <w:sz w:val="24"/>
          <w:szCs w:val="24"/>
        </w:rPr>
        <w:t>qRT</w:t>
      </w:r>
      <w:proofErr w:type="spellEnd"/>
      <w:r w:rsidRPr="001771C6">
        <w:rPr>
          <w:rFonts w:ascii="Arial" w:hAnsi="Arial" w:cs="Arial"/>
          <w:sz w:val="24"/>
          <w:szCs w:val="24"/>
        </w:rPr>
        <w:t xml:space="preserve">-PCR. The cycle threshold (Ct) and ΔCT values were analyzed. The ΔΔCT quantification method was applied using </w:t>
      </w:r>
      <w:proofErr w:type="spellStart"/>
      <w:r w:rsidRPr="001771C6">
        <w:rPr>
          <w:rFonts w:ascii="Arial" w:hAnsi="Arial" w:cs="Arial"/>
          <w:sz w:val="24"/>
          <w:szCs w:val="24"/>
        </w:rPr>
        <w:t>Opticon</w:t>
      </w:r>
      <w:proofErr w:type="spellEnd"/>
      <w:r w:rsidRPr="001771C6">
        <w:rPr>
          <w:rFonts w:ascii="Arial" w:hAnsi="Arial" w:cs="Arial"/>
          <w:sz w:val="24"/>
          <w:szCs w:val="24"/>
        </w:rPr>
        <w:t xml:space="preserve"> Monitor software (Bio-Rad). The relative quantitative expression of RNA was normalized to that of GAPDH (endogenous reference gene).</w:t>
      </w:r>
    </w:p>
    <w:p w14:paraId="495534E2" w14:textId="368170BB" w:rsidR="00284B57" w:rsidRPr="001771C6" w:rsidRDefault="00732A20" w:rsidP="000E35B3">
      <w:pPr>
        <w:spacing w:line="480" w:lineRule="auto"/>
        <w:contextualSpacing/>
        <w:rPr>
          <w:rFonts w:ascii="Arial" w:hAnsi="Arial" w:cs="Arial"/>
          <w:b/>
          <w:i/>
          <w:iCs/>
          <w:sz w:val="24"/>
          <w:szCs w:val="24"/>
        </w:rPr>
      </w:pPr>
      <w:r>
        <w:rPr>
          <w:rFonts w:ascii="Arial" w:hAnsi="Arial" w:cs="Arial"/>
          <w:b/>
          <w:i/>
          <w:iCs/>
          <w:sz w:val="24"/>
          <w:szCs w:val="24"/>
        </w:rPr>
        <w:t>5</w:t>
      </w:r>
      <w:r w:rsidR="00284B57" w:rsidRPr="001771C6">
        <w:rPr>
          <w:rFonts w:ascii="Arial" w:hAnsi="Arial" w:cs="Arial"/>
          <w:b/>
          <w:i/>
          <w:iCs/>
          <w:sz w:val="24"/>
          <w:szCs w:val="24"/>
        </w:rPr>
        <w:t>. Apoptosis cell assessment by ﬂow cytometry</w:t>
      </w:r>
    </w:p>
    <w:p w14:paraId="64DA9B1D"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FCM was performed according to the manufacturer’s instructions (</w:t>
      </w:r>
      <w:proofErr w:type="spellStart"/>
      <w:r w:rsidRPr="001771C6">
        <w:rPr>
          <w:rFonts w:ascii="Arial" w:hAnsi="Arial" w:cs="Arial"/>
          <w:sz w:val="24"/>
          <w:szCs w:val="24"/>
        </w:rPr>
        <w:t>Keygentec</w:t>
      </w:r>
      <w:proofErr w:type="spellEnd"/>
      <w:r w:rsidRPr="001771C6">
        <w:rPr>
          <w:rFonts w:ascii="Arial" w:hAnsi="Arial" w:cs="Arial"/>
          <w:sz w:val="24"/>
          <w:szCs w:val="24"/>
        </w:rPr>
        <w:t>, KGA108, China). The stained cells were incubated in the dark for at least</w:t>
      </w:r>
      <w:r w:rsidRPr="001771C6">
        <w:rPr>
          <w:rFonts w:ascii="Arial" w:eastAsia="宋体" w:hAnsi="Arial" w:cs="Arial"/>
          <w:sz w:val="24"/>
          <w:szCs w:val="24"/>
        </w:rPr>
        <w:t xml:space="preserve"> 15 min</w:t>
      </w:r>
      <w:r w:rsidRPr="001771C6">
        <w:rPr>
          <w:rFonts w:ascii="Arial" w:hAnsi="Arial" w:cs="Arial"/>
          <w:sz w:val="24"/>
          <w:szCs w:val="24"/>
        </w:rPr>
        <w:t xml:space="preserve"> at 4°C, and the percentages of apoptotic cells were quantiﬁed using a </w:t>
      </w:r>
      <w:proofErr w:type="spellStart"/>
      <w:r w:rsidRPr="001771C6">
        <w:rPr>
          <w:rFonts w:ascii="Arial" w:hAnsi="Arial" w:cs="Arial"/>
          <w:sz w:val="24"/>
          <w:szCs w:val="24"/>
        </w:rPr>
        <w:t>FACSCalibur</w:t>
      </w:r>
      <w:proofErr w:type="spellEnd"/>
      <w:r w:rsidRPr="001771C6">
        <w:rPr>
          <w:rFonts w:ascii="Arial" w:hAnsi="Arial" w:cs="Arial"/>
          <w:sz w:val="24"/>
          <w:szCs w:val="24"/>
        </w:rPr>
        <w:t xml:space="preserve"> ﬂow cytometer within 1 h of staining.</w:t>
      </w:r>
    </w:p>
    <w:p w14:paraId="543950AB" w14:textId="5ED63C03" w:rsidR="00284B57" w:rsidRPr="001771C6" w:rsidRDefault="00732A20" w:rsidP="000E35B3">
      <w:pPr>
        <w:spacing w:line="480" w:lineRule="auto"/>
        <w:contextualSpacing/>
        <w:rPr>
          <w:rFonts w:ascii="Arial" w:hAnsi="Arial" w:cs="Arial"/>
          <w:b/>
          <w:i/>
          <w:iCs/>
          <w:sz w:val="24"/>
          <w:szCs w:val="24"/>
        </w:rPr>
      </w:pPr>
      <w:r>
        <w:rPr>
          <w:rFonts w:ascii="Arial" w:hAnsi="Arial" w:cs="Arial"/>
          <w:b/>
          <w:i/>
          <w:iCs/>
          <w:sz w:val="24"/>
          <w:szCs w:val="24"/>
        </w:rPr>
        <w:t>6</w:t>
      </w:r>
      <w:r w:rsidR="00284B57" w:rsidRPr="001771C6">
        <w:rPr>
          <w:rFonts w:ascii="Arial" w:hAnsi="Arial" w:cs="Arial"/>
          <w:b/>
          <w:i/>
          <w:iCs/>
          <w:sz w:val="24"/>
          <w:szCs w:val="24"/>
        </w:rPr>
        <w:t>. Nested matrix model and cell migration assay</w:t>
      </w:r>
    </w:p>
    <w:p w14:paraId="35D892F4" w14:textId="77777777" w:rsidR="00284B57" w:rsidRPr="001771C6" w:rsidRDefault="00284B57" w:rsidP="000E35B3">
      <w:pPr>
        <w:spacing w:line="480" w:lineRule="auto"/>
        <w:contextualSpacing/>
        <w:rPr>
          <w:rFonts w:ascii="Arial" w:hAnsi="Arial" w:cs="Arial"/>
          <w:sz w:val="24"/>
          <w:szCs w:val="24"/>
        </w:rPr>
      </w:pPr>
      <w:r w:rsidRPr="001771C6">
        <w:rPr>
          <w:rFonts w:ascii="Arial" w:hAnsi="Arial" w:cs="Arial"/>
          <w:sz w:val="24"/>
          <w:szCs w:val="24"/>
        </w:rPr>
        <w:t xml:space="preserve">As mentioned earlier, we used a three-dimensional (3D) migration model with some modifications </w:t>
      </w:r>
      <w:r w:rsidRPr="001771C6">
        <w:rPr>
          <w:rFonts w:ascii="Arial" w:hAnsi="Arial" w:cs="Arial"/>
          <w:sz w:val="24"/>
          <w:szCs w:val="24"/>
        </w:rPr>
        <w:fldChar w:fldCharType="begin">
          <w:fldData xml:space="preserve">PEVuZE5vdGU+PENpdGU+PEF1dGhvcj5DaGFvPC9BdXRob3I+PFllYXI+MjAxNTwvWWVhcj48UmVj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</w:fldData>
        </w:fldChar>
      </w:r>
      <w:r w:rsidRPr="001771C6">
        <w:rPr>
          <w:rFonts w:ascii="Arial" w:hAnsi="Arial" w:cs="Arial"/>
          <w:sz w:val="24"/>
          <w:szCs w:val="24"/>
        </w:rPr>
        <w:instrText xml:space="preserve"> ADDIN EN.CITE </w:instrText>
      </w:r>
      <w:r w:rsidRPr="001771C6">
        <w:rPr>
          <w:rFonts w:ascii="Arial" w:hAnsi="Arial" w:cs="Arial"/>
          <w:sz w:val="24"/>
          <w:szCs w:val="24"/>
        </w:rPr>
        <w:fldChar w:fldCharType="begin">
          <w:fldData xml:space="preserve">PEVuZE5vdGU+PENpdGU+PEF1dGhvcj5DaGFvPC9BdXRob3I+PFllYXI+MjAxNTwvWWVhcj48UmVj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</w:fldData>
        </w:fldChar>
      </w:r>
      <w:r w:rsidRPr="001771C6">
        <w:rPr>
          <w:rFonts w:ascii="Arial" w:hAnsi="Arial" w:cs="Arial"/>
          <w:sz w:val="24"/>
          <w:szCs w:val="24"/>
        </w:rPr>
        <w:instrText xml:space="preserve"> ADDIN EN.CITE.DATA </w:instrText>
      </w:r>
      <w:r w:rsidRPr="001771C6">
        <w:rPr>
          <w:rFonts w:ascii="Arial" w:hAnsi="Arial" w:cs="Arial"/>
          <w:sz w:val="24"/>
          <w:szCs w:val="24"/>
        </w:rPr>
      </w:r>
      <w:r w:rsidRPr="001771C6">
        <w:rPr>
          <w:rFonts w:ascii="Arial" w:hAnsi="Arial" w:cs="Arial"/>
          <w:sz w:val="24"/>
          <w:szCs w:val="24"/>
        </w:rPr>
        <w:fldChar w:fldCharType="end"/>
      </w:r>
      <w:r w:rsidRPr="001771C6">
        <w:rPr>
          <w:rFonts w:ascii="Arial" w:hAnsi="Arial" w:cs="Arial"/>
          <w:sz w:val="24"/>
          <w:szCs w:val="24"/>
        </w:rPr>
      </w:r>
      <w:r w:rsidRPr="001771C6">
        <w:rPr>
          <w:rFonts w:ascii="Arial" w:hAnsi="Arial" w:cs="Arial"/>
          <w:sz w:val="24"/>
          <w:szCs w:val="24"/>
        </w:rPr>
        <w:fldChar w:fldCharType="separate"/>
      </w:r>
      <w:r w:rsidRPr="001771C6">
        <w:rPr>
          <w:rFonts w:ascii="Arial" w:hAnsi="Arial" w:cs="Arial"/>
          <w:noProof/>
          <w:sz w:val="24"/>
          <w:szCs w:val="24"/>
        </w:rPr>
        <w:t>[16]</w:t>
      </w:r>
      <w:r w:rsidRPr="001771C6">
        <w:rPr>
          <w:rFonts w:ascii="Arial" w:hAnsi="Arial" w:cs="Arial"/>
          <w:sz w:val="24"/>
          <w:szCs w:val="24"/>
        </w:rPr>
        <w:fldChar w:fldCharType="end"/>
      </w:r>
      <w:r w:rsidRPr="001771C6">
        <w:rPr>
          <w:rFonts w:ascii="Arial" w:hAnsi="Arial" w:cs="Arial"/>
          <w:sz w:val="24"/>
          <w:szCs w:val="24"/>
        </w:rPr>
        <w:t>.</w:t>
      </w:r>
      <w:r w:rsidRPr="001771C6">
        <w:rPr>
          <w:rFonts w:ascii="Arial" w:eastAsia="宋体" w:hAnsi="Arial" w:cs="Arial"/>
          <w:sz w:val="24"/>
          <w:szCs w:val="24"/>
        </w:rPr>
        <w:t xml:space="preserve"> </w:t>
      </w:r>
      <w:r w:rsidRPr="001771C6">
        <w:rPr>
          <w:rFonts w:ascii="Arial" w:hAnsi="Arial" w:cs="Arial"/>
          <w:sz w:val="24"/>
          <w:szCs w:val="24"/>
        </w:rPr>
        <w:t xml:space="preserve">For the nested attachment matrix, standard fibroblasts were </w:t>
      </w:r>
      <w:r w:rsidRPr="001771C6">
        <w:rPr>
          <w:rFonts w:ascii="Arial" w:hAnsi="Arial" w:cs="Arial"/>
          <w:sz w:val="24"/>
          <w:szCs w:val="24"/>
        </w:rPr>
        <w:lastRenderedPageBreak/>
        <w:t>transplanted into ECM and incubated for 48 h in the attachment state in DMEM containing 5% FBS. The ECM was then removed from the culture well and placed into 60 mL of fresh acellular collagen matrix solution centered around the scratch area (</w:t>
      </w:r>
      <w:r w:rsidRPr="001771C6">
        <w:rPr>
          <w:rFonts w:ascii="Arial" w:eastAsia="宋体" w:hAnsi="Arial" w:cs="Arial"/>
          <w:sz w:val="24"/>
          <w:szCs w:val="24"/>
        </w:rPr>
        <w:t>12 mm</w:t>
      </w:r>
      <w:r w:rsidRPr="001771C6">
        <w:rPr>
          <w:rFonts w:ascii="Arial" w:hAnsi="Arial" w:cs="Arial"/>
          <w:sz w:val="24"/>
          <w:szCs w:val="24"/>
        </w:rPr>
        <w:t xml:space="preserve"> diameter). The newly metastatic fibroblast-populated collagen matrix (FPCM) was then covered with 140 mL of acellular collagen matrix solution. The matrix system was polymerized at 37°C and </w:t>
      </w:r>
      <w:r w:rsidRPr="001771C6">
        <w:rPr>
          <w:rFonts w:ascii="Arial" w:eastAsia="宋体" w:hAnsi="Arial" w:cs="Arial"/>
          <w:sz w:val="24"/>
          <w:szCs w:val="24"/>
        </w:rPr>
        <w:t>5% CO2</w:t>
      </w:r>
      <w:r w:rsidRPr="001771C6">
        <w:rPr>
          <w:rFonts w:ascii="Arial" w:hAnsi="Arial" w:cs="Arial"/>
          <w:sz w:val="24"/>
          <w:szCs w:val="24"/>
        </w:rPr>
        <w:t xml:space="preserve"> for </w:t>
      </w:r>
      <w:r w:rsidRPr="001771C6">
        <w:rPr>
          <w:rFonts w:ascii="Arial" w:eastAsia="宋体" w:hAnsi="Arial" w:cs="Arial"/>
          <w:sz w:val="24"/>
          <w:szCs w:val="24"/>
        </w:rPr>
        <w:t>1 h</w:t>
      </w:r>
      <w:r w:rsidRPr="001771C6">
        <w:rPr>
          <w:rFonts w:ascii="Arial" w:hAnsi="Arial" w:cs="Arial"/>
          <w:sz w:val="24"/>
          <w:szCs w:val="24"/>
        </w:rPr>
        <w:t>. Then</w:t>
      </w:r>
      <w:r w:rsidRPr="001771C6">
        <w:rPr>
          <w:rFonts w:ascii="Arial" w:eastAsia="宋体" w:hAnsi="Arial" w:cs="Arial"/>
          <w:sz w:val="24"/>
          <w:szCs w:val="24"/>
        </w:rPr>
        <w:t>, 1 mL</w:t>
      </w:r>
      <w:r w:rsidRPr="001771C6">
        <w:rPr>
          <w:rFonts w:ascii="Arial" w:hAnsi="Arial" w:cs="Arial"/>
          <w:sz w:val="24"/>
          <w:szCs w:val="24"/>
        </w:rPr>
        <w:t xml:space="preserve"> of DMEM containing 10% FBS was added to the well. In these experiments, we used CM derived from THP-1 macrophages. </w:t>
      </w:r>
      <w:r w:rsidRPr="001771C6">
        <w:rPr>
          <w:rFonts w:ascii="Arial" w:eastAsia="宋体" w:hAnsi="Arial" w:cs="Arial"/>
          <w:sz w:val="24"/>
          <w:szCs w:val="24"/>
        </w:rPr>
        <w:t xml:space="preserve">Fresh </w:t>
      </w:r>
      <w:r w:rsidRPr="001771C6">
        <w:rPr>
          <w:rFonts w:ascii="Arial" w:hAnsi="Arial" w:cs="Arial"/>
          <w:sz w:val="24"/>
          <w:szCs w:val="24"/>
        </w:rPr>
        <w:t xml:space="preserve">medium was mixed with the prepared CM </w:t>
      </w:r>
      <w:r w:rsidRPr="001771C6">
        <w:rPr>
          <w:rFonts w:ascii="Arial" w:eastAsia="宋体" w:hAnsi="Arial" w:cs="Arial"/>
          <w:sz w:val="24"/>
          <w:szCs w:val="24"/>
        </w:rPr>
        <w:t>at</w:t>
      </w:r>
      <w:r w:rsidRPr="001771C6">
        <w:rPr>
          <w:rFonts w:ascii="Arial" w:hAnsi="Arial" w:cs="Arial"/>
          <w:sz w:val="24"/>
          <w:szCs w:val="24"/>
        </w:rPr>
        <w:t xml:space="preserve"> a 1:1 ratio. The migration of cells from </w:t>
      </w:r>
      <w:r w:rsidRPr="001771C6">
        <w:rPr>
          <w:rFonts w:ascii="Arial" w:eastAsia="宋体" w:hAnsi="Arial" w:cs="Arial"/>
          <w:sz w:val="24"/>
          <w:szCs w:val="24"/>
        </w:rPr>
        <w:t xml:space="preserve">the </w:t>
      </w:r>
      <w:r w:rsidRPr="001771C6">
        <w:rPr>
          <w:rFonts w:ascii="Arial" w:hAnsi="Arial" w:cs="Arial"/>
          <w:sz w:val="24"/>
          <w:szCs w:val="24"/>
        </w:rPr>
        <w:t xml:space="preserve">ECM to </w:t>
      </w:r>
      <w:r w:rsidRPr="001771C6">
        <w:rPr>
          <w:rFonts w:ascii="Arial" w:eastAsia="宋体" w:hAnsi="Arial" w:cs="Arial"/>
          <w:sz w:val="24"/>
          <w:szCs w:val="24"/>
        </w:rPr>
        <w:t xml:space="preserve">the </w:t>
      </w:r>
      <w:r w:rsidRPr="001771C6">
        <w:rPr>
          <w:rFonts w:ascii="Arial" w:hAnsi="Arial" w:cs="Arial"/>
          <w:sz w:val="24"/>
          <w:szCs w:val="24"/>
        </w:rPr>
        <w:t>acellular matrix was observed. Cell migration observed at 6, 12, and 24 h by fluorescence microscopy was compared with that observed at 0 h. Digital images of the interface between the ECM and the acellular matrix were captured using an EVOS FL cell imaging microscope (Thermo Fisher Scientific). Migration of lung fibroblasts (PFB) from the ECM was quantified by counting the number of cells that significantly migrated from the nested matrix to the acellular matrix</w:t>
      </w:r>
      <w:r w:rsidRPr="001771C6">
        <w:rPr>
          <w:rFonts w:ascii="Arial" w:eastAsia="宋体" w:hAnsi="Arial" w:cs="Arial"/>
          <w:sz w:val="24"/>
          <w:szCs w:val="24"/>
        </w:rPr>
        <w:t>.</w:t>
      </w:r>
      <w:r w:rsidRPr="001771C6">
        <w:rPr>
          <w:rFonts w:ascii="Arial" w:hAnsi="Arial" w:cs="Arial"/>
          <w:sz w:val="24"/>
          <w:szCs w:val="24"/>
        </w:rPr>
        <w:t xml:space="preserve"> The maximum migration distance </w:t>
      </w:r>
      <w:r w:rsidRPr="001771C6">
        <w:rPr>
          <w:rFonts w:ascii="Arial" w:eastAsia="宋体" w:hAnsi="Arial" w:cs="Arial"/>
          <w:sz w:val="24"/>
          <w:szCs w:val="24"/>
        </w:rPr>
        <w:t xml:space="preserve">was </w:t>
      </w:r>
      <w:r w:rsidRPr="001771C6">
        <w:rPr>
          <w:rFonts w:ascii="Arial" w:hAnsi="Arial" w:cs="Arial"/>
          <w:sz w:val="24"/>
          <w:szCs w:val="24"/>
        </w:rPr>
        <w:t>quantified by determining the cell with the maximum distance from the nested matrix to the element-free matrix and measuring that distance. The average number of cells in each field that migrated from the nested matrix and the maximum migration distance of each field were recorded.</w:t>
      </w:r>
    </w:p>
    <w:p w14:paraId="4A8205DB" w14:textId="389970C7" w:rsidR="001A1EAC" w:rsidRDefault="001A1EAC" w:rsidP="000E35B3">
      <w:pPr>
        <w:spacing w:line="480" w:lineRule="auto"/>
        <w:contextualSpacing/>
        <w:rPr>
          <w:rFonts w:ascii="Arial" w:hAnsi="Arial" w:cs="Arial"/>
          <w:sz w:val="24"/>
          <w:szCs w:val="24"/>
        </w:rPr>
      </w:pPr>
    </w:p>
    <w:p w14:paraId="48E816F5" w14:textId="77777777" w:rsidR="00284B57" w:rsidRDefault="00284B57" w:rsidP="000E35B3">
      <w:pPr>
        <w:spacing w:line="480" w:lineRule="auto"/>
        <w:contextualSpacing/>
        <w:rPr>
          <w:rFonts w:ascii="Arial" w:hAnsi="Arial" w:cs="Arial"/>
          <w:sz w:val="24"/>
          <w:szCs w:val="24"/>
        </w:rPr>
      </w:pPr>
    </w:p>
    <w:p w14:paraId="0DD11EF6" w14:textId="4B0E26B7" w:rsidR="00284B57" w:rsidRDefault="00284B57" w:rsidP="000E35B3">
      <w:pPr>
        <w:widowControl/>
        <w:rPr>
          <w:rFonts w:ascii="Arial" w:hAnsi="Arial" w:cs="Arial"/>
          <w:sz w:val="24"/>
          <w:szCs w:val="24"/>
        </w:rPr>
      </w:pPr>
      <w:r>
        <w:rPr>
          <w:rFonts w:ascii="Arial" w:hAnsi="Arial" w:cs="Arial"/>
          <w:sz w:val="24"/>
          <w:szCs w:val="24"/>
        </w:rPr>
        <w:br w:type="page"/>
      </w:r>
    </w:p>
    <w:p w14:paraId="78F00B06" w14:textId="490ECB9E" w:rsidR="00284B57" w:rsidRPr="002B5B4E" w:rsidRDefault="00732A20" w:rsidP="000E35B3">
      <w:pPr>
        <w:spacing w:line="480" w:lineRule="auto"/>
        <w:contextualSpacing/>
        <w:jc w:val="center"/>
        <w:rPr>
          <w:rFonts w:ascii="Arial" w:hAnsi="Arial" w:cs="Arial"/>
          <w:sz w:val="24"/>
          <w:szCs w:val="24"/>
        </w:rPr>
      </w:pPr>
      <w:r>
        <w:rPr>
          <w:rFonts w:ascii="Arial" w:hAnsi="Arial" w:cs="Arial" w:hint="eastAsia"/>
          <w:noProof/>
          <w:sz w:val="24"/>
          <w:szCs w:val="24"/>
        </w:rPr>
        <w:lastRenderedPageBreak/>
        <w:drawing>
          <wp:inline distT="0" distB="0" distL="0" distR="0" wp14:anchorId="57A636A7" wp14:editId="2DF514F7">
            <wp:extent cx="5005633" cy="4185501"/>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幻灯片1.TIF"/>
                    <pic:cNvPicPr/>
                  </pic:nvPicPr>
                  <pic:blipFill rotWithShape="1">
                    <a:blip r:embed="rId7">
                      <a:extLst>
                        <a:ext uri="{28A0092B-C50C-407E-A947-70E740481C1C}">
                          <a14:useLocalDpi xmlns:a14="http://schemas.microsoft.com/office/drawing/2010/main" val="0"/>
                        </a:ext>
                      </a:extLst>
                    </a:blip>
                    <a:srcRect l="4184" t="13860" r="6956" b="35276"/>
                    <a:stretch/>
                  </pic:blipFill>
                  <pic:spPr bwMode="auto">
                    <a:xfrm>
                      <a:off x="0" y="0"/>
                      <a:ext cx="5006143" cy="4185927"/>
                    </a:xfrm>
                    <a:prstGeom prst="rect">
                      <a:avLst/>
                    </a:prstGeom>
                    <a:ln>
                      <a:noFill/>
                    </a:ln>
                    <a:extLst>
                      <a:ext uri="{53640926-AAD7-44D8-BBD7-CCE9431645EC}">
                        <a14:shadowObscured xmlns:a14="http://schemas.microsoft.com/office/drawing/2010/main"/>
                      </a:ext>
                    </a:extLst>
                  </pic:spPr>
                </pic:pic>
              </a:graphicData>
            </a:graphic>
          </wp:inline>
        </w:drawing>
      </w:r>
    </w:p>
    <w:p w14:paraId="792781DD" w14:textId="343B16B0" w:rsidR="001A1EAC" w:rsidRPr="002B5B4E" w:rsidRDefault="008B7892" w:rsidP="000E35B3">
      <w:pPr>
        <w:spacing w:line="480" w:lineRule="auto"/>
        <w:contextualSpacing/>
        <w:rPr>
          <w:rFonts w:ascii="Arial" w:hAnsi="Arial" w:cs="Arial"/>
          <w:sz w:val="24"/>
          <w:szCs w:val="24"/>
        </w:rPr>
      </w:pPr>
      <w:r w:rsidRPr="002B5B4E">
        <w:rPr>
          <w:rFonts w:ascii="Arial" w:hAnsi="Arial" w:cs="Arial"/>
          <w:b/>
          <w:sz w:val="24"/>
          <w:szCs w:val="24"/>
        </w:rPr>
        <w:t xml:space="preserve">Supplementary </w:t>
      </w:r>
      <w:r w:rsidR="002B5B4E">
        <w:rPr>
          <w:rFonts w:ascii="Arial" w:hAnsi="Arial" w:cs="Arial"/>
          <w:b/>
          <w:sz w:val="24"/>
          <w:szCs w:val="24"/>
        </w:rPr>
        <w:t>F</w:t>
      </w:r>
      <w:r w:rsidRPr="002B5B4E">
        <w:rPr>
          <w:rFonts w:ascii="Arial" w:hAnsi="Arial" w:cs="Arial"/>
          <w:b/>
          <w:sz w:val="24"/>
          <w:szCs w:val="24"/>
        </w:rPr>
        <w:t>igure</w:t>
      </w:r>
      <w:r w:rsidRPr="002B5B4E">
        <w:rPr>
          <w:rFonts w:ascii="Arial" w:hAnsi="Arial" w:cs="Arial" w:hint="eastAsia"/>
          <w:b/>
          <w:sz w:val="24"/>
          <w:szCs w:val="24"/>
        </w:rPr>
        <w:t xml:space="preserve"> </w:t>
      </w:r>
      <w:r w:rsidR="002B5B4E">
        <w:rPr>
          <w:rFonts w:ascii="Arial" w:hAnsi="Arial" w:cs="Arial"/>
          <w:b/>
          <w:sz w:val="24"/>
          <w:szCs w:val="24"/>
        </w:rPr>
        <w:t>S</w:t>
      </w:r>
      <w:r w:rsidRPr="002B5B4E">
        <w:rPr>
          <w:rFonts w:ascii="Arial" w:hAnsi="Arial" w:cs="Arial" w:hint="eastAsia"/>
          <w:b/>
          <w:sz w:val="24"/>
          <w:szCs w:val="24"/>
        </w:rPr>
        <w:t>1.</w:t>
      </w:r>
      <w:r w:rsidRPr="002B5B4E">
        <w:rPr>
          <w:rFonts w:ascii="Arial" w:hAnsi="Arial" w:cs="Arial" w:hint="eastAsia"/>
          <w:sz w:val="24"/>
          <w:szCs w:val="24"/>
        </w:rPr>
        <w:t xml:space="preserve"> </w:t>
      </w:r>
      <w:r w:rsidRPr="002B5B4E">
        <w:rPr>
          <w:rFonts w:ascii="Arial" w:hAnsi="Arial" w:cs="Arial"/>
          <w:sz w:val="24"/>
          <w:szCs w:val="24"/>
        </w:rPr>
        <w:t>(</w:t>
      </w:r>
      <w:r w:rsidRPr="002B5B4E">
        <w:rPr>
          <w:rFonts w:ascii="Arial" w:hAnsi="Arial" w:cs="Arial" w:hint="eastAsia"/>
          <w:sz w:val="24"/>
          <w:szCs w:val="24"/>
        </w:rPr>
        <w:t>A</w:t>
      </w:r>
      <w:r w:rsidRPr="002B5B4E">
        <w:rPr>
          <w:rFonts w:ascii="Arial" w:hAnsi="Arial" w:cs="Arial"/>
          <w:sz w:val="24"/>
          <w:szCs w:val="24"/>
        </w:rPr>
        <w:t xml:space="preserve">). </w:t>
      </w:r>
      <w:r w:rsidR="00236FDD" w:rsidRPr="002B5B4E">
        <w:rPr>
          <w:rFonts w:ascii="Arial" w:hAnsi="Arial" w:cs="Arial"/>
          <w:sz w:val="24"/>
          <w:szCs w:val="24"/>
        </w:rPr>
        <w:t>I</w:t>
      </w:r>
      <w:r w:rsidRPr="002B5B4E">
        <w:rPr>
          <w:rFonts w:ascii="Arial" w:hAnsi="Arial" w:cs="Arial"/>
          <w:sz w:val="24"/>
          <w:szCs w:val="24"/>
        </w:rPr>
        <w:t xml:space="preserve">mmunofluorescence staining of the expression of the epithelial marker </w:t>
      </w:r>
      <w:r w:rsidRPr="002B5B4E">
        <w:rPr>
          <w:rFonts w:ascii="Arial" w:hAnsi="Arial" w:cs="Arial" w:hint="eastAsia"/>
          <w:sz w:val="24"/>
          <w:szCs w:val="24"/>
        </w:rPr>
        <w:t>Cdh1</w:t>
      </w:r>
      <w:r w:rsidRPr="002B5B4E">
        <w:rPr>
          <w:rFonts w:ascii="Arial" w:hAnsi="Arial" w:cs="Arial"/>
          <w:sz w:val="24"/>
          <w:szCs w:val="24"/>
        </w:rPr>
        <w:t xml:space="preserve"> and the </w:t>
      </w:r>
      <w:proofErr w:type="spellStart"/>
      <w:r w:rsidR="00236FDD" w:rsidRPr="002B5B4E">
        <w:rPr>
          <w:rFonts w:ascii="Arial" w:hAnsi="Arial" w:cs="Arial"/>
          <w:sz w:val="24"/>
          <w:szCs w:val="24"/>
        </w:rPr>
        <w:t>anoikis</w:t>
      </w:r>
      <w:proofErr w:type="spellEnd"/>
      <w:r w:rsidR="00236FDD" w:rsidRPr="002B5B4E">
        <w:rPr>
          <w:rFonts w:ascii="Arial" w:hAnsi="Arial" w:cs="Arial"/>
          <w:sz w:val="24"/>
          <w:szCs w:val="24"/>
        </w:rPr>
        <w:t xml:space="preserve"> marker</w:t>
      </w:r>
      <w:r w:rsidRPr="002B5B4E">
        <w:rPr>
          <w:rFonts w:ascii="Arial" w:hAnsi="Arial" w:cs="Arial"/>
          <w:sz w:val="24"/>
          <w:szCs w:val="24"/>
        </w:rPr>
        <w:t xml:space="preserve"> </w:t>
      </w:r>
      <w:proofErr w:type="spellStart"/>
      <w:r w:rsidRPr="002B5B4E">
        <w:rPr>
          <w:rFonts w:ascii="Arial" w:hAnsi="Arial" w:cs="Arial"/>
          <w:sz w:val="24"/>
          <w:szCs w:val="24"/>
        </w:rPr>
        <w:t>TrkB</w:t>
      </w:r>
      <w:proofErr w:type="spellEnd"/>
      <w:r w:rsidRPr="002B5B4E">
        <w:rPr>
          <w:rFonts w:ascii="Arial" w:hAnsi="Arial" w:cs="Arial"/>
          <w:sz w:val="24"/>
          <w:szCs w:val="24"/>
        </w:rPr>
        <w:t>. Scale bar=100</w:t>
      </w:r>
      <w:r w:rsidR="00236FDD" w:rsidRPr="002B5B4E">
        <w:rPr>
          <w:rFonts w:ascii="Arial" w:hAnsi="Arial" w:cs="Arial"/>
          <w:sz w:val="24"/>
          <w:szCs w:val="24"/>
        </w:rPr>
        <w:t xml:space="preserve"> </w:t>
      </w:r>
      <w:proofErr w:type="spellStart"/>
      <w:r w:rsidRPr="002B5B4E">
        <w:rPr>
          <w:rFonts w:ascii="Arial" w:hAnsi="Arial" w:cs="Arial"/>
          <w:sz w:val="24"/>
          <w:szCs w:val="24"/>
        </w:rPr>
        <w:t>μm</w:t>
      </w:r>
      <w:proofErr w:type="spellEnd"/>
      <w:r w:rsidRPr="002B5B4E">
        <w:rPr>
          <w:rFonts w:ascii="Arial" w:hAnsi="Arial" w:cs="Arial"/>
          <w:sz w:val="24"/>
          <w:szCs w:val="24"/>
        </w:rPr>
        <w:t>. (</w:t>
      </w:r>
      <w:r w:rsidRPr="002B5B4E">
        <w:rPr>
          <w:rFonts w:ascii="Arial" w:hAnsi="Arial" w:cs="Arial" w:hint="eastAsia"/>
          <w:sz w:val="24"/>
          <w:szCs w:val="24"/>
        </w:rPr>
        <w:t>B</w:t>
      </w:r>
      <w:r w:rsidRPr="002B5B4E">
        <w:rPr>
          <w:rFonts w:ascii="Arial" w:hAnsi="Arial" w:cs="Arial"/>
          <w:sz w:val="24"/>
          <w:szCs w:val="24"/>
        </w:rPr>
        <w:t xml:space="preserve">). </w:t>
      </w:r>
      <w:r w:rsidR="00236FDD" w:rsidRPr="002B5B4E">
        <w:rPr>
          <w:rFonts w:ascii="Arial" w:hAnsi="Arial" w:cs="Arial"/>
          <w:sz w:val="24"/>
          <w:szCs w:val="24"/>
        </w:rPr>
        <w:t>I</w:t>
      </w:r>
      <w:r w:rsidRPr="002B5B4E">
        <w:rPr>
          <w:rFonts w:ascii="Arial" w:hAnsi="Arial" w:cs="Arial"/>
          <w:sz w:val="24"/>
          <w:szCs w:val="24"/>
        </w:rPr>
        <w:t xml:space="preserve">mmunofluorescence staining of the expression of the endothelial cell </w:t>
      </w:r>
      <w:r w:rsidRPr="002B5B4E">
        <w:rPr>
          <w:rFonts w:ascii="Arial" w:eastAsia="宋体" w:hAnsi="Arial" w:cs="Arial"/>
          <w:sz w:val="24"/>
          <w:szCs w:val="24"/>
        </w:rPr>
        <w:t>marker</w:t>
      </w:r>
      <w:r w:rsidRPr="002B5B4E">
        <w:rPr>
          <w:rFonts w:ascii="Arial" w:hAnsi="Arial" w:cs="Arial"/>
          <w:sz w:val="24"/>
          <w:szCs w:val="24"/>
        </w:rPr>
        <w:t xml:space="preserve"> </w:t>
      </w:r>
      <w:r w:rsidRPr="002B5B4E">
        <w:rPr>
          <w:rFonts w:ascii="Arial" w:hAnsi="Arial" w:cs="Arial" w:hint="eastAsia"/>
          <w:sz w:val="24"/>
          <w:szCs w:val="24"/>
        </w:rPr>
        <w:t>Cdh5</w:t>
      </w:r>
      <w:r w:rsidRPr="002B5B4E">
        <w:rPr>
          <w:rFonts w:ascii="Arial" w:hAnsi="Arial" w:cs="Arial"/>
          <w:sz w:val="24"/>
          <w:szCs w:val="24"/>
        </w:rPr>
        <w:t xml:space="preserve"> and the </w:t>
      </w:r>
      <w:proofErr w:type="spellStart"/>
      <w:r w:rsidR="00236FDD" w:rsidRPr="002B5B4E">
        <w:rPr>
          <w:rFonts w:ascii="Arial" w:hAnsi="Arial" w:cs="Arial"/>
          <w:sz w:val="24"/>
          <w:szCs w:val="24"/>
        </w:rPr>
        <w:t>anoikis</w:t>
      </w:r>
      <w:proofErr w:type="spellEnd"/>
      <w:r w:rsidR="00236FDD" w:rsidRPr="002B5B4E">
        <w:rPr>
          <w:rFonts w:ascii="Arial" w:hAnsi="Arial" w:cs="Arial"/>
          <w:sz w:val="24"/>
          <w:szCs w:val="24"/>
        </w:rPr>
        <w:t xml:space="preserve"> marker</w:t>
      </w:r>
      <w:r w:rsidRPr="002B5B4E">
        <w:rPr>
          <w:rFonts w:ascii="Arial" w:hAnsi="Arial" w:cs="Arial"/>
          <w:sz w:val="24"/>
          <w:szCs w:val="24"/>
        </w:rPr>
        <w:t xml:space="preserve"> </w:t>
      </w:r>
      <w:proofErr w:type="spellStart"/>
      <w:r w:rsidRPr="002B5B4E">
        <w:rPr>
          <w:rFonts w:ascii="Arial" w:hAnsi="Arial" w:cs="Arial"/>
          <w:sz w:val="24"/>
          <w:szCs w:val="24"/>
        </w:rPr>
        <w:t>TrkB</w:t>
      </w:r>
      <w:proofErr w:type="spellEnd"/>
      <w:r w:rsidRPr="002B5B4E">
        <w:rPr>
          <w:rFonts w:ascii="Arial" w:hAnsi="Arial" w:cs="Arial"/>
          <w:sz w:val="24"/>
          <w:szCs w:val="24"/>
        </w:rPr>
        <w:t>. Scale bar=100</w:t>
      </w:r>
      <w:r w:rsidR="00236FDD" w:rsidRPr="002B5B4E">
        <w:rPr>
          <w:rFonts w:ascii="Arial" w:hAnsi="Arial" w:cs="Arial"/>
          <w:sz w:val="24"/>
          <w:szCs w:val="24"/>
        </w:rPr>
        <w:t xml:space="preserve"> </w:t>
      </w:r>
      <w:proofErr w:type="spellStart"/>
      <w:r w:rsidRPr="002B5B4E">
        <w:rPr>
          <w:rFonts w:ascii="Arial" w:hAnsi="Arial" w:cs="Arial"/>
          <w:sz w:val="24"/>
          <w:szCs w:val="24"/>
        </w:rPr>
        <w:t>μm</w:t>
      </w:r>
      <w:proofErr w:type="spellEnd"/>
      <w:r w:rsidRPr="002B5B4E">
        <w:rPr>
          <w:rFonts w:ascii="Arial" w:hAnsi="Arial" w:cs="Arial"/>
          <w:sz w:val="24"/>
          <w:szCs w:val="24"/>
        </w:rPr>
        <w:t>.</w:t>
      </w:r>
    </w:p>
    <w:p w14:paraId="7BADFD48" w14:textId="77777777" w:rsidR="007650D0" w:rsidRPr="002B5B4E" w:rsidRDefault="008B7892" w:rsidP="000E35B3">
      <w:pPr>
        <w:widowControl/>
        <w:spacing w:line="480" w:lineRule="auto"/>
        <w:contextualSpacing/>
        <w:rPr>
          <w:rFonts w:ascii="Arial" w:hAnsi="Arial" w:cs="Arial"/>
          <w:sz w:val="24"/>
          <w:szCs w:val="24"/>
        </w:rPr>
      </w:pPr>
      <w:r w:rsidRPr="002B5B4E">
        <w:rPr>
          <w:rFonts w:ascii="Arial" w:hAnsi="Arial" w:cs="Arial"/>
          <w:sz w:val="24"/>
          <w:szCs w:val="24"/>
        </w:rPr>
        <w:br w:type="page"/>
      </w:r>
    </w:p>
    <w:p w14:paraId="4DFA1857" w14:textId="73E7BE54" w:rsidR="001A1EAC" w:rsidRPr="002B5B4E" w:rsidRDefault="00732A20" w:rsidP="000E35B3">
      <w:pPr>
        <w:spacing w:line="480" w:lineRule="auto"/>
        <w:contextualSpacing/>
        <w:jc w:val="center"/>
        <w:rPr>
          <w:rFonts w:ascii="Arial" w:hAnsi="Arial" w:cs="Arial"/>
          <w:sz w:val="24"/>
          <w:szCs w:val="24"/>
        </w:rPr>
      </w:pPr>
      <w:r>
        <w:rPr>
          <w:rFonts w:ascii="Arial" w:hAnsi="Arial" w:cs="Arial"/>
          <w:b/>
          <w:noProof/>
          <w:sz w:val="24"/>
          <w:szCs w:val="24"/>
        </w:rPr>
        <w:lastRenderedPageBreak/>
        <w:drawing>
          <wp:inline distT="0" distB="0" distL="0" distR="0" wp14:anchorId="7D76DFB2" wp14:editId="4D9AA21E">
            <wp:extent cx="4860000" cy="4893522"/>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2.TIF"/>
                    <pic:cNvPicPr/>
                  </pic:nvPicPr>
                  <pic:blipFill rotWithShape="1">
                    <a:blip r:embed="rId8">
                      <a:extLst>
                        <a:ext uri="{28A0092B-C50C-407E-A947-70E740481C1C}">
                          <a14:useLocalDpi xmlns:a14="http://schemas.microsoft.com/office/drawing/2010/main" val="0"/>
                        </a:ext>
                      </a:extLst>
                    </a:blip>
                    <a:srcRect l="1337" t="5211" r="1607" b="27889"/>
                    <a:stretch/>
                  </pic:blipFill>
                  <pic:spPr bwMode="auto">
                    <a:xfrm>
                      <a:off x="0" y="0"/>
                      <a:ext cx="4860000" cy="4893522"/>
                    </a:xfrm>
                    <a:prstGeom prst="rect">
                      <a:avLst/>
                    </a:prstGeom>
                    <a:ln>
                      <a:noFill/>
                    </a:ln>
                    <a:extLst>
                      <a:ext uri="{53640926-AAD7-44D8-BBD7-CCE9431645EC}">
                        <a14:shadowObscured xmlns:a14="http://schemas.microsoft.com/office/drawing/2010/main"/>
                      </a:ext>
                    </a:extLst>
                  </pic:spPr>
                </pic:pic>
              </a:graphicData>
            </a:graphic>
          </wp:inline>
        </w:drawing>
      </w:r>
    </w:p>
    <w:p w14:paraId="04036632" w14:textId="75C4E701" w:rsidR="002B5B4E" w:rsidRDefault="008B7892" w:rsidP="000E35B3">
      <w:pPr>
        <w:spacing w:line="480" w:lineRule="auto"/>
        <w:contextualSpacing/>
        <w:rPr>
          <w:rFonts w:ascii="Arial" w:hAnsi="Arial" w:cs="Arial"/>
          <w:b/>
          <w:sz w:val="24"/>
          <w:szCs w:val="24"/>
        </w:rPr>
      </w:pPr>
      <w:r w:rsidRPr="002B5B4E">
        <w:rPr>
          <w:rFonts w:ascii="Arial" w:hAnsi="Arial" w:cs="Arial"/>
          <w:b/>
          <w:sz w:val="24"/>
          <w:szCs w:val="24"/>
        </w:rPr>
        <w:t xml:space="preserve">Supplementary </w:t>
      </w:r>
      <w:r w:rsidR="002B5B4E">
        <w:rPr>
          <w:rFonts w:ascii="Arial" w:hAnsi="Arial" w:cs="Arial"/>
          <w:b/>
          <w:sz w:val="24"/>
          <w:szCs w:val="24"/>
        </w:rPr>
        <w:t>F</w:t>
      </w:r>
      <w:r w:rsidRPr="002B5B4E">
        <w:rPr>
          <w:rFonts w:ascii="Arial" w:hAnsi="Arial" w:cs="Arial"/>
          <w:b/>
          <w:sz w:val="24"/>
          <w:szCs w:val="24"/>
        </w:rPr>
        <w:t>igure</w:t>
      </w:r>
      <w:r w:rsidRPr="002B5B4E">
        <w:rPr>
          <w:rFonts w:ascii="Arial" w:hAnsi="Arial" w:cs="Arial" w:hint="eastAsia"/>
          <w:b/>
          <w:sz w:val="24"/>
          <w:szCs w:val="24"/>
        </w:rPr>
        <w:t xml:space="preserve"> </w:t>
      </w:r>
      <w:r w:rsidR="002B5B4E">
        <w:rPr>
          <w:rFonts w:ascii="Arial" w:hAnsi="Arial" w:cs="Arial"/>
          <w:b/>
          <w:sz w:val="24"/>
          <w:szCs w:val="24"/>
        </w:rPr>
        <w:t>S</w:t>
      </w:r>
      <w:r w:rsidRPr="002B5B4E">
        <w:rPr>
          <w:rFonts w:ascii="Arial" w:hAnsi="Arial" w:cs="Arial"/>
          <w:b/>
          <w:sz w:val="24"/>
          <w:szCs w:val="24"/>
        </w:rPr>
        <w:t>2</w:t>
      </w:r>
      <w:r w:rsidRPr="002B5B4E">
        <w:rPr>
          <w:rFonts w:ascii="Arial" w:hAnsi="Arial" w:cs="Arial" w:hint="eastAsia"/>
          <w:b/>
          <w:sz w:val="24"/>
          <w:szCs w:val="24"/>
        </w:rPr>
        <w:t>.</w:t>
      </w:r>
      <w:r w:rsidRPr="002B5B4E">
        <w:rPr>
          <w:rFonts w:ascii="Arial" w:eastAsia="宋体" w:hAnsi="Arial" w:cs="Arial"/>
          <w:b/>
          <w:sz w:val="24"/>
          <w:szCs w:val="24"/>
        </w:rPr>
        <w:t xml:space="preserve"> </w:t>
      </w:r>
      <w:r w:rsidRPr="002B5B4E">
        <w:rPr>
          <w:rFonts w:ascii="Arial" w:hAnsi="Arial" w:cs="Arial" w:hint="eastAsia"/>
          <w:bCs/>
          <w:sz w:val="24"/>
          <w:szCs w:val="24"/>
        </w:rPr>
        <w:t xml:space="preserve">(A). </w:t>
      </w:r>
      <w:r w:rsidRPr="002B5B4E">
        <w:rPr>
          <w:rFonts w:ascii="Arial" w:hAnsi="Arial" w:cs="Arial"/>
          <w:bCs/>
          <w:sz w:val="24"/>
          <w:szCs w:val="24"/>
        </w:rPr>
        <w:t>BEAS-2B cells were suspended</w:t>
      </w:r>
      <w:r w:rsidRPr="002B5B4E">
        <w:rPr>
          <w:rFonts w:ascii="Arial" w:eastAsia="宋体" w:hAnsi="Arial" w:cs="Arial"/>
          <w:bCs/>
          <w:sz w:val="24"/>
          <w:szCs w:val="24"/>
        </w:rPr>
        <w:t xml:space="preserve"> for</w:t>
      </w:r>
      <w:r w:rsidRPr="002B5B4E">
        <w:rPr>
          <w:rFonts w:ascii="Arial" w:hAnsi="Arial" w:cs="Arial"/>
          <w:bCs/>
          <w:sz w:val="24"/>
          <w:szCs w:val="24"/>
        </w:rPr>
        <w:t xml:space="preserve"> 48 hours</w:t>
      </w:r>
      <w:r w:rsidRPr="002B5B4E">
        <w:rPr>
          <w:rFonts w:ascii="Arial" w:eastAsia="宋体" w:hAnsi="Arial" w:cs="Arial"/>
          <w:bCs/>
          <w:sz w:val="24"/>
          <w:szCs w:val="24"/>
        </w:rPr>
        <w:t>,</w:t>
      </w:r>
      <w:r w:rsidRPr="002B5B4E">
        <w:rPr>
          <w:rFonts w:ascii="Arial" w:hAnsi="Arial" w:cs="Arial"/>
          <w:bCs/>
          <w:sz w:val="24"/>
          <w:szCs w:val="24"/>
        </w:rPr>
        <w:t xml:space="preserve"> </w:t>
      </w:r>
      <w:r w:rsidR="00236FDD" w:rsidRPr="002B5B4E">
        <w:rPr>
          <w:rFonts w:ascii="Arial" w:hAnsi="Arial" w:cs="Arial"/>
          <w:bCs/>
          <w:sz w:val="24"/>
          <w:szCs w:val="24"/>
        </w:rPr>
        <w:t xml:space="preserve">cocultured with </w:t>
      </w:r>
      <w:r w:rsidRPr="002B5B4E">
        <w:rPr>
          <w:rFonts w:ascii="Arial" w:eastAsia="宋体" w:hAnsi="Arial" w:cs="Arial"/>
          <w:bCs/>
          <w:sz w:val="24"/>
          <w:szCs w:val="24"/>
        </w:rPr>
        <w:t>CM for 24 h, and</w:t>
      </w:r>
      <w:r w:rsidRPr="002B5B4E">
        <w:rPr>
          <w:rFonts w:ascii="Arial" w:hAnsi="Arial" w:cs="Arial"/>
          <w:bCs/>
          <w:sz w:val="24"/>
          <w:szCs w:val="24"/>
        </w:rPr>
        <w:t xml:space="preserve"> double </w:t>
      </w:r>
      <w:r w:rsidR="00236FDD" w:rsidRPr="002B5B4E">
        <w:rPr>
          <w:rFonts w:ascii="Arial" w:hAnsi="Arial" w:cs="Arial"/>
          <w:bCs/>
          <w:sz w:val="24"/>
          <w:szCs w:val="24"/>
        </w:rPr>
        <w:t xml:space="preserve">stained </w:t>
      </w:r>
      <w:r w:rsidRPr="002B5B4E">
        <w:rPr>
          <w:rFonts w:ascii="Arial" w:hAnsi="Arial" w:cs="Arial"/>
          <w:bCs/>
          <w:sz w:val="24"/>
          <w:szCs w:val="24"/>
        </w:rPr>
        <w:t>with Annexin</w:t>
      </w:r>
      <w:r w:rsidR="00236FDD" w:rsidRPr="002B5B4E">
        <w:rPr>
          <w:rFonts w:ascii="Arial" w:hAnsi="Arial" w:cs="Arial"/>
          <w:bCs/>
          <w:sz w:val="24"/>
          <w:szCs w:val="24"/>
        </w:rPr>
        <w:t xml:space="preserve"> </w:t>
      </w:r>
      <w:r w:rsidRPr="002B5B4E">
        <w:rPr>
          <w:rFonts w:ascii="Arial" w:hAnsi="Arial" w:cs="Arial"/>
          <w:bCs/>
          <w:sz w:val="24"/>
          <w:szCs w:val="24"/>
        </w:rPr>
        <w:fldChar w:fldCharType="begin"/>
      </w:r>
      <w:r w:rsidRPr="002B5B4E">
        <w:rPr>
          <w:rFonts w:ascii="Arial" w:hAnsi="Arial" w:cs="Arial"/>
          <w:bCs/>
          <w:sz w:val="24"/>
          <w:szCs w:val="24"/>
        </w:rPr>
        <w:instrText xml:space="preserve"> = 5 \* ROMAN </w:instrText>
      </w:r>
      <w:r w:rsidRPr="002B5B4E">
        <w:rPr>
          <w:rFonts w:ascii="Arial" w:hAnsi="Arial" w:cs="Arial"/>
          <w:bCs/>
          <w:sz w:val="24"/>
          <w:szCs w:val="24"/>
        </w:rPr>
        <w:fldChar w:fldCharType="separate"/>
      </w:r>
      <w:r w:rsidRPr="002B5B4E">
        <w:rPr>
          <w:rFonts w:ascii="Arial" w:hAnsi="Arial" w:cs="Arial"/>
          <w:bCs/>
          <w:noProof/>
          <w:sz w:val="24"/>
          <w:szCs w:val="24"/>
        </w:rPr>
        <w:t>V</w:t>
      </w:r>
      <w:r w:rsidRPr="002B5B4E">
        <w:rPr>
          <w:rFonts w:ascii="Arial" w:hAnsi="Arial" w:cs="Arial"/>
          <w:bCs/>
          <w:sz w:val="24"/>
          <w:szCs w:val="24"/>
        </w:rPr>
        <w:fldChar w:fldCharType="end"/>
      </w:r>
      <w:r w:rsidR="00236FDD" w:rsidRPr="002B5B4E">
        <w:rPr>
          <w:rFonts w:ascii="Arial" w:hAnsi="Arial" w:cs="Arial"/>
          <w:bCs/>
          <w:sz w:val="24"/>
          <w:szCs w:val="24"/>
        </w:rPr>
        <w:t xml:space="preserve"> and </w:t>
      </w:r>
      <w:r w:rsidRPr="002B5B4E">
        <w:rPr>
          <w:rFonts w:ascii="Arial" w:hAnsi="Arial" w:cs="Arial"/>
          <w:bCs/>
          <w:sz w:val="24"/>
          <w:szCs w:val="24"/>
        </w:rPr>
        <w:t>PI. The sum of</w:t>
      </w:r>
      <w:r w:rsidR="00236FDD" w:rsidRPr="002B5B4E">
        <w:rPr>
          <w:rFonts w:ascii="Arial" w:hAnsi="Arial" w:cs="Arial"/>
          <w:bCs/>
          <w:sz w:val="24"/>
          <w:szCs w:val="24"/>
        </w:rPr>
        <w:t xml:space="preserve"> the counts in</w:t>
      </w:r>
      <w:r w:rsidRPr="002B5B4E">
        <w:rPr>
          <w:rFonts w:ascii="Arial" w:hAnsi="Arial" w:cs="Arial"/>
          <w:bCs/>
          <w:sz w:val="24"/>
          <w:szCs w:val="24"/>
        </w:rPr>
        <w:t xml:space="preserve"> Q2-1, Q2-2 and Q2-4 was </w:t>
      </w:r>
      <w:r w:rsidR="00236FDD" w:rsidRPr="002B5B4E">
        <w:rPr>
          <w:rFonts w:ascii="Arial" w:hAnsi="Arial" w:cs="Arial"/>
          <w:bCs/>
          <w:sz w:val="24"/>
          <w:szCs w:val="24"/>
        </w:rPr>
        <w:t xml:space="preserve">defined as </w:t>
      </w:r>
      <w:r w:rsidRPr="002B5B4E">
        <w:rPr>
          <w:rFonts w:ascii="Arial" w:hAnsi="Arial" w:cs="Arial"/>
          <w:bCs/>
          <w:sz w:val="24"/>
          <w:szCs w:val="24"/>
        </w:rPr>
        <w:t>the number of apoptotic cells.</w:t>
      </w:r>
      <w:r w:rsidR="005C7441" w:rsidRPr="002B5B4E">
        <w:rPr>
          <w:rFonts w:ascii="Arial" w:hAnsi="Arial" w:cs="Arial" w:hint="eastAsia"/>
          <w:bCs/>
          <w:sz w:val="24"/>
          <w:szCs w:val="24"/>
        </w:rPr>
        <w:t xml:space="preserve"> (B). </w:t>
      </w:r>
      <w:r w:rsidR="005C7441" w:rsidRPr="002B5B4E">
        <w:rPr>
          <w:rFonts w:ascii="Arial" w:hAnsi="Arial" w:cs="Arial"/>
          <w:bCs/>
          <w:sz w:val="24"/>
          <w:szCs w:val="24"/>
        </w:rPr>
        <w:t>HPMEC</w:t>
      </w:r>
      <w:r w:rsidR="00236FDD" w:rsidRPr="002B5B4E">
        <w:rPr>
          <w:rFonts w:ascii="Arial" w:hAnsi="Arial" w:cs="Arial"/>
          <w:bCs/>
          <w:sz w:val="24"/>
          <w:szCs w:val="24"/>
        </w:rPr>
        <w:t>s</w:t>
      </w:r>
      <w:r w:rsidR="005C7441" w:rsidRPr="002B5B4E">
        <w:rPr>
          <w:rFonts w:ascii="Arial" w:hAnsi="Arial" w:cs="Arial"/>
          <w:bCs/>
          <w:sz w:val="24"/>
          <w:szCs w:val="24"/>
        </w:rPr>
        <w:t xml:space="preserve"> were </w:t>
      </w:r>
      <w:r w:rsidR="005C7441" w:rsidRPr="002B5B4E">
        <w:rPr>
          <w:rFonts w:ascii="Arial" w:hAnsi="Arial" w:cs="Arial" w:hint="eastAsia"/>
          <w:bCs/>
          <w:sz w:val="24"/>
          <w:szCs w:val="24"/>
        </w:rPr>
        <w:t xml:space="preserve">treated as </w:t>
      </w:r>
      <w:r w:rsidR="00236FDD" w:rsidRPr="002B5B4E">
        <w:rPr>
          <w:rFonts w:ascii="Arial" w:hAnsi="Arial" w:cs="Arial"/>
          <w:bCs/>
          <w:sz w:val="24"/>
          <w:szCs w:val="24"/>
        </w:rPr>
        <w:t>described in (A)</w:t>
      </w:r>
      <w:r w:rsidR="005C7441" w:rsidRPr="002B5B4E">
        <w:rPr>
          <w:rFonts w:ascii="Arial" w:hAnsi="Arial" w:cs="Arial" w:hint="eastAsia"/>
          <w:bCs/>
          <w:sz w:val="24"/>
          <w:szCs w:val="24"/>
        </w:rPr>
        <w:t>.</w:t>
      </w:r>
      <w:r w:rsidR="005C7441" w:rsidRPr="002B5B4E">
        <w:rPr>
          <w:rFonts w:ascii="Arial" w:hAnsi="Arial" w:cs="Arial"/>
          <w:bCs/>
          <w:sz w:val="24"/>
          <w:szCs w:val="24"/>
        </w:rPr>
        <w:t xml:space="preserve"> The sum of </w:t>
      </w:r>
      <w:r w:rsidR="00236FDD" w:rsidRPr="002B5B4E">
        <w:rPr>
          <w:rFonts w:ascii="Arial" w:hAnsi="Arial" w:cs="Arial"/>
          <w:bCs/>
          <w:sz w:val="24"/>
          <w:szCs w:val="24"/>
        </w:rPr>
        <w:t xml:space="preserve">the counts in </w:t>
      </w:r>
      <w:r w:rsidR="005C7441" w:rsidRPr="002B5B4E">
        <w:rPr>
          <w:rFonts w:ascii="Arial" w:hAnsi="Arial" w:cs="Arial"/>
          <w:bCs/>
          <w:sz w:val="24"/>
          <w:szCs w:val="24"/>
        </w:rPr>
        <w:t xml:space="preserve">Q2-1, Q2-2 and Q2-4 was </w:t>
      </w:r>
      <w:r w:rsidR="00236FDD" w:rsidRPr="002B5B4E">
        <w:rPr>
          <w:rFonts w:ascii="Arial" w:hAnsi="Arial" w:cs="Arial"/>
          <w:bCs/>
          <w:sz w:val="24"/>
          <w:szCs w:val="24"/>
        </w:rPr>
        <w:t xml:space="preserve">defined as </w:t>
      </w:r>
      <w:r w:rsidR="005C7441" w:rsidRPr="002B5B4E">
        <w:rPr>
          <w:rFonts w:ascii="Arial" w:hAnsi="Arial" w:cs="Arial"/>
          <w:bCs/>
          <w:sz w:val="24"/>
          <w:szCs w:val="24"/>
        </w:rPr>
        <w:t>the number of apoptotic cells.</w:t>
      </w:r>
      <w:r w:rsidR="005C7441" w:rsidRPr="002B5B4E">
        <w:rPr>
          <w:rFonts w:ascii="Arial" w:hAnsi="Arial" w:cs="Arial" w:hint="eastAsia"/>
          <w:bCs/>
          <w:sz w:val="24"/>
          <w:szCs w:val="24"/>
        </w:rPr>
        <w:t xml:space="preserve"> (C). </w:t>
      </w:r>
      <w:r w:rsidR="005C7441" w:rsidRPr="002B5B4E">
        <w:rPr>
          <w:rFonts w:ascii="Arial" w:hAnsi="Arial" w:cs="Arial"/>
          <w:bCs/>
          <w:sz w:val="24"/>
          <w:szCs w:val="24"/>
        </w:rPr>
        <w:t xml:space="preserve">Statistical analysis of three independent experiments of BEAS-2B </w:t>
      </w:r>
      <w:r w:rsidRPr="002B5B4E">
        <w:rPr>
          <w:rFonts w:ascii="Arial" w:eastAsia="宋体" w:hAnsi="Arial" w:cs="Arial"/>
          <w:bCs/>
          <w:sz w:val="24"/>
          <w:szCs w:val="24"/>
        </w:rPr>
        <w:t>cell</w:t>
      </w:r>
      <w:r w:rsidR="005C7441" w:rsidRPr="002B5B4E">
        <w:rPr>
          <w:rFonts w:ascii="Arial" w:hAnsi="Arial" w:cs="Arial"/>
          <w:bCs/>
          <w:sz w:val="24"/>
          <w:szCs w:val="24"/>
        </w:rPr>
        <w:t xml:space="preserve"> apoptosis by flow cytometry (n=3); *p &lt; 0.05 vs. the </w:t>
      </w:r>
      <w:r w:rsidRPr="002B5B4E">
        <w:rPr>
          <w:rFonts w:ascii="Arial" w:eastAsia="宋体" w:hAnsi="Arial" w:cs="Arial"/>
          <w:bCs/>
          <w:sz w:val="24"/>
          <w:szCs w:val="24"/>
        </w:rPr>
        <w:t>attached</w:t>
      </w:r>
      <w:r w:rsidR="005C7441" w:rsidRPr="002B5B4E">
        <w:rPr>
          <w:rFonts w:ascii="Arial" w:hAnsi="Arial" w:cs="Arial"/>
          <w:bCs/>
          <w:sz w:val="24"/>
          <w:szCs w:val="24"/>
        </w:rPr>
        <w:t xml:space="preserve"> group.</w:t>
      </w:r>
      <w:r w:rsidR="005C7441" w:rsidRPr="002B5B4E">
        <w:rPr>
          <w:rFonts w:ascii="Arial" w:hAnsi="Arial" w:cs="Arial" w:hint="eastAsia"/>
          <w:bCs/>
          <w:sz w:val="24"/>
          <w:szCs w:val="24"/>
        </w:rPr>
        <w:t xml:space="preserve"> (D). </w:t>
      </w:r>
      <w:r w:rsidR="005C7441" w:rsidRPr="002B5B4E">
        <w:rPr>
          <w:rFonts w:ascii="Arial" w:hAnsi="Arial" w:cs="Arial"/>
          <w:bCs/>
          <w:sz w:val="24"/>
          <w:szCs w:val="24"/>
        </w:rPr>
        <w:t xml:space="preserve">Statistical analysis of three independent experiments of HPMEC apoptosis by flow cytometry (n=3); *p &lt; 0.05 vs. the </w:t>
      </w:r>
      <w:r w:rsidRPr="002B5B4E">
        <w:rPr>
          <w:rFonts w:ascii="Arial" w:eastAsia="宋体" w:hAnsi="Arial" w:cs="Arial"/>
          <w:bCs/>
          <w:sz w:val="24"/>
          <w:szCs w:val="24"/>
        </w:rPr>
        <w:t>attached</w:t>
      </w:r>
      <w:r w:rsidR="005C7441" w:rsidRPr="002B5B4E">
        <w:rPr>
          <w:rFonts w:ascii="Arial" w:hAnsi="Arial" w:cs="Arial"/>
          <w:bCs/>
          <w:sz w:val="24"/>
          <w:szCs w:val="24"/>
        </w:rPr>
        <w:t xml:space="preserve"> group.</w:t>
      </w:r>
      <w:r w:rsidR="002B5B4E">
        <w:rPr>
          <w:rFonts w:ascii="Arial" w:hAnsi="Arial" w:cs="Arial"/>
          <w:b/>
          <w:sz w:val="24"/>
          <w:szCs w:val="24"/>
        </w:rPr>
        <w:br w:type="page"/>
      </w:r>
    </w:p>
    <w:p w14:paraId="2197010E" w14:textId="551D3C66" w:rsidR="007650D0" w:rsidRPr="002B5B4E" w:rsidRDefault="006300F0" w:rsidP="000E35B3">
      <w:pPr>
        <w:spacing w:line="480" w:lineRule="auto"/>
        <w:contextualSpacing/>
        <w:jc w:val="center"/>
        <w:rPr>
          <w:rFonts w:ascii="Arial" w:hAnsi="Arial" w:cs="Arial"/>
          <w:sz w:val="24"/>
          <w:szCs w:val="24"/>
        </w:rPr>
      </w:pPr>
      <w:r>
        <w:rPr>
          <w:rFonts w:ascii="Arial" w:hAnsi="Arial" w:cs="Arial"/>
          <w:noProof/>
          <w:sz w:val="24"/>
          <w:szCs w:val="24"/>
        </w:rPr>
        <w:lastRenderedPageBreak/>
        <w:drawing>
          <wp:inline distT="0" distB="0" distL="0" distR="0" wp14:anchorId="0C57DDE5" wp14:editId="4824365D">
            <wp:extent cx="2936240" cy="1065229"/>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幻灯片3.TIF"/>
                    <pic:cNvPicPr/>
                  </pic:nvPicPr>
                  <pic:blipFill rotWithShape="1">
                    <a:blip r:embed="rId9">
                      <a:extLst>
                        <a:ext uri="{28A0092B-C50C-407E-A947-70E740481C1C}">
                          <a14:useLocalDpi xmlns:a14="http://schemas.microsoft.com/office/drawing/2010/main" val="0"/>
                        </a:ext>
                      </a:extLst>
                    </a:blip>
                    <a:srcRect l="13972" t="6472" r="33900" b="80582"/>
                    <a:stretch/>
                  </pic:blipFill>
                  <pic:spPr bwMode="auto">
                    <a:xfrm>
                      <a:off x="0" y="0"/>
                      <a:ext cx="2936709" cy="1065399"/>
                    </a:xfrm>
                    <a:prstGeom prst="rect">
                      <a:avLst/>
                    </a:prstGeom>
                    <a:ln>
                      <a:noFill/>
                    </a:ln>
                    <a:extLst>
                      <a:ext uri="{53640926-AAD7-44D8-BBD7-CCE9431645EC}">
                        <a14:shadowObscured xmlns:a14="http://schemas.microsoft.com/office/drawing/2010/main"/>
                      </a:ext>
                    </a:extLst>
                  </pic:spPr>
                </pic:pic>
              </a:graphicData>
            </a:graphic>
          </wp:inline>
        </w:drawing>
      </w:r>
    </w:p>
    <w:p w14:paraId="40449AE0" w14:textId="7DEB01E7" w:rsidR="001A1EAC" w:rsidRDefault="008B7892" w:rsidP="000E35B3">
      <w:pPr>
        <w:spacing w:line="480" w:lineRule="auto"/>
        <w:contextualSpacing/>
        <w:rPr>
          <w:rFonts w:ascii="Arial" w:hAnsi="Arial" w:cs="Arial"/>
          <w:sz w:val="24"/>
          <w:szCs w:val="24"/>
        </w:rPr>
      </w:pPr>
      <w:r w:rsidRPr="002B5B4E">
        <w:rPr>
          <w:rFonts w:ascii="Arial" w:hAnsi="Arial" w:cs="Arial"/>
          <w:b/>
          <w:sz w:val="24"/>
          <w:szCs w:val="24"/>
        </w:rPr>
        <w:t xml:space="preserve">Supplementary </w:t>
      </w:r>
      <w:r w:rsidR="002B5B4E">
        <w:rPr>
          <w:rFonts w:ascii="Arial" w:hAnsi="Arial" w:cs="Arial"/>
          <w:b/>
          <w:sz w:val="24"/>
          <w:szCs w:val="24"/>
        </w:rPr>
        <w:t>F</w:t>
      </w:r>
      <w:r w:rsidRPr="002B5B4E">
        <w:rPr>
          <w:rFonts w:ascii="Arial" w:hAnsi="Arial" w:cs="Arial"/>
          <w:b/>
          <w:sz w:val="24"/>
          <w:szCs w:val="24"/>
        </w:rPr>
        <w:t>igure</w:t>
      </w:r>
      <w:r w:rsidRPr="002B5B4E">
        <w:rPr>
          <w:rFonts w:ascii="Arial" w:hAnsi="Arial" w:cs="Arial" w:hint="eastAsia"/>
          <w:b/>
          <w:sz w:val="24"/>
          <w:szCs w:val="24"/>
        </w:rPr>
        <w:t xml:space="preserve"> </w:t>
      </w:r>
      <w:r w:rsidR="002B5B4E">
        <w:rPr>
          <w:rFonts w:ascii="Arial" w:hAnsi="Arial" w:cs="Arial"/>
          <w:b/>
          <w:sz w:val="24"/>
          <w:szCs w:val="24"/>
        </w:rPr>
        <w:t>S</w:t>
      </w:r>
      <w:r w:rsidRPr="002B5B4E">
        <w:rPr>
          <w:rFonts w:ascii="Arial" w:hAnsi="Arial" w:cs="Arial"/>
          <w:b/>
          <w:sz w:val="24"/>
          <w:szCs w:val="24"/>
        </w:rPr>
        <w:t>3</w:t>
      </w:r>
      <w:r w:rsidRPr="002B5B4E">
        <w:rPr>
          <w:rFonts w:ascii="Arial" w:hAnsi="Arial" w:cs="Arial" w:hint="eastAsia"/>
          <w:b/>
          <w:sz w:val="24"/>
          <w:szCs w:val="24"/>
        </w:rPr>
        <w:t xml:space="preserve">. </w:t>
      </w:r>
      <w:r w:rsidRPr="002B5B4E">
        <w:rPr>
          <w:rFonts w:ascii="Arial" w:hAnsi="Arial" w:cs="Arial"/>
          <w:sz w:val="24"/>
          <w:szCs w:val="24"/>
        </w:rPr>
        <w:t>Representative western blot showing the</w:t>
      </w:r>
      <w:r w:rsidR="00236FDD" w:rsidRPr="002B5B4E">
        <w:rPr>
          <w:rFonts w:ascii="Arial" w:hAnsi="Arial" w:cs="Arial"/>
          <w:sz w:val="24"/>
          <w:szCs w:val="24"/>
        </w:rPr>
        <w:t xml:space="preserve"> transfection</w:t>
      </w:r>
      <w:r w:rsidRPr="002B5B4E">
        <w:rPr>
          <w:rFonts w:ascii="Arial" w:hAnsi="Arial" w:cs="Arial"/>
          <w:sz w:val="24"/>
          <w:szCs w:val="24"/>
        </w:rPr>
        <w:t xml:space="preserve"> efficiency of ZC3H4-NIC in HPF-a cells.</w:t>
      </w:r>
    </w:p>
    <w:p w14:paraId="746FA18D" w14:textId="77777777" w:rsidR="006300F0" w:rsidRDefault="006300F0" w:rsidP="000E35B3">
      <w:pPr>
        <w:spacing w:line="480" w:lineRule="auto"/>
        <w:contextualSpacing/>
        <w:rPr>
          <w:rFonts w:ascii="Arial" w:hAnsi="Arial" w:cs="Arial"/>
          <w:sz w:val="24"/>
          <w:szCs w:val="24"/>
        </w:rPr>
      </w:pPr>
    </w:p>
    <w:p w14:paraId="2ACD84C2" w14:textId="16CB77C5" w:rsidR="006300F0" w:rsidRDefault="006300F0">
      <w:pPr>
        <w:widowControl/>
        <w:jc w:val="left"/>
        <w:rPr>
          <w:rFonts w:ascii="Arial" w:hAnsi="Arial" w:cs="Arial"/>
          <w:sz w:val="24"/>
          <w:szCs w:val="24"/>
        </w:rPr>
      </w:pPr>
      <w:r>
        <w:rPr>
          <w:rFonts w:ascii="Arial" w:hAnsi="Arial" w:cs="Arial"/>
          <w:sz w:val="24"/>
          <w:szCs w:val="24"/>
        </w:rPr>
        <w:br w:type="page"/>
      </w:r>
    </w:p>
    <w:p w14:paraId="16BE88E0" w14:textId="4E31FC0E" w:rsidR="006300F0" w:rsidRDefault="006300F0" w:rsidP="000E35B3">
      <w:pPr>
        <w:spacing w:line="480" w:lineRule="auto"/>
        <w:contextualSpacing/>
        <w:rPr>
          <w:rFonts w:ascii="Arial" w:hAnsi="Arial" w:cs="Arial"/>
          <w:sz w:val="24"/>
          <w:szCs w:val="24"/>
        </w:rPr>
      </w:pPr>
      <w:r>
        <w:rPr>
          <w:rFonts w:ascii="Arial" w:hAnsi="Arial" w:cs="Arial"/>
          <w:noProof/>
          <w:sz w:val="24"/>
          <w:szCs w:val="24"/>
        </w:rPr>
        <w:lastRenderedPageBreak/>
        <w:drawing>
          <wp:inline distT="0" distB="0" distL="0" distR="0" wp14:anchorId="6E9F8823" wp14:editId="28AD393C">
            <wp:extent cx="5633535" cy="1715612"/>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4.TIF"/>
                    <pic:cNvPicPr/>
                  </pic:nvPicPr>
                  <pic:blipFill rotWithShape="1">
                    <a:blip r:embed="rId10">
                      <a:extLst>
                        <a:ext uri="{28A0092B-C50C-407E-A947-70E740481C1C}">
                          <a14:useLocalDpi xmlns:a14="http://schemas.microsoft.com/office/drawing/2010/main" val="0"/>
                        </a:ext>
                      </a:extLst>
                    </a:blip>
                    <a:srcRect t="3150" b="76002"/>
                    <a:stretch/>
                  </pic:blipFill>
                  <pic:spPr bwMode="auto">
                    <a:xfrm>
                      <a:off x="0" y="0"/>
                      <a:ext cx="5633720" cy="1715668"/>
                    </a:xfrm>
                    <a:prstGeom prst="rect">
                      <a:avLst/>
                    </a:prstGeom>
                    <a:ln>
                      <a:noFill/>
                    </a:ln>
                    <a:extLst>
                      <a:ext uri="{53640926-AAD7-44D8-BBD7-CCE9431645EC}">
                        <a14:shadowObscured xmlns:a14="http://schemas.microsoft.com/office/drawing/2010/main"/>
                      </a:ext>
                    </a:extLst>
                  </pic:spPr>
                </pic:pic>
              </a:graphicData>
            </a:graphic>
          </wp:inline>
        </w:drawing>
      </w:r>
    </w:p>
    <w:p w14:paraId="238BEE55" w14:textId="30076F34" w:rsidR="006300F0" w:rsidRPr="002B5B4E" w:rsidRDefault="006300F0" w:rsidP="000E35B3">
      <w:pPr>
        <w:spacing w:line="480" w:lineRule="auto"/>
        <w:contextualSpacing/>
        <w:rPr>
          <w:rFonts w:ascii="Arial" w:hAnsi="Arial" w:cs="Arial"/>
          <w:sz w:val="24"/>
          <w:szCs w:val="24"/>
        </w:rPr>
      </w:pPr>
      <w:r w:rsidRPr="002B5B4E">
        <w:rPr>
          <w:rFonts w:ascii="Arial" w:hAnsi="Arial" w:cs="Arial"/>
          <w:b/>
          <w:sz w:val="24"/>
          <w:szCs w:val="24"/>
        </w:rPr>
        <w:t xml:space="preserve">Supplementary </w:t>
      </w:r>
      <w:r>
        <w:rPr>
          <w:rFonts w:ascii="Arial" w:hAnsi="Arial" w:cs="Arial"/>
          <w:b/>
          <w:sz w:val="24"/>
          <w:szCs w:val="24"/>
        </w:rPr>
        <w:t>F</w:t>
      </w:r>
      <w:r w:rsidRPr="002B5B4E">
        <w:rPr>
          <w:rFonts w:ascii="Arial" w:hAnsi="Arial" w:cs="Arial"/>
          <w:b/>
          <w:sz w:val="24"/>
          <w:szCs w:val="24"/>
        </w:rPr>
        <w:t>igure</w:t>
      </w:r>
      <w:r w:rsidRPr="002B5B4E">
        <w:rPr>
          <w:rFonts w:ascii="Arial" w:hAnsi="Arial" w:cs="Arial" w:hint="eastAsia"/>
          <w:b/>
          <w:sz w:val="24"/>
          <w:szCs w:val="24"/>
        </w:rPr>
        <w:t xml:space="preserve"> </w:t>
      </w:r>
      <w:r>
        <w:rPr>
          <w:rFonts w:ascii="Arial" w:hAnsi="Arial" w:cs="Arial"/>
          <w:b/>
          <w:sz w:val="24"/>
          <w:szCs w:val="24"/>
        </w:rPr>
        <w:t>S</w:t>
      </w:r>
      <w:r w:rsidR="00AD1BF6">
        <w:rPr>
          <w:rFonts w:ascii="Arial" w:hAnsi="Arial" w:cs="Arial"/>
          <w:b/>
          <w:sz w:val="24"/>
          <w:szCs w:val="24"/>
        </w:rPr>
        <w:t>4</w:t>
      </w:r>
      <w:r w:rsidRPr="002B5B4E">
        <w:rPr>
          <w:rFonts w:ascii="Arial" w:hAnsi="Arial" w:cs="Arial" w:hint="eastAsia"/>
          <w:b/>
          <w:sz w:val="24"/>
          <w:szCs w:val="24"/>
        </w:rPr>
        <w:t>.</w:t>
      </w:r>
      <w:r>
        <w:rPr>
          <w:rFonts w:ascii="Arial" w:hAnsi="Arial" w:cs="Arial"/>
          <w:b/>
          <w:sz w:val="24"/>
          <w:szCs w:val="24"/>
        </w:rPr>
        <w:t xml:space="preserve"> </w:t>
      </w:r>
      <w:r w:rsidRPr="007731D6">
        <w:rPr>
          <w:rFonts w:ascii="Arial" w:hAnsi="Arial" w:cs="Arial"/>
          <w:sz w:val="24"/>
          <w:szCs w:val="24"/>
        </w:rPr>
        <w:t>Spatial transcriptomics</w:t>
      </w:r>
      <w:r>
        <w:rPr>
          <w:rFonts w:ascii="Arial" w:hAnsi="Arial" w:cs="Arial"/>
          <w:sz w:val="24"/>
          <w:szCs w:val="24"/>
        </w:rPr>
        <w:t xml:space="preserve"> showed </w:t>
      </w:r>
      <w:r>
        <w:rPr>
          <w:rFonts w:ascii="Arial" w:hAnsi="Arial" w:cs="Arial" w:hint="eastAsia"/>
          <w:sz w:val="24"/>
          <w:szCs w:val="24"/>
        </w:rPr>
        <w:t>t</w:t>
      </w:r>
      <w:r>
        <w:rPr>
          <w:rFonts w:ascii="Arial" w:hAnsi="Arial" w:cs="Arial"/>
          <w:sz w:val="24"/>
          <w:szCs w:val="24"/>
        </w:rPr>
        <w:t xml:space="preserve">he co-expression of </w:t>
      </w:r>
      <w:r>
        <w:rPr>
          <w:rFonts w:ascii="Arial" w:hAnsi="Arial" w:cs="Arial"/>
          <w:i/>
          <w:sz w:val="24"/>
          <w:szCs w:val="24"/>
        </w:rPr>
        <w:t>Itgb1</w:t>
      </w:r>
      <w:r>
        <w:rPr>
          <w:rFonts w:ascii="Arial" w:hAnsi="Arial" w:cs="Arial"/>
          <w:sz w:val="24"/>
          <w:szCs w:val="24"/>
        </w:rPr>
        <w:t xml:space="preserve"> and </w:t>
      </w:r>
      <w:r w:rsidRPr="007731D6">
        <w:rPr>
          <w:rFonts w:ascii="Arial" w:hAnsi="Arial" w:cs="Arial"/>
          <w:i/>
          <w:sz w:val="24"/>
          <w:szCs w:val="24"/>
        </w:rPr>
        <w:t>Vimentin</w:t>
      </w:r>
      <w:r>
        <w:rPr>
          <w:rFonts w:ascii="Arial" w:hAnsi="Arial" w:cs="Arial"/>
          <w:sz w:val="24"/>
          <w:szCs w:val="24"/>
        </w:rPr>
        <w:t>.</w:t>
      </w:r>
    </w:p>
    <w:sectPr w:rsidR="006300F0" w:rsidRPr="002B5B4E" w:rsidSect="002B5B4E">
      <w:footerReference w:type="default" r:id="rId11"/>
      <w:pgSz w:w="12240" w:h="15840" w:code="1"/>
      <w:pgMar w:top="1440" w:right="1440" w:bottom="1440" w:left="1440"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60A7F" w16cex:dateUtc="2021-06-30T01:09:00Z"/>
  <w16cex:commentExtensible w16cex:durableId="24860B0A" w16cex:dateUtc="2021-06-30T01: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C8618" w14:textId="77777777" w:rsidR="00895141" w:rsidRDefault="00895141" w:rsidP="00236FDD">
      <w:r>
        <w:separator/>
      </w:r>
    </w:p>
  </w:endnote>
  <w:endnote w:type="continuationSeparator" w:id="0">
    <w:p w14:paraId="0D93159C" w14:textId="77777777" w:rsidR="00895141" w:rsidRDefault="00895141" w:rsidP="0023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sz w:val="24"/>
      </w:rPr>
      <w:id w:val="1118265927"/>
      <w:docPartObj>
        <w:docPartGallery w:val="Page Numbers (Bottom of Page)"/>
        <w:docPartUnique/>
      </w:docPartObj>
    </w:sdtPr>
    <w:sdtEndPr>
      <w:rPr>
        <w:noProof/>
      </w:rPr>
    </w:sdtEndPr>
    <w:sdtContent>
      <w:p w14:paraId="70EFD598" w14:textId="4B15E620" w:rsidR="002B5B4E" w:rsidRPr="002B5B4E" w:rsidRDefault="002B5B4E" w:rsidP="002B5B4E">
        <w:pPr>
          <w:pStyle w:val="a7"/>
          <w:contextualSpacing/>
          <w:jc w:val="right"/>
          <w:rPr>
            <w:rFonts w:ascii="Arial" w:hAnsi="Arial"/>
            <w:sz w:val="24"/>
          </w:rPr>
        </w:pPr>
        <w:r w:rsidRPr="002B5B4E">
          <w:rPr>
            <w:rFonts w:ascii="Arial" w:hAnsi="Arial"/>
            <w:sz w:val="24"/>
          </w:rPr>
          <w:fldChar w:fldCharType="begin"/>
        </w:r>
        <w:r w:rsidRPr="002B5B4E">
          <w:rPr>
            <w:rFonts w:ascii="Arial" w:hAnsi="Arial"/>
            <w:sz w:val="24"/>
          </w:rPr>
          <w:instrText xml:space="preserve"> PAGE   \* MERGEFORMAT </w:instrText>
        </w:r>
        <w:r w:rsidRPr="002B5B4E">
          <w:rPr>
            <w:rFonts w:ascii="Arial" w:hAnsi="Arial"/>
            <w:sz w:val="24"/>
          </w:rPr>
          <w:fldChar w:fldCharType="separate"/>
        </w:r>
        <w:r w:rsidR="009F70EA">
          <w:rPr>
            <w:rFonts w:ascii="Arial" w:hAnsi="Arial"/>
            <w:noProof/>
            <w:sz w:val="24"/>
          </w:rPr>
          <w:t>8</w:t>
        </w:r>
        <w:r w:rsidRPr="002B5B4E">
          <w:rPr>
            <w:rFonts w:ascii="Arial" w:hAnsi="Arial"/>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F9A70" w14:textId="77777777" w:rsidR="00895141" w:rsidRDefault="00895141" w:rsidP="00236FDD">
      <w:r>
        <w:separator/>
      </w:r>
    </w:p>
  </w:footnote>
  <w:footnote w:type="continuationSeparator" w:id="0">
    <w:p w14:paraId="5008F621" w14:textId="77777777" w:rsidR="00895141" w:rsidRDefault="00895141" w:rsidP="00236F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93E0C"/>
    <w:multiLevelType w:val="hybridMultilevel"/>
    <w:tmpl w:val="6AFE0B4E"/>
    <w:lvl w:ilvl="0" w:tplc="622EEA36">
      <w:start w:val="1"/>
      <w:numFmt w:val="upperLetter"/>
      <w:lvlText w:val="(%1)"/>
      <w:lvlJc w:val="left"/>
      <w:pPr>
        <w:ind w:left="360" w:hanging="360"/>
      </w:pPr>
      <w:rPr>
        <w:rFonts w:hint="default"/>
      </w:rPr>
    </w:lvl>
    <w:lvl w:ilvl="1" w:tplc="C6043C08" w:tentative="1">
      <w:start w:val="1"/>
      <w:numFmt w:val="lowerLetter"/>
      <w:lvlText w:val="%2)"/>
      <w:lvlJc w:val="left"/>
      <w:pPr>
        <w:ind w:left="840" w:hanging="420"/>
      </w:pPr>
    </w:lvl>
    <w:lvl w:ilvl="2" w:tplc="6E4E110C" w:tentative="1">
      <w:start w:val="1"/>
      <w:numFmt w:val="lowerRoman"/>
      <w:lvlText w:val="%3."/>
      <w:lvlJc w:val="right"/>
      <w:pPr>
        <w:ind w:left="1260" w:hanging="420"/>
      </w:pPr>
    </w:lvl>
    <w:lvl w:ilvl="3" w:tplc="377E5286" w:tentative="1">
      <w:start w:val="1"/>
      <w:numFmt w:val="decimal"/>
      <w:lvlText w:val="%4."/>
      <w:lvlJc w:val="left"/>
      <w:pPr>
        <w:ind w:left="1680" w:hanging="420"/>
      </w:pPr>
    </w:lvl>
    <w:lvl w:ilvl="4" w:tplc="4D006210" w:tentative="1">
      <w:start w:val="1"/>
      <w:numFmt w:val="lowerLetter"/>
      <w:lvlText w:val="%5)"/>
      <w:lvlJc w:val="left"/>
      <w:pPr>
        <w:ind w:left="2100" w:hanging="420"/>
      </w:pPr>
    </w:lvl>
    <w:lvl w:ilvl="5" w:tplc="7584E010" w:tentative="1">
      <w:start w:val="1"/>
      <w:numFmt w:val="lowerRoman"/>
      <w:lvlText w:val="%6."/>
      <w:lvlJc w:val="right"/>
      <w:pPr>
        <w:ind w:left="2520" w:hanging="420"/>
      </w:pPr>
    </w:lvl>
    <w:lvl w:ilvl="6" w:tplc="6D468FF4" w:tentative="1">
      <w:start w:val="1"/>
      <w:numFmt w:val="decimal"/>
      <w:lvlText w:val="%7."/>
      <w:lvlJc w:val="left"/>
      <w:pPr>
        <w:ind w:left="2940" w:hanging="420"/>
      </w:pPr>
    </w:lvl>
    <w:lvl w:ilvl="7" w:tplc="08BC7078" w:tentative="1">
      <w:start w:val="1"/>
      <w:numFmt w:val="lowerLetter"/>
      <w:lvlText w:val="%8)"/>
      <w:lvlJc w:val="left"/>
      <w:pPr>
        <w:ind w:left="3360" w:hanging="420"/>
      </w:pPr>
    </w:lvl>
    <w:lvl w:ilvl="8" w:tplc="22581704" w:tentative="1">
      <w:start w:val="1"/>
      <w:numFmt w:val="lowerRoman"/>
      <w:lvlText w:val="%9."/>
      <w:lvlJc w:val="right"/>
      <w:pPr>
        <w:ind w:left="3780" w:hanging="420"/>
      </w:pPr>
    </w:lvl>
  </w:abstractNum>
  <w:abstractNum w:abstractNumId="1" w15:restartNumberingAfterBreak="0">
    <w:nsid w:val="24946D34"/>
    <w:multiLevelType w:val="hybridMultilevel"/>
    <w:tmpl w:val="06122592"/>
    <w:lvl w:ilvl="0" w:tplc="4518FCE6">
      <w:start w:val="1"/>
      <w:numFmt w:val="upperLetter"/>
      <w:lvlText w:val="(%1)"/>
      <w:lvlJc w:val="left"/>
      <w:pPr>
        <w:ind w:left="360" w:hanging="360"/>
      </w:pPr>
      <w:rPr>
        <w:rFonts w:hint="default"/>
      </w:rPr>
    </w:lvl>
    <w:lvl w:ilvl="1" w:tplc="BEC65852" w:tentative="1">
      <w:start w:val="1"/>
      <w:numFmt w:val="lowerLetter"/>
      <w:lvlText w:val="%2)"/>
      <w:lvlJc w:val="left"/>
      <w:pPr>
        <w:ind w:left="840" w:hanging="420"/>
      </w:pPr>
    </w:lvl>
    <w:lvl w:ilvl="2" w:tplc="9C923A96" w:tentative="1">
      <w:start w:val="1"/>
      <w:numFmt w:val="lowerRoman"/>
      <w:lvlText w:val="%3."/>
      <w:lvlJc w:val="right"/>
      <w:pPr>
        <w:ind w:left="1260" w:hanging="420"/>
      </w:pPr>
    </w:lvl>
    <w:lvl w:ilvl="3" w:tplc="E92A8676" w:tentative="1">
      <w:start w:val="1"/>
      <w:numFmt w:val="decimal"/>
      <w:lvlText w:val="%4."/>
      <w:lvlJc w:val="left"/>
      <w:pPr>
        <w:ind w:left="1680" w:hanging="420"/>
      </w:pPr>
    </w:lvl>
    <w:lvl w:ilvl="4" w:tplc="E65CEEDA" w:tentative="1">
      <w:start w:val="1"/>
      <w:numFmt w:val="lowerLetter"/>
      <w:lvlText w:val="%5)"/>
      <w:lvlJc w:val="left"/>
      <w:pPr>
        <w:ind w:left="2100" w:hanging="420"/>
      </w:pPr>
    </w:lvl>
    <w:lvl w:ilvl="5" w:tplc="D5D27E0E" w:tentative="1">
      <w:start w:val="1"/>
      <w:numFmt w:val="lowerRoman"/>
      <w:lvlText w:val="%6."/>
      <w:lvlJc w:val="right"/>
      <w:pPr>
        <w:ind w:left="2520" w:hanging="420"/>
      </w:pPr>
    </w:lvl>
    <w:lvl w:ilvl="6" w:tplc="457CF364" w:tentative="1">
      <w:start w:val="1"/>
      <w:numFmt w:val="decimal"/>
      <w:lvlText w:val="%7."/>
      <w:lvlJc w:val="left"/>
      <w:pPr>
        <w:ind w:left="2940" w:hanging="420"/>
      </w:pPr>
    </w:lvl>
    <w:lvl w:ilvl="7" w:tplc="C52261C6" w:tentative="1">
      <w:start w:val="1"/>
      <w:numFmt w:val="lowerLetter"/>
      <w:lvlText w:val="%8)"/>
      <w:lvlJc w:val="left"/>
      <w:pPr>
        <w:ind w:left="3360" w:hanging="420"/>
      </w:pPr>
    </w:lvl>
    <w:lvl w:ilvl="8" w:tplc="4838F11E"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452"/>
    <w:rsid w:val="00031CF1"/>
    <w:rsid w:val="00047FF0"/>
    <w:rsid w:val="00060D3C"/>
    <w:rsid w:val="000833C2"/>
    <w:rsid w:val="000C4A52"/>
    <w:rsid w:val="000E35B3"/>
    <w:rsid w:val="000F4D51"/>
    <w:rsid w:val="001A1EAC"/>
    <w:rsid w:val="001D2566"/>
    <w:rsid w:val="00222E33"/>
    <w:rsid w:val="00231FCA"/>
    <w:rsid w:val="00236FDD"/>
    <w:rsid w:val="00260C34"/>
    <w:rsid w:val="0026376F"/>
    <w:rsid w:val="002825F6"/>
    <w:rsid w:val="00284B57"/>
    <w:rsid w:val="002974A1"/>
    <w:rsid w:val="002A613B"/>
    <w:rsid w:val="002B5B4E"/>
    <w:rsid w:val="00304159"/>
    <w:rsid w:val="00334CAC"/>
    <w:rsid w:val="00337D4D"/>
    <w:rsid w:val="00356EAA"/>
    <w:rsid w:val="00360BE2"/>
    <w:rsid w:val="00385E89"/>
    <w:rsid w:val="003E1953"/>
    <w:rsid w:val="003F5BD3"/>
    <w:rsid w:val="00401E41"/>
    <w:rsid w:val="004073E8"/>
    <w:rsid w:val="00463224"/>
    <w:rsid w:val="00512AB4"/>
    <w:rsid w:val="005273B3"/>
    <w:rsid w:val="005453B5"/>
    <w:rsid w:val="00555C9D"/>
    <w:rsid w:val="00590F9E"/>
    <w:rsid w:val="005C7441"/>
    <w:rsid w:val="006300F0"/>
    <w:rsid w:val="006F076A"/>
    <w:rsid w:val="00721452"/>
    <w:rsid w:val="00732A20"/>
    <w:rsid w:val="007359DA"/>
    <w:rsid w:val="007602BA"/>
    <w:rsid w:val="007650D0"/>
    <w:rsid w:val="00766883"/>
    <w:rsid w:val="007E0D85"/>
    <w:rsid w:val="007F3357"/>
    <w:rsid w:val="0081451C"/>
    <w:rsid w:val="00836D35"/>
    <w:rsid w:val="00850E4B"/>
    <w:rsid w:val="008772FA"/>
    <w:rsid w:val="00895141"/>
    <w:rsid w:val="008B7892"/>
    <w:rsid w:val="008C7356"/>
    <w:rsid w:val="0092699A"/>
    <w:rsid w:val="009A1468"/>
    <w:rsid w:val="009B05B1"/>
    <w:rsid w:val="009D0AFC"/>
    <w:rsid w:val="009D3EA6"/>
    <w:rsid w:val="009F70EA"/>
    <w:rsid w:val="00A0352F"/>
    <w:rsid w:val="00AC2422"/>
    <w:rsid w:val="00AC2BD6"/>
    <w:rsid w:val="00AD1BF6"/>
    <w:rsid w:val="00B155BC"/>
    <w:rsid w:val="00B9520C"/>
    <w:rsid w:val="00B96739"/>
    <w:rsid w:val="00BB000B"/>
    <w:rsid w:val="00C43CE6"/>
    <w:rsid w:val="00C5023F"/>
    <w:rsid w:val="00C92B02"/>
    <w:rsid w:val="00CB164C"/>
    <w:rsid w:val="00DB3B5C"/>
    <w:rsid w:val="00DD17D8"/>
    <w:rsid w:val="00E46B84"/>
    <w:rsid w:val="00ED472C"/>
    <w:rsid w:val="00F154FE"/>
    <w:rsid w:val="00F6608A"/>
    <w:rsid w:val="00F70776"/>
    <w:rsid w:val="00FB3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2245E"/>
  <w15:docId w15:val="{0898F3F0-B3BC-475D-8F5B-7D4D0B67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B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452"/>
    <w:rPr>
      <w:sz w:val="18"/>
      <w:szCs w:val="18"/>
    </w:rPr>
  </w:style>
  <w:style w:type="character" w:customStyle="1" w:styleId="a4">
    <w:name w:val="批注框文本 字符"/>
    <w:basedOn w:val="a0"/>
    <w:link w:val="a3"/>
    <w:uiPriority w:val="99"/>
    <w:semiHidden/>
    <w:rsid w:val="00721452"/>
    <w:rPr>
      <w:sz w:val="18"/>
      <w:szCs w:val="18"/>
    </w:rPr>
  </w:style>
  <w:style w:type="paragraph" w:styleId="a5">
    <w:name w:val="header"/>
    <w:basedOn w:val="a"/>
    <w:link w:val="a6"/>
    <w:uiPriority w:val="99"/>
    <w:unhideWhenUsed/>
    <w:rsid w:val="000C4A5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C4A52"/>
    <w:rPr>
      <w:sz w:val="18"/>
      <w:szCs w:val="18"/>
    </w:rPr>
  </w:style>
  <w:style w:type="paragraph" w:styleId="a7">
    <w:name w:val="footer"/>
    <w:basedOn w:val="a"/>
    <w:link w:val="a8"/>
    <w:uiPriority w:val="99"/>
    <w:unhideWhenUsed/>
    <w:rsid w:val="000C4A52"/>
    <w:pPr>
      <w:tabs>
        <w:tab w:val="center" w:pos="4153"/>
        <w:tab w:val="right" w:pos="8306"/>
      </w:tabs>
      <w:snapToGrid w:val="0"/>
      <w:jc w:val="left"/>
    </w:pPr>
    <w:rPr>
      <w:sz w:val="18"/>
      <w:szCs w:val="18"/>
    </w:rPr>
  </w:style>
  <w:style w:type="character" w:customStyle="1" w:styleId="a8">
    <w:name w:val="页脚 字符"/>
    <w:basedOn w:val="a0"/>
    <w:link w:val="a7"/>
    <w:uiPriority w:val="99"/>
    <w:rsid w:val="000C4A52"/>
    <w:rPr>
      <w:sz w:val="18"/>
      <w:szCs w:val="18"/>
    </w:rPr>
  </w:style>
  <w:style w:type="paragraph" w:styleId="a9">
    <w:name w:val="List Paragraph"/>
    <w:basedOn w:val="a"/>
    <w:uiPriority w:val="34"/>
    <w:qFormat/>
    <w:rsid w:val="002974A1"/>
    <w:pPr>
      <w:ind w:firstLineChars="200" w:firstLine="420"/>
    </w:pPr>
  </w:style>
  <w:style w:type="character" w:styleId="aa">
    <w:name w:val="annotation reference"/>
    <w:basedOn w:val="a0"/>
    <w:uiPriority w:val="99"/>
    <w:rsid w:val="000F3DF7"/>
    <w:rPr>
      <w:rFonts w:ascii="Tahoma" w:hAnsi="Tahoma" w:cs="Tahoma"/>
      <w:b w:val="0"/>
      <w:i w:val="0"/>
      <w:caps w:val="0"/>
      <w:strike w:val="0"/>
      <w:sz w:val="16"/>
      <w:szCs w:val="16"/>
      <w:u w:val="none"/>
    </w:rPr>
  </w:style>
  <w:style w:type="paragraph" w:styleId="ab">
    <w:name w:val="annotation text"/>
    <w:basedOn w:val="a"/>
    <w:link w:val="ac"/>
    <w:uiPriority w:val="99"/>
    <w:semiHidden/>
    <w:unhideWhenUsed/>
    <w:rPr>
      <w:rFonts w:ascii="Tahoma" w:hAnsi="Tahoma" w:cs="Tahoma"/>
      <w:sz w:val="16"/>
      <w:szCs w:val="20"/>
    </w:rPr>
  </w:style>
  <w:style w:type="character" w:customStyle="1" w:styleId="ac">
    <w:name w:val="批注文字 字符"/>
    <w:basedOn w:val="a0"/>
    <w:link w:val="ab"/>
    <w:uiPriority w:val="99"/>
    <w:semiHidden/>
    <w:rPr>
      <w:rFonts w:ascii="Tahoma" w:hAnsi="Tahoma" w:cs="Tahoma"/>
      <w:sz w:val="16"/>
      <w:szCs w:val="20"/>
    </w:rPr>
  </w:style>
  <w:style w:type="paragraph" w:styleId="ad">
    <w:name w:val="annotation subject"/>
    <w:basedOn w:val="ab"/>
    <w:next w:val="ab"/>
    <w:link w:val="ae"/>
    <w:uiPriority w:val="99"/>
    <w:semiHidden/>
    <w:unhideWhenUsed/>
    <w:rsid w:val="00236FDD"/>
    <w:rPr>
      <w:rFonts w:asciiTheme="minorHAnsi" w:hAnsiTheme="minorHAnsi" w:cstheme="minorBidi"/>
      <w:b/>
      <w:bCs/>
      <w:sz w:val="20"/>
    </w:rPr>
  </w:style>
  <w:style w:type="character" w:customStyle="1" w:styleId="ae">
    <w:name w:val="批注主题 字符"/>
    <w:basedOn w:val="ac"/>
    <w:link w:val="ad"/>
    <w:uiPriority w:val="99"/>
    <w:semiHidden/>
    <w:rsid w:val="00236FDD"/>
    <w:rPr>
      <w:rFonts w:ascii="Tahoma" w:hAnsi="Tahoma" w:cs="Tahoma"/>
      <w:b/>
      <w:bCs/>
      <w:sz w:val="20"/>
      <w:szCs w:val="20"/>
    </w:rPr>
  </w:style>
  <w:style w:type="character" w:styleId="af">
    <w:name w:val="line number"/>
    <w:basedOn w:val="a0"/>
    <w:uiPriority w:val="99"/>
    <w:semiHidden/>
    <w:unhideWhenUsed/>
    <w:rsid w:val="002B5B4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1245</Words>
  <Characters>7101</Characters>
  <Application>Microsoft Office Word</Application>
  <DocSecurity>0</DocSecurity>
  <Lines>59</Lines>
  <Paragraphs>16</Paragraphs>
  <ScaleCrop>false</ScaleCrop>
  <Company>Home</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Jie Chao</cp:lastModifiedBy>
  <cp:revision>11</cp:revision>
  <dcterms:created xsi:type="dcterms:W3CDTF">2021-07-26T08:00:00Z</dcterms:created>
  <dcterms:modified xsi:type="dcterms:W3CDTF">2021-10-11T08:43:00Z</dcterms:modified>
</cp:coreProperties>
</file>