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EC1A" w14:textId="2ECC8EBE" w:rsidR="00FC6CEB" w:rsidRPr="00794400" w:rsidRDefault="00794400" w:rsidP="001D288A">
      <w:pPr>
        <w:spacing w:line="360" w:lineRule="auto"/>
        <w:jc w:val="both"/>
        <w:rPr>
          <w:rFonts w:ascii="Times New Roman" w:hAnsi="Times New Roman" w:cs="Times New Roman"/>
          <w:b/>
          <w:bCs/>
          <w:sz w:val="24"/>
          <w:szCs w:val="24"/>
        </w:rPr>
      </w:pPr>
      <w:r w:rsidRPr="00794400">
        <w:rPr>
          <w:rFonts w:ascii="Times New Roman" w:hAnsi="Times New Roman" w:cs="Times New Roman"/>
          <w:b/>
          <w:bCs/>
          <w:sz w:val="24"/>
          <w:szCs w:val="24"/>
        </w:rPr>
        <w:t>Background</w:t>
      </w:r>
    </w:p>
    <w:p w14:paraId="2E23543A" w14:textId="1CD26DF4" w:rsidR="00FC6CEB" w:rsidRDefault="0097380E" w:rsidP="00A75047">
      <w:pPr>
        <w:spacing w:line="360" w:lineRule="auto"/>
        <w:ind w:firstLine="720"/>
        <w:jc w:val="both"/>
        <w:rPr>
          <w:rFonts w:ascii="Times New Roman" w:hAnsi="Times New Roman" w:cs="Times New Roman"/>
          <w:sz w:val="24"/>
          <w:szCs w:val="24"/>
        </w:rPr>
      </w:pPr>
      <w:r w:rsidRPr="00B65C19">
        <w:rPr>
          <w:rFonts w:ascii="Times New Roman" w:hAnsi="Times New Roman" w:cs="Times New Roman"/>
          <w:sz w:val="24"/>
          <w:szCs w:val="24"/>
        </w:rPr>
        <w:t>While the jump height of each participant was experimentally controlled relatively to their individual jump ability, the absolute jump height differences between participants can have potential effects on kinematic and kinetic variables</w:t>
      </w:r>
      <w:r w:rsidR="00246F32" w:rsidRPr="00B65C19">
        <w:rPr>
          <w:rFonts w:ascii="Times New Roman" w:hAnsi="Times New Roman" w:cs="Times New Roman"/>
          <w:sz w:val="24"/>
          <w:szCs w:val="24"/>
        </w:rPr>
        <w:t xml:space="preserve"> </w:t>
      </w:r>
      <w:r w:rsidR="00246F32" w:rsidRPr="00B65C19">
        <w:rPr>
          <w:rFonts w:ascii="Times New Roman" w:hAnsi="Times New Roman" w:cs="Times New Roman"/>
          <w:sz w:val="24"/>
          <w:szCs w:val="24"/>
        </w:rPr>
        <w:fldChar w:fldCharType="begin"/>
      </w:r>
      <w:r w:rsidR="00246F32" w:rsidRPr="00B65C19">
        <w:rPr>
          <w:rFonts w:ascii="Times New Roman" w:hAnsi="Times New Roman" w:cs="Times New Roman"/>
          <w:sz w:val="24"/>
          <w:szCs w:val="24"/>
        </w:rPr>
        <w:instrText xml:space="preserve"> ADDIN ZOTERO_ITEM CSL_CITATION {"citationID":"Qqh0TZ1R","properties":{"formattedCitation":"(Ali, Robertson and Rouhi, 2014; Peng et al., 2019)","plainCitation":"(Ali, Robertson and Rouhi, 2014; Peng et al., 2019)","noteIndex":0},"citationItems":[{"id":342,"uris":["http://zotero.org/users/7346931/items/X5HFNH4Q"],"uri":["http://zotero.org/users/7346931/items/X5HFNH4Q"],"itemData":{"id":342,"type":"article-journal","abstract":"Purpose: This study identiﬁed kinematic and knee energetic variables that reduce the risk of non-contact anterior cruciate ligament (ACL) injury during single-leg landings from increasing vertical heights and horizontal distances.","container-title":"The Knee","DOI":"10.1016/j.knee.2012.12.003","ISSN":"09680160","issue":"1","journalAbbreviation":"The Knee","language":"en","page":"38-46","source":"DOI.org (Crossref)","title":"Sagittal plane body kinematics and kinetics during single-leg landing from increasing vertical heights and horizontal distances: Implications for risk of non-contact ACL injury","title-short":"Sagittal plane body kinematics and kinetics during single-leg landing from increasing vertical heights and horizontal distances","volume":"21","author":[{"family":"Ali","given":"Nicholas"},{"family":"Robertson","given":"D. Gordon E."},{"family":"Rouhi","given":"Gholamreza"}],"issued":{"date-parts":[["2014",1]]}}},{"id":291,"uris":["http://zotero.org/users/7346931/items/ZYIJ44Q3"],"uri":["http://zotero.org/users/7346931/items/ZYIJ44Q3"],"itemData":{"id":291,"type":"article-journal","abstract":"Abstract\n            Previous cross-sectional studies have reported that higher drop heights do not always result in improved performance, and may increase injury risk during drop jumps (DJ). The purpose of this study was to analyze the kinematics and kinetics during the DJ in order to determine the relative drop height that maximize performance without exposing the lower extremity joints to unnecessary loads. Twenty male Division I college volleyball players volunteered. Data were collected using 11 infrared cameras and two force platforms. Participants performed three maximal effort countermovement jumps (CMJ). Subsequently, 50, 75, 100, 125, and 150% CMJ height (CMJH) was used to scale their relative drop height for three DJ trials per height. There was a significant increase in the landing phase impulse when the drop height exceeded 100%CMJH (p&lt;0.05). At 125% and 150%CMJH, the negative work of knee and ankle significantly increased. The incoming velocity, kinetic energy, landing depth, maximum ground reaction force, landing impulse and power absorption of knee and ankle all increased with drop height (p&lt;0.05). DJ height and reactive strength index following the drop landing were not statistically different between any of the drop heights (p&gt;0.05). 50% to 100%CMJH may be the appropriate individual relative drop height for the DJ.","container-title":"International Journal of Sports Medicine","DOI":"10.1055/a-0969-8623","ISSN":"0172-4622, 1439-3964","issue":"13","journalAbbreviation":"Int J Sports Med","language":"en","page":"863-870","source":"DOI.org (Crossref)","title":"Effects of Relative Drop Heights of Drop Jump Biomechanics in Male Volleyball Players","volume":"40","author":[{"family":"Peng","given":"Hsien-Te"},{"family":"Song","given":"Chen-Yi"},{"family":"Wallace","given":"Brian J."},{"family":"Kernozek","given":"Thomas W."},{"family":"Wang","given":"Min-Hsien"},{"family":"Wang","given":"Yu-Han"}],"issued":{"date-parts":[["2019",12]]}}}],"schema":"https://github.com/citation-style-language/schema/raw/master/csl-citation.json"} </w:instrText>
      </w:r>
      <w:r w:rsidR="00246F32" w:rsidRPr="00B65C19">
        <w:rPr>
          <w:rFonts w:ascii="Times New Roman" w:hAnsi="Times New Roman" w:cs="Times New Roman"/>
          <w:sz w:val="24"/>
          <w:szCs w:val="24"/>
        </w:rPr>
        <w:fldChar w:fldCharType="separate"/>
      </w:r>
      <w:r w:rsidR="00246F32" w:rsidRPr="00B65C19">
        <w:rPr>
          <w:rFonts w:ascii="Times New Roman" w:hAnsi="Times New Roman" w:cs="Times New Roman"/>
          <w:sz w:val="24"/>
          <w:szCs w:val="24"/>
        </w:rPr>
        <w:t xml:space="preserve">(Ali, Robertson and </w:t>
      </w:r>
      <w:proofErr w:type="spellStart"/>
      <w:r w:rsidR="00246F32" w:rsidRPr="00B65C19">
        <w:rPr>
          <w:rFonts w:ascii="Times New Roman" w:hAnsi="Times New Roman" w:cs="Times New Roman"/>
          <w:sz w:val="24"/>
          <w:szCs w:val="24"/>
        </w:rPr>
        <w:t>Rouhi</w:t>
      </w:r>
      <w:proofErr w:type="spellEnd"/>
      <w:r w:rsidR="00246F32" w:rsidRPr="00B65C19">
        <w:rPr>
          <w:rFonts w:ascii="Times New Roman" w:hAnsi="Times New Roman" w:cs="Times New Roman"/>
          <w:sz w:val="24"/>
          <w:szCs w:val="24"/>
        </w:rPr>
        <w:t>, 2014; Peng et al., 2019)</w:t>
      </w:r>
      <w:r w:rsidR="00246F32" w:rsidRPr="00B65C19">
        <w:rPr>
          <w:rFonts w:ascii="Times New Roman" w:hAnsi="Times New Roman" w:cs="Times New Roman"/>
          <w:sz w:val="24"/>
          <w:szCs w:val="24"/>
        </w:rPr>
        <w:fldChar w:fldCharType="end"/>
      </w:r>
      <w:r w:rsidRPr="00B65C19">
        <w:rPr>
          <w:rFonts w:ascii="Times New Roman" w:hAnsi="Times New Roman" w:cs="Times New Roman"/>
          <w:sz w:val="24"/>
          <w:szCs w:val="24"/>
        </w:rPr>
        <w:t xml:space="preserve">. </w:t>
      </w:r>
    </w:p>
    <w:p w14:paraId="4B516153" w14:textId="77777777" w:rsidR="00FC6CEB" w:rsidRDefault="00FC6CEB" w:rsidP="001D288A">
      <w:pPr>
        <w:spacing w:line="360" w:lineRule="auto"/>
        <w:jc w:val="both"/>
        <w:rPr>
          <w:rFonts w:ascii="Times New Roman" w:hAnsi="Times New Roman" w:cs="Times New Roman"/>
          <w:b/>
          <w:bCs/>
          <w:sz w:val="24"/>
          <w:szCs w:val="24"/>
        </w:rPr>
      </w:pPr>
    </w:p>
    <w:p w14:paraId="1EBCE300" w14:textId="37AEE343" w:rsidR="00FC6CEB" w:rsidRPr="00FC6CEB" w:rsidRDefault="00FC6CEB" w:rsidP="001D288A">
      <w:pPr>
        <w:spacing w:line="360" w:lineRule="auto"/>
        <w:jc w:val="both"/>
        <w:rPr>
          <w:rFonts w:ascii="Times New Roman" w:hAnsi="Times New Roman" w:cs="Times New Roman"/>
          <w:b/>
          <w:bCs/>
          <w:sz w:val="24"/>
          <w:szCs w:val="24"/>
        </w:rPr>
      </w:pPr>
      <w:r w:rsidRPr="00FC6CEB">
        <w:rPr>
          <w:rFonts w:ascii="Times New Roman" w:hAnsi="Times New Roman" w:cs="Times New Roman"/>
          <w:b/>
          <w:bCs/>
          <w:sz w:val="24"/>
          <w:szCs w:val="24"/>
        </w:rPr>
        <w:t>Statistics</w:t>
      </w:r>
    </w:p>
    <w:p w14:paraId="0A3FE1F5" w14:textId="07CE9508" w:rsidR="00AE651D" w:rsidRDefault="00FC6CEB" w:rsidP="00A750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7380E" w:rsidRPr="00B65C19">
        <w:rPr>
          <w:rFonts w:ascii="Times New Roman" w:hAnsi="Times New Roman" w:cs="Times New Roman"/>
          <w:sz w:val="24"/>
          <w:szCs w:val="24"/>
        </w:rPr>
        <w:t>he expertise effect was evaluated through a second statistical model using a one-way ANCOVA with jump height as covariate factor. A permutation test was performed when the assumptions for ANCOVA were not satisfied. The significance level was set at p&lt;0.05.</w:t>
      </w:r>
      <w:r w:rsidR="00D00776">
        <w:rPr>
          <w:rFonts w:ascii="Times New Roman" w:hAnsi="Times New Roman" w:cs="Times New Roman"/>
          <w:sz w:val="24"/>
          <w:szCs w:val="24"/>
        </w:rPr>
        <w:t xml:space="preserve"> </w:t>
      </w:r>
      <w:r w:rsidR="00D00776" w:rsidRPr="00D00776">
        <w:rPr>
          <w:rFonts w:ascii="Times New Roman" w:hAnsi="Times New Roman" w:cs="Times New Roman"/>
          <w:sz w:val="24"/>
          <w:szCs w:val="24"/>
        </w:rPr>
        <w:t>Cohen's d was used to determine small (0.2-0.5), medium (0.5-0.8) and large (&gt;0.8) effect sizes.</w:t>
      </w:r>
      <w:r w:rsidR="0097380E" w:rsidRPr="00B65C19">
        <w:rPr>
          <w:rFonts w:ascii="Times New Roman" w:hAnsi="Times New Roman" w:cs="Times New Roman"/>
          <w:sz w:val="24"/>
          <w:szCs w:val="24"/>
        </w:rPr>
        <w:t xml:space="preserve"> All statistical analyses were performed using RStudio software (version 1.1.453, RStudio, Inc).</w:t>
      </w:r>
    </w:p>
    <w:p w14:paraId="752EBB40" w14:textId="77777777" w:rsidR="00FC6CEB" w:rsidRPr="00B65C19" w:rsidRDefault="00FC6CEB" w:rsidP="001D288A">
      <w:pPr>
        <w:spacing w:line="360" w:lineRule="auto"/>
        <w:jc w:val="both"/>
        <w:rPr>
          <w:rFonts w:ascii="Times New Roman" w:hAnsi="Times New Roman" w:cs="Times New Roman"/>
          <w:sz w:val="24"/>
          <w:szCs w:val="24"/>
        </w:rPr>
      </w:pPr>
    </w:p>
    <w:p w14:paraId="52E27A83" w14:textId="2E584C69" w:rsidR="009948DE" w:rsidRPr="00FC6CEB" w:rsidRDefault="00FC6CEB" w:rsidP="001D288A">
      <w:pPr>
        <w:spacing w:line="360" w:lineRule="auto"/>
        <w:jc w:val="both"/>
        <w:rPr>
          <w:rFonts w:ascii="Times New Roman" w:hAnsi="Times New Roman" w:cs="Times New Roman"/>
          <w:b/>
          <w:bCs/>
          <w:sz w:val="24"/>
          <w:szCs w:val="24"/>
        </w:rPr>
      </w:pPr>
      <w:r w:rsidRPr="00FC6CEB">
        <w:rPr>
          <w:rFonts w:ascii="Times New Roman" w:hAnsi="Times New Roman" w:cs="Times New Roman"/>
          <w:b/>
          <w:bCs/>
          <w:sz w:val="24"/>
          <w:szCs w:val="24"/>
        </w:rPr>
        <w:t>Results</w:t>
      </w:r>
    </w:p>
    <w:p w14:paraId="249703F2" w14:textId="5E288881" w:rsidR="00A12A20" w:rsidRDefault="00797DCE" w:rsidP="00F2753F">
      <w:pPr>
        <w:spacing w:line="360" w:lineRule="auto"/>
        <w:ind w:firstLine="720"/>
        <w:jc w:val="both"/>
        <w:rPr>
          <w:rFonts w:ascii="Times New Roman" w:hAnsi="Times New Roman" w:cs="Times New Roman"/>
          <w:color w:val="000000" w:themeColor="text1"/>
          <w:sz w:val="24"/>
          <w:szCs w:val="24"/>
        </w:rPr>
        <w:sectPr w:rsidR="00A12A20" w:rsidSect="00553CD6">
          <w:pgSz w:w="11906" w:h="16838"/>
          <w:pgMar w:top="1417" w:right="1417" w:bottom="1417" w:left="1417" w:header="708" w:footer="708" w:gutter="0"/>
          <w:cols w:space="708"/>
          <w:docGrid w:linePitch="360"/>
        </w:sectPr>
      </w:pPr>
      <w:r>
        <w:rPr>
          <w:rFonts w:ascii="Times New Roman" w:hAnsi="Times New Roman" w:cs="Times New Roman"/>
          <w:color w:val="000000" w:themeColor="text1"/>
          <w:sz w:val="24"/>
          <w:szCs w:val="24"/>
        </w:rPr>
        <w:t>For the block jump,</w:t>
      </w:r>
      <w:r w:rsidR="009948DE" w:rsidRPr="00B65C19">
        <w:rPr>
          <w:rFonts w:ascii="Times New Roman" w:hAnsi="Times New Roman" w:cs="Times New Roman"/>
          <w:color w:val="000000" w:themeColor="text1"/>
          <w:sz w:val="24"/>
          <w:szCs w:val="24"/>
        </w:rPr>
        <w:t xml:space="preserve"> the ANCOVA</w:t>
      </w:r>
      <w:r>
        <w:rPr>
          <w:rFonts w:ascii="Times New Roman" w:hAnsi="Times New Roman" w:cs="Times New Roman"/>
          <w:color w:val="000000" w:themeColor="text1"/>
          <w:sz w:val="24"/>
          <w:szCs w:val="24"/>
        </w:rPr>
        <w:t xml:space="preserve"> revealed</w:t>
      </w:r>
      <w:r w:rsidR="009948DE" w:rsidRPr="00B65C19">
        <w:rPr>
          <w:rFonts w:ascii="Times New Roman" w:hAnsi="Times New Roman" w:cs="Times New Roman"/>
          <w:color w:val="000000" w:themeColor="text1"/>
          <w:sz w:val="24"/>
          <w:szCs w:val="24"/>
        </w:rPr>
        <w:t xml:space="preserve"> no statistically significant difference was between groups on each kinematic </w:t>
      </w:r>
      <w:r>
        <w:rPr>
          <w:rFonts w:ascii="Times New Roman" w:hAnsi="Times New Roman" w:cs="Times New Roman"/>
          <w:color w:val="000000" w:themeColor="text1"/>
          <w:sz w:val="24"/>
          <w:szCs w:val="24"/>
        </w:rPr>
        <w:t xml:space="preserve">and </w:t>
      </w:r>
      <w:r w:rsidR="009948DE" w:rsidRPr="00B65C19">
        <w:rPr>
          <w:rFonts w:ascii="Times New Roman" w:hAnsi="Times New Roman" w:cs="Times New Roman"/>
          <w:color w:val="000000" w:themeColor="text1"/>
          <w:sz w:val="24"/>
          <w:szCs w:val="24"/>
        </w:rPr>
        <w:t>kinetic variable</w:t>
      </w:r>
      <w:r w:rsidR="00B07990">
        <w:rPr>
          <w:rFonts w:ascii="Times New Roman" w:hAnsi="Times New Roman" w:cs="Times New Roman"/>
          <w:color w:val="000000" w:themeColor="text1"/>
          <w:sz w:val="24"/>
          <w:szCs w:val="24"/>
        </w:rPr>
        <w:t xml:space="preserve"> (Table 1). </w:t>
      </w:r>
      <w:r w:rsidR="008E59D9">
        <w:rPr>
          <w:rFonts w:ascii="Times New Roman" w:hAnsi="Times New Roman" w:cs="Times New Roman"/>
          <w:color w:val="000000" w:themeColor="text1"/>
          <w:sz w:val="24"/>
          <w:szCs w:val="24"/>
        </w:rPr>
        <w:t>For the spike jump, t</w:t>
      </w:r>
      <w:r w:rsidR="00C90E33" w:rsidRPr="00B65C19">
        <w:rPr>
          <w:rFonts w:ascii="Times New Roman" w:hAnsi="Times New Roman" w:cs="Times New Roman"/>
          <w:color w:val="000000" w:themeColor="text1"/>
          <w:sz w:val="24"/>
          <w:szCs w:val="24"/>
        </w:rPr>
        <w:t>he ANCOVA showed statistically significant differences with a large effect size on ankle dorsiflexion angle at initial ground contact (</w:t>
      </w:r>
      <w:r w:rsidR="00C90E33" w:rsidRPr="00B65C19">
        <w:rPr>
          <w:rFonts w:ascii="Times New Roman" w:hAnsi="Times New Roman" w:cs="Times New Roman"/>
          <w:i/>
          <w:iCs/>
          <w:color w:val="000000" w:themeColor="text1"/>
          <w:sz w:val="24"/>
          <w:szCs w:val="24"/>
        </w:rPr>
        <w:t>p</w:t>
      </w:r>
      <w:r w:rsidR="00C90E33" w:rsidRPr="00B65C19">
        <w:rPr>
          <w:rFonts w:ascii="Times New Roman" w:hAnsi="Times New Roman" w:cs="Times New Roman"/>
          <w:color w:val="000000" w:themeColor="text1"/>
          <w:sz w:val="24"/>
          <w:szCs w:val="24"/>
        </w:rPr>
        <w:t xml:space="preserve"> = 0.030, </w:t>
      </w:r>
      <w:r w:rsidR="00C90E33" w:rsidRPr="00B65C19">
        <w:rPr>
          <w:rFonts w:ascii="Times New Roman" w:hAnsi="Times New Roman" w:cs="Times New Roman"/>
          <w:i/>
          <w:iCs/>
          <w:color w:val="000000" w:themeColor="text1"/>
          <w:sz w:val="24"/>
          <w:szCs w:val="24"/>
        </w:rPr>
        <w:t>d</w:t>
      </w:r>
      <w:r w:rsidR="00C90E33" w:rsidRPr="00B65C19">
        <w:rPr>
          <w:rFonts w:ascii="Times New Roman" w:hAnsi="Times New Roman" w:cs="Times New Roman"/>
          <w:color w:val="000000" w:themeColor="text1"/>
          <w:sz w:val="24"/>
          <w:szCs w:val="24"/>
        </w:rPr>
        <w:t> = 0.988) and on ankle dorsiflexion range of motion (</w:t>
      </w:r>
      <w:r w:rsidR="00C90E33" w:rsidRPr="00B65C19">
        <w:rPr>
          <w:rFonts w:ascii="Times New Roman" w:hAnsi="Times New Roman" w:cs="Times New Roman"/>
          <w:i/>
          <w:iCs/>
          <w:color w:val="000000" w:themeColor="text1"/>
          <w:sz w:val="24"/>
          <w:szCs w:val="24"/>
        </w:rPr>
        <w:t>p</w:t>
      </w:r>
      <w:r w:rsidR="00C90E33" w:rsidRPr="00B65C19">
        <w:rPr>
          <w:rFonts w:ascii="Times New Roman" w:hAnsi="Times New Roman" w:cs="Times New Roman"/>
          <w:color w:val="000000" w:themeColor="text1"/>
          <w:sz w:val="24"/>
          <w:szCs w:val="24"/>
        </w:rPr>
        <w:t xml:space="preserve"> = 0.018, </w:t>
      </w:r>
      <w:r w:rsidR="00C90E33" w:rsidRPr="00B65C19">
        <w:rPr>
          <w:rFonts w:ascii="Times New Roman" w:hAnsi="Times New Roman" w:cs="Times New Roman"/>
          <w:i/>
          <w:iCs/>
          <w:color w:val="000000" w:themeColor="text1"/>
          <w:sz w:val="24"/>
          <w:szCs w:val="24"/>
        </w:rPr>
        <w:t>d</w:t>
      </w:r>
      <w:r w:rsidR="00C90E33" w:rsidRPr="00B65C19">
        <w:rPr>
          <w:rFonts w:ascii="Times New Roman" w:hAnsi="Times New Roman" w:cs="Times New Roman"/>
          <w:color w:val="000000" w:themeColor="text1"/>
          <w:sz w:val="24"/>
          <w:szCs w:val="24"/>
        </w:rPr>
        <w:t> = 1.308), and a medium effect size on knee flexion range of motion (</w:t>
      </w:r>
      <w:r w:rsidR="00C90E33" w:rsidRPr="00B65C19">
        <w:rPr>
          <w:rFonts w:ascii="Times New Roman" w:hAnsi="Times New Roman" w:cs="Times New Roman"/>
          <w:i/>
          <w:iCs/>
          <w:color w:val="000000" w:themeColor="text1"/>
          <w:sz w:val="24"/>
          <w:szCs w:val="24"/>
        </w:rPr>
        <w:t>p</w:t>
      </w:r>
      <w:r w:rsidR="00C90E33" w:rsidRPr="00B65C19">
        <w:rPr>
          <w:rFonts w:ascii="Times New Roman" w:hAnsi="Times New Roman" w:cs="Times New Roman"/>
          <w:color w:val="000000" w:themeColor="text1"/>
          <w:sz w:val="24"/>
          <w:szCs w:val="24"/>
        </w:rPr>
        <w:t xml:space="preserve"> = 0.038, </w:t>
      </w:r>
      <w:r w:rsidR="00C90E33" w:rsidRPr="00B65C19">
        <w:rPr>
          <w:rFonts w:ascii="Times New Roman" w:hAnsi="Times New Roman" w:cs="Times New Roman"/>
          <w:i/>
          <w:iCs/>
          <w:color w:val="000000" w:themeColor="text1"/>
          <w:sz w:val="24"/>
          <w:szCs w:val="24"/>
        </w:rPr>
        <w:t>d</w:t>
      </w:r>
      <w:r w:rsidR="00C90E33" w:rsidRPr="00B65C19">
        <w:rPr>
          <w:rFonts w:ascii="Times New Roman" w:hAnsi="Times New Roman" w:cs="Times New Roman"/>
          <w:color w:val="000000" w:themeColor="text1"/>
          <w:sz w:val="24"/>
          <w:szCs w:val="24"/>
        </w:rPr>
        <w:t> = 0.511) and on knee adduction angle at initial ground contact (</w:t>
      </w:r>
      <w:r w:rsidR="00C90E33" w:rsidRPr="00B65C19">
        <w:rPr>
          <w:rFonts w:ascii="Times New Roman" w:hAnsi="Times New Roman" w:cs="Times New Roman"/>
          <w:i/>
          <w:iCs/>
          <w:color w:val="000000" w:themeColor="text1"/>
          <w:sz w:val="24"/>
          <w:szCs w:val="24"/>
        </w:rPr>
        <w:t>p</w:t>
      </w:r>
      <w:r w:rsidR="00C90E33" w:rsidRPr="00B65C19">
        <w:rPr>
          <w:rFonts w:ascii="Times New Roman" w:hAnsi="Times New Roman" w:cs="Times New Roman"/>
          <w:color w:val="000000" w:themeColor="text1"/>
          <w:sz w:val="24"/>
          <w:szCs w:val="24"/>
        </w:rPr>
        <w:t xml:space="preserve"> = 0.040, </w:t>
      </w:r>
      <w:r w:rsidR="00C90E33" w:rsidRPr="00B65C19">
        <w:rPr>
          <w:rFonts w:ascii="Times New Roman" w:hAnsi="Times New Roman" w:cs="Times New Roman"/>
          <w:i/>
          <w:iCs/>
          <w:color w:val="000000" w:themeColor="text1"/>
          <w:sz w:val="24"/>
          <w:szCs w:val="24"/>
        </w:rPr>
        <w:t>d</w:t>
      </w:r>
      <w:r w:rsidR="00C90E33" w:rsidRPr="00B65C19">
        <w:rPr>
          <w:rFonts w:ascii="Times New Roman" w:hAnsi="Times New Roman" w:cs="Times New Roman"/>
          <w:color w:val="000000" w:themeColor="text1"/>
          <w:sz w:val="24"/>
          <w:szCs w:val="24"/>
        </w:rPr>
        <w:t xml:space="preserve"> = 0.677). Experienced volleyball players landed with statistically significant larger ankle plantarflexion angle at initial contact, ankle dorsiflexion and knee flexion range of motions, and statistically significant lower knee adduction angle at initial contact compared to novices. No statistically significant difference was found between groups on the other </w:t>
      </w:r>
      <w:r w:rsidR="007C07C3" w:rsidRPr="00B65C19">
        <w:rPr>
          <w:rFonts w:ascii="Times New Roman" w:hAnsi="Times New Roman" w:cs="Times New Roman"/>
          <w:color w:val="000000" w:themeColor="text1"/>
          <w:sz w:val="24"/>
          <w:szCs w:val="24"/>
        </w:rPr>
        <w:t xml:space="preserve">kinematic </w:t>
      </w:r>
      <w:r w:rsidR="007C07C3">
        <w:rPr>
          <w:rFonts w:ascii="Times New Roman" w:hAnsi="Times New Roman" w:cs="Times New Roman"/>
          <w:color w:val="000000" w:themeColor="text1"/>
          <w:sz w:val="24"/>
          <w:szCs w:val="24"/>
        </w:rPr>
        <w:t xml:space="preserve">of </w:t>
      </w:r>
      <w:r w:rsidR="00C90E33" w:rsidRPr="00B65C19">
        <w:rPr>
          <w:rFonts w:ascii="Times New Roman" w:hAnsi="Times New Roman" w:cs="Times New Roman"/>
          <w:color w:val="000000" w:themeColor="text1"/>
          <w:sz w:val="24"/>
          <w:szCs w:val="24"/>
        </w:rPr>
        <w:t>kinetic variables.</w:t>
      </w:r>
    </w:p>
    <w:tbl>
      <w:tblPr>
        <w:tblStyle w:val="Grilledutableau"/>
        <w:tblpPr w:leftFromText="180" w:rightFromText="180" w:vertAnchor="page" w:horzAnchor="margin" w:tblpY="2086"/>
        <w:tblW w:w="14850" w:type="dxa"/>
        <w:tblLook w:val="04A0" w:firstRow="1" w:lastRow="0" w:firstColumn="1" w:lastColumn="0" w:noHBand="0" w:noVBand="1"/>
      </w:tblPr>
      <w:tblGrid>
        <w:gridCol w:w="2855"/>
        <w:gridCol w:w="1999"/>
        <w:gridCol w:w="1999"/>
        <w:gridCol w:w="1999"/>
        <w:gridCol w:w="1999"/>
        <w:gridCol w:w="1999"/>
        <w:gridCol w:w="2000"/>
      </w:tblGrid>
      <w:tr w:rsidR="00AC5826" w14:paraId="185CABC4" w14:textId="77777777" w:rsidTr="00AC5826">
        <w:tc>
          <w:tcPr>
            <w:tcW w:w="2855" w:type="dxa"/>
          </w:tcPr>
          <w:p w14:paraId="3654C6FE" w14:textId="77777777" w:rsidR="00AC5826" w:rsidRPr="006553C4" w:rsidRDefault="00AC5826" w:rsidP="00AC5826">
            <w:pPr>
              <w:spacing w:line="276" w:lineRule="auto"/>
              <w:jc w:val="both"/>
              <w:rPr>
                <w:rFonts w:ascii="Times New Roman" w:hAnsi="Times New Roman" w:cs="Times New Roman"/>
              </w:rPr>
            </w:pPr>
          </w:p>
          <w:p w14:paraId="6D62C05C" w14:textId="77777777" w:rsidR="00AC5826" w:rsidRPr="006553C4" w:rsidRDefault="00AC5826" w:rsidP="00AC5826">
            <w:pPr>
              <w:spacing w:line="276" w:lineRule="auto"/>
              <w:jc w:val="both"/>
              <w:rPr>
                <w:rFonts w:ascii="Times New Roman" w:hAnsi="Times New Roman" w:cs="Times New Roman"/>
              </w:rPr>
            </w:pPr>
          </w:p>
        </w:tc>
        <w:tc>
          <w:tcPr>
            <w:tcW w:w="5997" w:type="dxa"/>
            <w:gridSpan w:val="3"/>
          </w:tcPr>
          <w:p w14:paraId="007A6B3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Bock jump</w:t>
            </w:r>
          </w:p>
        </w:tc>
        <w:tc>
          <w:tcPr>
            <w:tcW w:w="5998" w:type="dxa"/>
            <w:gridSpan w:val="3"/>
          </w:tcPr>
          <w:p w14:paraId="736F856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Spike jump</w:t>
            </w:r>
          </w:p>
        </w:tc>
      </w:tr>
      <w:tr w:rsidR="00AC5826" w14:paraId="685621FA" w14:textId="77777777" w:rsidTr="00AC5826">
        <w:tc>
          <w:tcPr>
            <w:tcW w:w="2855" w:type="dxa"/>
          </w:tcPr>
          <w:p w14:paraId="36362ED5" w14:textId="77777777" w:rsidR="00AC5826" w:rsidRPr="006553C4" w:rsidRDefault="00AC5826" w:rsidP="00AC5826">
            <w:pPr>
              <w:spacing w:line="276" w:lineRule="auto"/>
              <w:jc w:val="both"/>
              <w:rPr>
                <w:rFonts w:ascii="Times New Roman" w:hAnsi="Times New Roman" w:cs="Times New Roman"/>
              </w:rPr>
            </w:pPr>
          </w:p>
        </w:tc>
        <w:tc>
          <w:tcPr>
            <w:tcW w:w="1999" w:type="dxa"/>
          </w:tcPr>
          <w:p w14:paraId="57AF76CC"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Experienced</w:t>
            </w:r>
          </w:p>
          <w:p w14:paraId="016D4CA6"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group</w:t>
            </w:r>
          </w:p>
        </w:tc>
        <w:tc>
          <w:tcPr>
            <w:tcW w:w="1999" w:type="dxa"/>
          </w:tcPr>
          <w:p w14:paraId="59223C4B"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Novice</w:t>
            </w:r>
          </w:p>
          <w:p w14:paraId="116FE7BC"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group</w:t>
            </w:r>
          </w:p>
        </w:tc>
        <w:tc>
          <w:tcPr>
            <w:tcW w:w="1999" w:type="dxa"/>
          </w:tcPr>
          <w:p w14:paraId="0D19D81D"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ANCOVA</w:t>
            </w:r>
          </w:p>
          <w:p w14:paraId="33848895" w14:textId="77777777" w:rsidR="00AC5826" w:rsidRPr="006553C4" w:rsidRDefault="00AC5826" w:rsidP="00AC5826">
            <w:pPr>
              <w:spacing w:line="276" w:lineRule="auto"/>
              <w:jc w:val="center"/>
              <w:rPr>
                <w:rFonts w:ascii="Times New Roman" w:hAnsi="Times New Roman" w:cs="Times New Roman"/>
                <w:i/>
                <w:iCs/>
              </w:rPr>
            </w:pPr>
            <w:r w:rsidRPr="006553C4">
              <w:rPr>
                <w:rFonts w:ascii="Times New Roman" w:hAnsi="Times New Roman" w:cs="Times New Roman"/>
                <w:i/>
                <w:iCs/>
              </w:rPr>
              <w:t>p-values</w:t>
            </w:r>
          </w:p>
        </w:tc>
        <w:tc>
          <w:tcPr>
            <w:tcW w:w="1999" w:type="dxa"/>
          </w:tcPr>
          <w:p w14:paraId="7E7890DF"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Experienced</w:t>
            </w:r>
          </w:p>
          <w:p w14:paraId="725AA58F"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group</w:t>
            </w:r>
          </w:p>
        </w:tc>
        <w:tc>
          <w:tcPr>
            <w:tcW w:w="1999" w:type="dxa"/>
          </w:tcPr>
          <w:p w14:paraId="1A8E442E"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Novice</w:t>
            </w:r>
          </w:p>
          <w:p w14:paraId="5EDA5B78"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group</w:t>
            </w:r>
          </w:p>
        </w:tc>
        <w:tc>
          <w:tcPr>
            <w:tcW w:w="2000" w:type="dxa"/>
          </w:tcPr>
          <w:p w14:paraId="79F404B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ANCOVA</w:t>
            </w:r>
          </w:p>
          <w:p w14:paraId="21663042" w14:textId="77777777" w:rsidR="00AC5826" w:rsidRPr="006553C4" w:rsidRDefault="00AC5826" w:rsidP="00AC5826">
            <w:pPr>
              <w:spacing w:line="276" w:lineRule="auto"/>
              <w:jc w:val="center"/>
              <w:rPr>
                <w:rFonts w:ascii="Times New Roman" w:hAnsi="Times New Roman" w:cs="Times New Roman"/>
                <w:i/>
                <w:iCs/>
              </w:rPr>
            </w:pPr>
            <w:r w:rsidRPr="006553C4">
              <w:rPr>
                <w:rFonts w:ascii="Times New Roman" w:hAnsi="Times New Roman" w:cs="Times New Roman"/>
                <w:i/>
                <w:iCs/>
              </w:rPr>
              <w:t>p-values</w:t>
            </w:r>
          </w:p>
        </w:tc>
      </w:tr>
      <w:tr w:rsidR="00AC5826" w14:paraId="0779989E" w14:textId="77777777" w:rsidTr="00AC5826">
        <w:tc>
          <w:tcPr>
            <w:tcW w:w="2855" w:type="dxa"/>
          </w:tcPr>
          <w:p w14:paraId="4B625108" w14:textId="77777777" w:rsidR="00AC5826" w:rsidRPr="006553C4" w:rsidRDefault="00AC5826" w:rsidP="00AC5826">
            <w:pPr>
              <w:spacing w:line="276" w:lineRule="auto"/>
              <w:rPr>
                <w:rFonts w:ascii="Times New Roman" w:hAnsi="Times New Roman" w:cs="Times New Roman"/>
              </w:rPr>
            </w:pPr>
            <w:r w:rsidRPr="006553C4">
              <w:rPr>
                <w:rFonts w:ascii="Times New Roman" w:hAnsi="Times New Roman" w:cs="Times New Roman"/>
              </w:rPr>
              <w:t xml:space="preserve">Hip flexion angle </w:t>
            </w:r>
            <w:proofErr w:type="spellStart"/>
            <w:r w:rsidRPr="006553C4">
              <w:rPr>
                <w:rFonts w:ascii="Times New Roman" w:hAnsi="Times New Roman" w:cs="Times New Roman"/>
              </w:rPr>
              <w:t>IC</w:t>
            </w:r>
            <w:r w:rsidRPr="006553C4">
              <w:rPr>
                <w:rFonts w:ascii="Times New Roman" w:hAnsi="Times New Roman" w:cs="Times New Roman"/>
                <w:vertAlign w:val="superscript"/>
              </w:rPr>
              <w:t>a</w:t>
            </w:r>
            <w:proofErr w:type="spellEnd"/>
            <w:r w:rsidRPr="006553C4">
              <w:rPr>
                <w:rFonts w:ascii="Times New Roman" w:hAnsi="Times New Roman" w:cs="Times New Roman"/>
              </w:rPr>
              <w:t xml:space="preserve"> (°)</w:t>
            </w:r>
          </w:p>
          <w:p w14:paraId="15CB7840" w14:textId="77777777" w:rsidR="00AC5826" w:rsidRPr="006553C4" w:rsidRDefault="00AC5826" w:rsidP="00AC5826">
            <w:pPr>
              <w:spacing w:line="276" w:lineRule="auto"/>
              <w:rPr>
                <w:rFonts w:ascii="Times New Roman" w:hAnsi="Times New Roman" w:cs="Times New Roman"/>
              </w:rPr>
            </w:pPr>
          </w:p>
        </w:tc>
        <w:tc>
          <w:tcPr>
            <w:tcW w:w="1999" w:type="dxa"/>
          </w:tcPr>
          <w:p w14:paraId="39D0E8A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4.5 ± 5.0</w:t>
            </w:r>
          </w:p>
        </w:tc>
        <w:tc>
          <w:tcPr>
            <w:tcW w:w="1999" w:type="dxa"/>
          </w:tcPr>
          <w:p w14:paraId="1E79E107"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4.3 ± 5.2</w:t>
            </w:r>
          </w:p>
        </w:tc>
        <w:tc>
          <w:tcPr>
            <w:tcW w:w="1999" w:type="dxa"/>
          </w:tcPr>
          <w:p w14:paraId="44BA9046"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0.736</w:t>
            </w:r>
          </w:p>
        </w:tc>
        <w:tc>
          <w:tcPr>
            <w:tcW w:w="1999" w:type="dxa"/>
          </w:tcPr>
          <w:p w14:paraId="443DB94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14.5 ± 7.1</w:t>
            </w:r>
          </w:p>
        </w:tc>
        <w:tc>
          <w:tcPr>
            <w:tcW w:w="1999" w:type="dxa"/>
          </w:tcPr>
          <w:p w14:paraId="0EF8B4B4"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15.4 ± 4.4</w:t>
            </w:r>
          </w:p>
        </w:tc>
        <w:tc>
          <w:tcPr>
            <w:tcW w:w="2000" w:type="dxa"/>
          </w:tcPr>
          <w:p w14:paraId="763918CE"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0.222</w:t>
            </w:r>
          </w:p>
        </w:tc>
      </w:tr>
      <w:tr w:rsidR="00AC5826" w14:paraId="7620CA8A" w14:textId="77777777" w:rsidTr="00AC5826">
        <w:tc>
          <w:tcPr>
            <w:tcW w:w="2855" w:type="dxa"/>
          </w:tcPr>
          <w:p w14:paraId="5EE08996" w14:textId="77777777" w:rsidR="00AC5826" w:rsidRPr="006553C4" w:rsidRDefault="00AC5826" w:rsidP="00AC5826">
            <w:pPr>
              <w:spacing w:line="276" w:lineRule="auto"/>
              <w:rPr>
                <w:rFonts w:ascii="Times New Roman" w:hAnsi="Times New Roman" w:cs="Times New Roman"/>
              </w:rPr>
            </w:pPr>
            <w:r w:rsidRPr="006553C4">
              <w:rPr>
                <w:rFonts w:ascii="Times New Roman" w:hAnsi="Times New Roman" w:cs="Times New Roman"/>
              </w:rPr>
              <w:t>Knee flexion angle IC (°)</w:t>
            </w:r>
          </w:p>
          <w:p w14:paraId="670B356D" w14:textId="77777777" w:rsidR="00AC5826" w:rsidRPr="006553C4" w:rsidRDefault="00AC5826" w:rsidP="00AC5826">
            <w:pPr>
              <w:spacing w:line="276" w:lineRule="auto"/>
              <w:rPr>
                <w:rFonts w:ascii="Times New Roman" w:hAnsi="Times New Roman" w:cs="Times New Roman"/>
              </w:rPr>
            </w:pPr>
          </w:p>
        </w:tc>
        <w:tc>
          <w:tcPr>
            <w:tcW w:w="1999" w:type="dxa"/>
          </w:tcPr>
          <w:p w14:paraId="340D930E"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22.8 ± 5.6</w:t>
            </w:r>
          </w:p>
        </w:tc>
        <w:tc>
          <w:tcPr>
            <w:tcW w:w="1999" w:type="dxa"/>
          </w:tcPr>
          <w:p w14:paraId="07CF4E9D"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22.1 ± 4.0</w:t>
            </w:r>
          </w:p>
        </w:tc>
        <w:tc>
          <w:tcPr>
            <w:tcW w:w="1999" w:type="dxa"/>
          </w:tcPr>
          <w:p w14:paraId="37079E4C"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0.951</w:t>
            </w:r>
          </w:p>
        </w:tc>
        <w:tc>
          <w:tcPr>
            <w:tcW w:w="1999" w:type="dxa"/>
          </w:tcPr>
          <w:p w14:paraId="3A50AB77"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25.8 ± 5.1</w:t>
            </w:r>
          </w:p>
        </w:tc>
        <w:tc>
          <w:tcPr>
            <w:tcW w:w="1999" w:type="dxa"/>
          </w:tcPr>
          <w:p w14:paraId="43CED69D"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26.3 ± 4.1</w:t>
            </w:r>
          </w:p>
        </w:tc>
        <w:tc>
          <w:tcPr>
            <w:tcW w:w="2000" w:type="dxa"/>
          </w:tcPr>
          <w:p w14:paraId="710C0B77"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0.397</w:t>
            </w:r>
          </w:p>
        </w:tc>
      </w:tr>
      <w:tr w:rsidR="00AC5826" w14:paraId="6B641AD7" w14:textId="77777777" w:rsidTr="00AC5826">
        <w:tc>
          <w:tcPr>
            <w:tcW w:w="2855" w:type="dxa"/>
          </w:tcPr>
          <w:p w14:paraId="63070924" w14:textId="77777777" w:rsidR="00AC5826" w:rsidRPr="006553C4" w:rsidRDefault="00AC5826" w:rsidP="00AC5826">
            <w:pPr>
              <w:spacing w:line="276" w:lineRule="auto"/>
              <w:rPr>
                <w:rFonts w:ascii="Times New Roman" w:hAnsi="Times New Roman" w:cs="Times New Roman"/>
              </w:rPr>
            </w:pPr>
            <w:r w:rsidRPr="006553C4">
              <w:rPr>
                <w:rFonts w:ascii="Times New Roman" w:hAnsi="Times New Roman" w:cs="Times New Roman"/>
              </w:rPr>
              <w:t>Ankle dorsiflexion angle IC (°)</w:t>
            </w:r>
          </w:p>
        </w:tc>
        <w:tc>
          <w:tcPr>
            <w:tcW w:w="1999" w:type="dxa"/>
          </w:tcPr>
          <w:p w14:paraId="1FF69168"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-20.9 ± 9.1</w:t>
            </w:r>
          </w:p>
        </w:tc>
        <w:tc>
          <w:tcPr>
            <w:tcW w:w="1999" w:type="dxa"/>
          </w:tcPr>
          <w:p w14:paraId="513508C3"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-18.2 ± 8.3</w:t>
            </w:r>
          </w:p>
        </w:tc>
        <w:tc>
          <w:tcPr>
            <w:tcW w:w="1999" w:type="dxa"/>
          </w:tcPr>
          <w:p w14:paraId="7A9E13B4"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0.510</w:t>
            </w:r>
          </w:p>
          <w:p w14:paraId="1D66CBB1" w14:textId="77777777" w:rsidR="00AC5826" w:rsidRPr="006553C4" w:rsidRDefault="00AC5826" w:rsidP="00AC5826">
            <w:pPr>
              <w:spacing w:line="276" w:lineRule="auto"/>
              <w:rPr>
                <w:rFonts w:ascii="Times New Roman" w:hAnsi="Times New Roman" w:cs="Times New Roman"/>
              </w:rPr>
            </w:pPr>
          </w:p>
        </w:tc>
        <w:tc>
          <w:tcPr>
            <w:tcW w:w="1999" w:type="dxa"/>
          </w:tcPr>
          <w:p w14:paraId="0BA0FCFA"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-22.4 ± 7.4</w:t>
            </w:r>
          </w:p>
        </w:tc>
        <w:tc>
          <w:tcPr>
            <w:tcW w:w="1999" w:type="dxa"/>
          </w:tcPr>
          <w:p w14:paraId="3A15B4B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-11.4 ± 13.9</w:t>
            </w:r>
          </w:p>
        </w:tc>
        <w:tc>
          <w:tcPr>
            <w:tcW w:w="2000" w:type="dxa"/>
          </w:tcPr>
          <w:p w14:paraId="6DC2F5FF"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0.030*</w:t>
            </w:r>
          </w:p>
        </w:tc>
      </w:tr>
      <w:tr w:rsidR="00AC5826" w14:paraId="03344C5E" w14:textId="77777777" w:rsidTr="00AC5826">
        <w:tc>
          <w:tcPr>
            <w:tcW w:w="2855" w:type="dxa"/>
          </w:tcPr>
          <w:p w14:paraId="7A6696D3" w14:textId="77777777" w:rsidR="00AC5826" w:rsidRPr="006553C4" w:rsidRDefault="00AC5826" w:rsidP="00AC5826">
            <w:pPr>
              <w:spacing w:line="276" w:lineRule="auto"/>
              <w:rPr>
                <w:rFonts w:ascii="Times New Roman" w:hAnsi="Times New Roman" w:cs="Times New Roman"/>
              </w:rPr>
            </w:pPr>
            <w:r w:rsidRPr="006553C4">
              <w:rPr>
                <w:rFonts w:ascii="Times New Roman" w:hAnsi="Times New Roman" w:cs="Times New Roman"/>
              </w:rPr>
              <w:t xml:space="preserve">Hip flexion </w:t>
            </w:r>
            <w:proofErr w:type="spellStart"/>
            <w:r w:rsidRPr="006553C4">
              <w:rPr>
                <w:rFonts w:ascii="Times New Roman" w:hAnsi="Times New Roman" w:cs="Times New Roman"/>
              </w:rPr>
              <w:t>ROM</w:t>
            </w:r>
            <w:r w:rsidRPr="006553C4">
              <w:rPr>
                <w:rFonts w:ascii="Times New Roman" w:hAnsi="Times New Roman" w:cs="Times New Roman"/>
                <w:vertAlign w:val="superscript"/>
              </w:rPr>
              <w:t>b</w:t>
            </w:r>
            <w:proofErr w:type="spellEnd"/>
            <w:r w:rsidRPr="006553C4">
              <w:rPr>
                <w:rFonts w:ascii="Times New Roman" w:hAnsi="Times New Roman" w:cs="Times New Roman"/>
              </w:rPr>
              <w:t xml:space="preserve"> (°)</w:t>
            </w:r>
          </w:p>
          <w:p w14:paraId="4CB50C12" w14:textId="77777777" w:rsidR="00AC5826" w:rsidRPr="006553C4" w:rsidRDefault="00AC5826" w:rsidP="00AC5826">
            <w:pPr>
              <w:spacing w:line="276" w:lineRule="auto"/>
              <w:rPr>
                <w:rFonts w:ascii="Times New Roman" w:hAnsi="Times New Roman" w:cs="Times New Roman"/>
              </w:rPr>
            </w:pPr>
          </w:p>
        </w:tc>
        <w:tc>
          <w:tcPr>
            <w:tcW w:w="1999" w:type="dxa"/>
          </w:tcPr>
          <w:p w14:paraId="589CEC46"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33.2 ± 17.1</w:t>
            </w:r>
          </w:p>
          <w:p w14:paraId="17211C30" w14:textId="77777777" w:rsidR="00AC5826" w:rsidRPr="006553C4" w:rsidRDefault="00AC5826" w:rsidP="00AC5826">
            <w:pPr>
              <w:ind w:firstLine="720"/>
              <w:jc w:val="center"/>
              <w:rPr>
                <w:rFonts w:ascii="Times New Roman" w:hAnsi="Times New Roman" w:cs="Times New Roman"/>
              </w:rPr>
            </w:pPr>
          </w:p>
        </w:tc>
        <w:tc>
          <w:tcPr>
            <w:tcW w:w="1999" w:type="dxa"/>
          </w:tcPr>
          <w:p w14:paraId="6C43205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21.9 ± 14.8</w:t>
            </w:r>
          </w:p>
        </w:tc>
        <w:tc>
          <w:tcPr>
            <w:tcW w:w="1999" w:type="dxa"/>
          </w:tcPr>
          <w:p w14:paraId="663CD80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0.765</w:t>
            </w:r>
          </w:p>
        </w:tc>
        <w:tc>
          <w:tcPr>
            <w:tcW w:w="1999" w:type="dxa"/>
          </w:tcPr>
          <w:p w14:paraId="4738CC14"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33.7 ± 16.3</w:t>
            </w:r>
          </w:p>
        </w:tc>
        <w:tc>
          <w:tcPr>
            <w:tcW w:w="1999" w:type="dxa"/>
          </w:tcPr>
          <w:p w14:paraId="68F9E9F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27.1 ± 12.7</w:t>
            </w:r>
          </w:p>
        </w:tc>
        <w:tc>
          <w:tcPr>
            <w:tcW w:w="2000" w:type="dxa"/>
          </w:tcPr>
          <w:p w14:paraId="569091C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0.052</w:t>
            </w:r>
          </w:p>
        </w:tc>
      </w:tr>
      <w:tr w:rsidR="00AC5826" w14:paraId="6DD22670" w14:textId="77777777" w:rsidTr="00AC5826">
        <w:tc>
          <w:tcPr>
            <w:tcW w:w="2855" w:type="dxa"/>
          </w:tcPr>
          <w:p w14:paraId="08626EEB" w14:textId="77777777" w:rsidR="00AC5826" w:rsidRPr="006553C4" w:rsidRDefault="00AC5826" w:rsidP="00AC5826">
            <w:pPr>
              <w:spacing w:line="276" w:lineRule="auto"/>
              <w:rPr>
                <w:rFonts w:ascii="Times New Roman" w:hAnsi="Times New Roman" w:cs="Times New Roman"/>
              </w:rPr>
            </w:pPr>
            <w:r w:rsidRPr="006553C4">
              <w:rPr>
                <w:rFonts w:ascii="Times New Roman" w:hAnsi="Times New Roman" w:cs="Times New Roman"/>
              </w:rPr>
              <w:t>Knee flexion ROM (°)</w:t>
            </w:r>
          </w:p>
          <w:p w14:paraId="4345ECC3" w14:textId="77777777" w:rsidR="00AC5826" w:rsidRPr="006553C4" w:rsidRDefault="00AC5826" w:rsidP="00AC5826">
            <w:pPr>
              <w:spacing w:line="276" w:lineRule="auto"/>
              <w:rPr>
                <w:rFonts w:ascii="Times New Roman" w:hAnsi="Times New Roman" w:cs="Times New Roman"/>
              </w:rPr>
            </w:pPr>
          </w:p>
        </w:tc>
        <w:tc>
          <w:tcPr>
            <w:tcW w:w="1999" w:type="dxa"/>
          </w:tcPr>
          <w:p w14:paraId="6C98D8EF"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56.5 ± 11.7</w:t>
            </w:r>
          </w:p>
        </w:tc>
        <w:tc>
          <w:tcPr>
            <w:tcW w:w="1999" w:type="dxa"/>
          </w:tcPr>
          <w:p w14:paraId="3EC72D27"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45.9 ± 10.7</w:t>
            </w:r>
          </w:p>
        </w:tc>
        <w:tc>
          <w:tcPr>
            <w:tcW w:w="1999" w:type="dxa"/>
          </w:tcPr>
          <w:p w14:paraId="7A1C136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0.735</w:t>
            </w:r>
          </w:p>
        </w:tc>
        <w:tc>
          <w:tcPr>
            <w:tcW w:w="1999" w:type="dxa"/>
          </w:tcPr>
          <w:p w14:paraId="22210EEB"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63.1 ± 11.8</w:t>
            </w:r>
          </w:p>
        </w:tc>
        <w:tc>
          <w:tcPr>
            <w:tcW w:w="1999" w:type="dxa"/>
          </w:tcPr>
          <w:p w14:paraId="6945FF5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57.6 ± 9.6</w:t>
            </w:r>
          </w:p>
        </w:tc>
        <w:tc>
          <w:tcPr>
            <w:tcW w:w="2000" w:type="dxa"/>
          </w:tcPr>
          <w:p w14:paraId="3D61D917"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0.038*</w:t>
            </w:r>
          </w:p>
        </w:tc>
      </w:tr>
      <w:tr w:rsidR="00AC5826" w14:paraId="542E235E" w14:textId="77777777" w:rsidTr="00AC5826">
        <w:tc>
          <w:tcPr>
            <w:tcW w:w="2855" w:type="dxa"/>
          </w:tcPr>
          <w:p w14:paraId="321983C9" w14:textId="77777777" w:rsidR="00AC5826" w:rsidRDefault="00AC5826" w:rsidP="00AC5826">
            <w:pPr>
              <w:spacing w:line="276" w:lineRule="auto"/>
              <w:rPr>
                <w:rFonts w:ascii="Times New Roman" w:hAnsi="Times New Roman" w:cs="Times New Roman"/>
              </w:rPr>
            </w:pPr>
            <w:r w:rsidRPr="006553C4">
              <w:rPr>
                <w:rFonts w:ascii="Times New Roman" w:hAnsi="Times New Roman" w:cs="Times New Roman"/>
              </w:rPr>
              <w:t>Ankle dorsiflexion ROM (°)</w:t>
            </w:r>
          </w:p>
          <w:p w14:paraId="17E17B7B" w14:textId="77777777" w:rsidR="00AC5826" w:rsidRPr="006553C4" w:rsidRDefault="00AC5826" w:rsidP="00AC5826">
            <w:pPr>
              <w:spacing w:line="276" w:lineRule="auto"/>
              <w:rPr>
                <w:rFonts w:ascii="Times New Roman" w:hAnsi="Times New Roman" w:cs="Times New Roman"/>
              </w:rPr>
            </w:pPr>
          </w:p>
        </w:tc>
        <w:tc>
          <w:tcPr>
            <w:tcW w:w="1999" w:type="dxa"/>
          </w:tcPr>
          <w:p w14:paraId="404ADFC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51.0 ± 8.1</w:t>
            </w:r>
          </w:p>
        </w:tc>
        <w:tc>
          <w:tcPr>
            <w:tcW w:w="1999" w:type="dxa"/>
          </w:tcPr>
          <w:p w14:paraId="13776A5A"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45.9 ± 7.6</w:t>
            </w:r>
          </w:p>
        </w:tc>
        <w:tc>
          <w:tcPr>
            <w:tcW w:w="1999" w:type="dxa"/>
          </w:tcPr>
          <w:p w14:paraId="6737B3BE"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0.681</w:t>
            </w:r>
          </w:p>
        </w:tc>
        <w:tc>
          <w:tcPr>
            <w:tcW w:w="1999" w:type="dxa"/>
          </w:tcPr>
          <w:p w14:paraId="5EF770F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47.1 ± 6.9</w:t>
            </w:r>
          </w:p>
        </w:tc>
        <w:tc>
          <w:tcPr>
            <w:tcW w:w="1999" w:type="dxa"/>
          </w:tcPr>
          <w:p w14:paraId="55B49D2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35.4 ± 10.6</w:t>
            </w:r>
          </w:p>
        </w:tc>
        <w:tc>
          <w:tcPr>
            <w:tcW w:w="2000" w:type="dxa"/>
          </w:tcPr>
          <w:p w14:paraId="0CFCAAB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0.018*</w:t>
            </w:r>
          </w:p>
        </w:tc>
      </w:tr>
      <w:tr w:rsidR="00AC5826" w14:paraId="63853D02" w14:textId="77777777" w:rsidTr="00AC5826">
        <w:tc>
          <w:tcPr>
            <w:tcW w:w="2855" w:type="dxa"/>
          </w:tcPr>
          <w:p w14:paraId="090FB4C7" w14:textId="77777777" w:rsidR="00AC5826" w:rsidRPr="006553C4" w:rsidRDefault="00AC5826" w:rsidP="00AC5826">
            <w:pPr>
              <w:spacing w:line="276" w:lineRule="auto"/>
              <w:rPr>
                <w:rFonts w:ascii="Times New Roman" w:hAnsi="Times New Roman" w:cs="Times New Roman"/>
              </w:rPr>
            </w:pPr>
            <w:r w:rsidRPr="006553C4">
              <w:rPr>
                <w:rFonts w:ascii="Times New Roman" w:eastAsia="Arial" w:hAnsi="Times New Roman" w:cs="Times New Roman"/>
                <w:color w:val="000000"/>
                <w:highlight w:val="white"/>
              </w:rPr>
              <w:t>Knee abduction angle at IC (°)</w:t>
            </w:r>
          </w:p>
        </w:tc>
        <w:tc>
          <w:tcPr>
            <w:tcW w:w="1999" w:type="dxa"/>
          </w:tcPr>
          <w:p w14:paraId="3A96F1C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-2.1 ± 2.0</w:t>
            </w:r>
          </w:p>
        </w:tc>
        <w:tc>
          <w:tcPr>
            <w:tcW w:w="1999" w:type="dxa"/>
          </w:tcPr>
          <w:p w14:paraId="4BC68E66"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-3.1 ± 2.8</w:t>
            </w:r>
          </w:p>
        </w:tc>
        <w:tc>
          <w:tcPr>
            <w:tcW w:w="1999" w:type="dxa"/>
          </w:tcPr>
          <w:p w14:paraId="1B51CBDA"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0.217</w:t>
            </w:r>
          </w:p>
        </w:tc>
        <w:tc>
          <w:tcPr>
            <w:tcW w:w="1999" w:type="dxa"/>
          </w:tcPr>
          <w:p w14:paraId="2C063A2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-2.3 ± 1.9</w:t>
            </w:r>
          </w:p>
        </w:tc>
        <w:tc>
          <w:tcPr>
            <w:tcW w:w="1999" w:type="dxa"/>
          </w:tcPr>
          <w:p w14:paraId="05F17004"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-4.0 ± 3.0</w:t>
            </w:r>
          </w:p>
        </w:tc>
        <w:tc>
          <w:tcPr>
            <w:tcW w:w="2000" w:type="dxa"/>
          </w:tcPr>
          <w:p w14:paraId="1A63036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0.040*</w:t>
            </w:r>
          </w:p>
        </w:tc>
      </w:tr>
      <w:tr w:rsidR="00AC5826" w14:paraId="68491BF6" w14:textId="77777777" w:rsidTr="00AC5826">
        <w:tc>
          <w:tcPr>
            <w:tcW w:w="2855" w:type="dxa"/>
          </w:tcPr>
          <w:p w14:paraId="09826C57" w14:textId="77777777" w:rsidR="00AC5826" w:rsidRPr="006553C4" w:rsidRDefault="00AC5826" w:rsidP="00AC5826">
            <w:pPr>
              <w:spacing w:line="276" w:lineRule="auto"/>
              <w:rPr>
                <w:rFonts w:ascii="Times New Roman" w:eastAsia="Arial" w:hAnsi="Times New Roman" w:cs="Times New Roman"/>
                <w:color w:val="000000"/>
              </w:rPr>
            </w:pPr>
            <w:r w:rsidRPr="006553C4">
              <w:rPr>
                <w:rFonts w:ascii="Times New Roman" w:eastAsia="Arial" w:hAnsi="Times New Roman" w:cs="Times New Roman"/>
                <w:color w:val="000000"/>
                <w:highlight w:val="white"/>
              </w:rPr>
              <w:t>Knee abduction ROM (°)</w:t>
            </w:r>
          </w:p>
          <w:p w14:paraId="6B830DAF" w14:textId="77777777" w:rsidR="00AC5826" w:rsidRPr="006553C4" w:rsidRDefault="00AC5826" w:rsidP="00AC5826">
            <w:pPr>
              <w:spacing w:line="276" w:lineRule="auto"/>
              <w:rPr>
                <w:rFonts w:ascii="Times New Roman" w:hAnsi="Times New Roman" w:cs="Times New Roman"/>
              </w:rPr>
            </w:pPr>
          </w:p>
        </w:tc>
        <w:tc>
          <w:tcPr>
            <w:tcW w:w="1999" w:type="dxa"/>
          </w:tcPr>
          <w:p w14:paraId="1DB0E8BD"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-5.4 ± 1.8</w:t>
            </w:r>
          </w:p>
        </w:tc>
        <w:tc>
          <w:tcPr>
            <w:tcW w:w="1999" w:type="dxa"/>
          </w:tcPr>
          <w:p w14:paraId="26DD5F5F"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-5.0 ± 1.5</w:t>
            </w:r>
          </w:p>
        </w:tc>
        <w:tc>
          <w:tcPr>
            <w:tcW w:w="1999" w:type="dxa"/>
          </w:tcPr>
          <w:p w14:paraId="15A088A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0.775</w:t>
            </w:r>
          </w:p>
        </w:tc>
        <w:tc>
          <w:tcPr>
            <w:tcW w:w="1999" w:type="dxa"/>
          </w:tcPr>
          <w:p w14:paraId="4AA6E03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-6.6 ± 2.1</w:t>
            </w:r>
          </w:p>
        </w:tc>
        <w:tc>
          <w:tcPr>
            <w:tcW w:w="1999" w:type="dxa"/>
          </w:tcPr>
          <w:p w14:paraId="7EF428EB"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-7.7 ± 2.6</w:t>
            </w:r>
          </w:p>
        </w:tc>
        <w:tc>
          <w:tcPr>
            <w:tcW w:w="2000" w:type="dxa"/>
          </w:tcPr>
          <w:p w14:paraId="77D2AD23"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rPr>
              <w:t>0.689</w:t>
            </w:r>
          </w:p>
        </w:tc>
      </w:tr>
      <w:tr w:rsidR="00AC5826" w14:paraId="731591E4" w14:textId="77777777" w:rsidTr="00AC5826">
        <w:tc>
          <w:tcPr>
            <w:tcW w:w="2855" w:type="dxa"/>
          </w:tcPr>
          <w:p w14:paraId="57C29D22" w14:textId="77777777" w:rsidR="00AC5826" w:rsidRPr="006553C4" w:rsidRDefault="00AC5826" w:rsidP="00AC5826">
            <w:pPr>
              <w:spacing w:line="276" w:lineRule="auto"/>
              <w:rPr>
                <w:rFonts w:ascii="Times New Roman" w:eastAsia="Arial" w:hAnsi="Times New Roman" w:cs="Times New Roman"/>
                <w:color w:val="000000"/>
              </w:rPr>
            </w:pPr>
            <w:r w:rsidRPr="006553C4">
              <w:rPr>
                <w:rFonts w:ascii="Times New Roman" w:eastAsia="Arial" w:hAnsi="Times New Roman" w:cs="Times New Roman"/>
                <w:color w:val="000000"/>
                <w:highlight w:val="white"/>
              </w:rPr>
              <w:t xml:space="preserve">Peak vertical </w:t>
            </w:r>
            <w:proofErr w:type="spellStart"/>
            <w:r w:rsidRPr="006553C4">
              <w:rPr>
                <w:rFonts w:ascii="Times New Roman" w:eastAsia="Arial" w:hAnsi="Times New Roman" w:cs="Times New Roman"/>
                <w:color w:val="000000"/>
                <w:highlight w:val="white"/>
              </w:rPr>
              <w:t>GRF</w:t>
            </w:r>
            <w:r w:rsidRPr="006553C4">
              <w:rPr>
                <w:rFonts w:ascii="Times New Roman" w:eastAsia="Arial" w:hAnsi="Times New Roman" w:cs="Times New Roman"/>
                <w:color w:val="000000"/>
                <w:highlight w:val="white"/>
                <w:vertAlign w:val="superscript"/>
              </w:rPr>
              <w:t>c</w:t>
            </w:r>
            <w:proofErr w:type="spellEnd"/>
            <w:r w:rsidRPr="006553C4">
              <w:rPr>
                <w:rFonts w:ascii="Times New Roman" w:eastAsia="Arial" w:hAnsi="Times New Roman" w:cs="Times New Roman"/>
                <w:color w:val="000000"/>
                <w:highlight w:val="white"/>
              </w:rPr>
              <w:t xml:space="preserve"> (BW)</w:t>
            </w:r>
          </w:p>
          <w:p w14:paraId="6013095A" w14:textId="77777777" w:rsidR="00AC5826" w:rsidRPr="006553C4" w:rsidRDefault="00AC5826" w:rsidP="00AC5826">
            <w:pPr>
              <w:spacing w:line="276" w:lineRule="auto"/>
              <w:rPr>
                <w:rFonts w:ascii="Times New Roman" w:hAnsi="Times New Roman" w:cs="Times New Roman"/>
              </w:rPr>
            </w:pPr>
          </w:p>
        </w:tc>
        <w:tc>
          <w:tcPr>
            <w:tcW w:w="1999" w:type="dxa"/>
          </w:tcPr>
          <w:p w14:paraId="555AA007"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2.76 ± 0.74</w:t>
            </w:r>
          </w:p>
        </w:tc>
        <w:tc>
          <w:tcPr>
            <w:tcW w:w="1999" w:type="dxa"/>
          </w:tcPr>
          <w:p w14:paraId="10BA20AF"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2.83 ± 0.41</w:t>
            </w:r>
          </w:p>
        </w:tc>
        <w:tc>
          <w:tcPr>
            <w:tcW w:w="1999" w:type="dxa"/>
          </w:tcPr>
          <w:p w14:paraId="4F84A1E1"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0.203</w:t>
            </w:r>
          </w:p>
        </w:tc>
        <w:tc>
          <w:tcPr>
            <w:tcW w:w="1999" w:type="dxa"/>
          </w:tcPr>
          <w:p w14:paraId="2E431971"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3.70 ± 1.02</w:t>
            </w:r>
          </w:p>
        </w:tc>
        <w:tc>
          <w:tcPr>
            <w:tcW w:w="1999" w:type="dxa"/>
          </w:tcPr>
          <w:p w14:paraId="5F33E2AF"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3.58 ± 0.64</w:t>
            </w:r>
          </w:p>
        </w:tc>
        <w:tc>
          <w:tcPr>
            <w:tcW w:w="2000" w:type="dxa"/>
          </w:tcPr>
          <w:p w14:paraId="648C3D3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0.673</w:t>
            </w:r>
          </w:p>
        </w:tc>
      </w:tr>
      <w:tr w:rsidR="00AC5826" w14:paraId="464C6B6C" w14:textId="77777777" w:rsidTr="00AC5826">
        <w:tc>
          <w:tcPr>
            <w:tcW w:w="2855" w:type="dxa"/>
          </w:tcPr>
          <w:p w14:paraId="1D8ABE08" w14:textId="77777777" w:rsidR="00AC5826" w:rsidRPr="006553C4" w:rsidRDefault="00AC5826" w:rsidP="00AC5826">
            <w:pPr>
              <w:spacing w:line="276" w:lineRule="auto"/>
              <w:rPr>
                <w:rFonts w:ascii="Times New Roman" w:eastAsia="Arial" w:hAnsi="Times New Roman" w:cs="Times New Roman"/>
                <w:color w:val="000000"/>
              </w:rPr>
            </w:pPr>
            <w:r w:rsidRPr="006553C4">
              <w:rPr>
                <w:rFonts w:ascii="Times New Roman" w:eastAsia="Arial" w:hAnsi="Times New Roman" w:cs="Times New Roman"/>
                <w:color w:val="000000"/>
                <w:highlight w:val="white"/>
              </w:rPr>
              <w:t>GRF loading rate (BW/s)</w:t>
            </w:r>
          </w:p>
          <w:p w14:paraId="6EA90974" w14:textId="77777777" w:rsidR="00AC5826" w:rsidRPr="006553C4" w:rsidRDefault="00AC5826" w:rsidP="00AC5826">
            <w:pPr>
              <w:spacing w:line="276" w:lineRule="auto"/>
              <w:rPr>
                <w:rFonts w:ascii="Times New Roman" w:hAnsi="Times New Roman" w:cs="Times New Roman"/>
              </w:rPr>
            </w:pPr>
          </w:p>
        </w:tc>
        <w:tc>
          <w:tcPr>
            <w:tcW w:w="1999" w:type="dxa"/>
          </w:tcPr>
          <w:p w14:paraId="65DC8B18"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67.7 ± 57.9</w:t>
            </w:r>
          </w:p>
        </w:tc>
        <w:tc>
          <w:tcPr>
            <w:tcW w:w="1999" w:type="dxa"/>
          </w:tcPr>
          <w:p w14:paraId="58D0FD8C"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71.9 ± 34.5</w:t>
            </w:r>
          </w:p>
        </w:tc>
        <w:tc>
          <w:tcPr>
            <w:tcW w:w="1999" w:type="dxa"/>
          </w:tcPr>
          <w:p w14:paraId="649BB7ED"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0.307</w:t>
            </w:r>
          </w:p>
        </w:tc>
        <w:tc>
          <w:tcPr>
            <w:tcW w:w="1999" w:type="dxa"/>
          </w:tcPr>
          <w:p w14:paraId="44EBF7A8"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167.4 ± 88.1</w:t>
            </w:r>
          </w:p>
        </w:tc>
        <w:tc>
          <w:tcPr>
            <w:tcW w:w="1999" w:type="dxa"/>
          </w:tcPr>
          <w:p w14:paraId="2B88CBD6"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162.5 ± 48.9</w:t>
            </w:r>
          </w:p>
        </w:tc>
        <w:tc>
          <w:tcPr>
            <w:tcW w:w="2000" w:type="dxa"/>
          </w:tcPr>
          <w:p w14:paraId="3A00A87C"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0.179</w:t>
            </w:r>
          </w:p>
        </w:tc>
      </w:tr>
      <w:tr w:rsidR="00AC5826" w14:paraId="6AD6BA1E" w14:textId="77777777" w:rsidTr="00AC5826">
        <w:tc>
          <w:tcPr>
            <w:tcW w:w="2855" w:type="dxa"/>
          </w:tcPr>
          <w:p w14:paraId="7CC1E7EC" w14:textId="77777777" w:rsidR="00AC5826" w:rsidRPr="006553C4" w:rsidRDefault="00AC5826" w:rsidP="00AC5826">
            <w:pPr>
              <w:spacing w:line="276" w:lineRule="auto"/>
              <w:rPr>
                <w:rFonts w:ascii="Times New Roman" w:hAnsi="Times New Roman" w:cs="Times New Roman"/>
              </w:rPr>
            </w:pPr>
            <w:r w:rsidRPr="006553C4">
              <w:rPr>
                <w:rFonts w:ascii="Times New Roman" w:eastAsia="Arial" w:hAnsi="Times New Roman" w:cs="Times New Roman"/>
                <w:color w:val="000000"/>
                <w:highlight w:val="white"/>
              </w:rPr>
              <w:t>Peak k</w:t>
            </w:r>
            <w:r w:rsidRPr="006553C4">
              <w:rPr>
                <w:rFonts w:ascii="Times New Roman" w:eastAsia="Arial" w:hAnsi="Times New Roman" w:cs="Times New Roman"/>
              </w:rPr>
              <w:t>nee abduction moment (Nm/kg)</w:t>
            </w:r>
          </w:p>
        </w:tc>
        <w:tc>
          <w:tcPr>
            <w:tcW w:w="1999" w:type="dxa"/>
          </w:tcPr>
          <w:p w14:paraId="35EB32D5"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0.21 ± 0.10</w:t>
            </w:r>
          </w:p>
        </w:tc>
        <w:tc>
          <w:tcPr>
            <w:tcW w:w="1999" w:type="dxa"/>
          </w:tcPr>
          <w:p w14:paraId="1B09F703"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0.15 ± 0.11</w:t>
            </w:r>
          </w:p>
        </w:tc>
        <w:tc>
          <w:tcPr>
            <w:tcW w:w="1999" w:type="dxa"/>
          </w:tcPr>
          <w:p w14:paraId="6855FB90"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0.598</w:t>
            </w:r>
          </w:p>
        </w:tc>
        <w:tc>
          <w:tcPr>
            <w:tcW w:w="1999" w:type="dxa"/>
          </w:tcPr>
          <w:p w14:paraId="45A0BC79"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0.25 ± 0.13</w:t>
            </w:r>
          </w:p>
        </w:tc>
        <w:tc>
          <w:tcPr>
            <w:tcW w:w="1999" w:type="dxa"/>
          </w:tcPr>
          <w:p w14:paraId="426B3CC8"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eastAsia="Arial" w:hAnsi="Times New Roman" w:cs="Times New Roman"/>
                <w:color w:val="000000"/>
                <w:highlight w:val="white"/>
              </w:rPr>
              <w:t>0.16 ± 0.14</w:t>
            </w:r>
          </w:p>
        </w:tc>
        <w:tc>
          <w:tcPr>
            <w:tcW w:w="2000" w:type="dxa"/>
          </w:tcPr>
          <w:p w14:paraId="2707A1CB" w14:textId="77777777" w:rsidR="00AC5826" w:rsidRPr="006553C4" w:rsidRDefault="00AC5826" w:rsidP="00AC5826">
            <w:pPr>
              <w:spacing w:line="276" w:lineRule="auto"/>
              <w:jc w:val="center"/>
              <w:rPr>
                <w:rFonts w:ascii="Times New Roman" w:hAnsi="Times New Roman" w:cs="Times New Roman"/>
              </w:rPr>
            </w:pPr>
            <w:r w:rsidRPr="006553C4">
              <w:rPr>
                <w:rFonts w:ascii="Times New Roman" w:hAnsi="Times New Roman" w:cs="Times New Roman"/>
                <w:color w:val="000000"/>
                <w:shd w:val="clear" w:color="auto" w:fill="FFFFFF"/>
              </w:rPr>
              <w:t>0.728</w:t>
            </w:r>
          </w:p>
        </w:tc>
      </w:tr>
    </w:tbl>
    <w:p w14:paraId="3B5AB1C7" w14:textId="0FB2D3D2" w:rsidR="000D15BD" w:rsidRDefault="002F5204" w:rsidP="000D15BD">
      <w:pPr>
        <w:jc w:val="both"/>
        <w:rPr>
          <w:rFonts w:ascii="Times New Roman" w:hAnsi="Times New Roman" w:cs="Times New Roman"/>
          <w:color w:val="000000" w:themeColor="text1"/>
          <w:sz w:val="24"/>
          <w:szCs w:val="24"/>
        </w:rPr>
      </w:pPr>
      <w:r w:rsidRPr="001B3D10">
        <w:rPr>
          <w:rFonts w:ascii="Times New Roman" w:hAnsi="Times New Roman" w:cs="Times New Roman"/>
          <w:color w:val="000000" w:themeColor="text1"/>
          <w:sz w:val="24"/>
          <w:szCs w:val="24"/>
        </w:rPr>
        <w:t>Table</w:t>
      </w:r>
      <w:r w:rsidR="00943B7E" w:rsidRPr="001B3D10">
        <w:rPr>
          <w:rFonts w:ascii="Times New Roman" w:hAnsi="Times New Roman" w:cs="Times New Roman"/>
          <w:color w:val="000000" w:themeColor="text1"/>
          <w:sz w:val="24"/>
          <w:szCs w:val="24"/>
        </w:rPr>
        <w:t xml:space="preserve"> 1</w:t>
      </w:r>
      <w:r w:rsidRPr="001B3D10">
        <w:rPr>
          <w:rFonts w:ascii="Times New Roman" w:hAnsi="Times New Roman" w:cs="Times New Roman"/>
          <w:color w:val="000000" w:themeColor="text1"/>
          <w:sz w:val="24"/>
          <w:szCs w:val="24"/>
        </w:rPr>
        <w:t xml:space="preserve">. Mean ± standard deviation of </w:t>
      </w:r>
      <w:r w:rsidR="00CA4A9C">
        <w:rPr>
          <w:rFonts w:ascii="Times New Roman" w:hAnsi="Times New Roman" w:cs="Times New Roman"/>
          <w:color w:val="000000" w:themeColor="text1"/>
          <w:sz w:val="24"/>
          <w:szCs w:val="24"/>
        </w:rPr>
        <w:t xml:space="preserve">the dependent variables of interest </w:t>
      </w:r>
      <w:r w:rsidRPr="001B3D10">
        <w:rPr>
          <w:rFonts w:ascii="Times New Roman" w:hAnsi="Times New Roman" w:cs="Times New Roman"/>
          <w:color w:val="000000" w:themeColor="text1"/>
          <w:sz w:val="24"/>
          <w:szCs w:val="24"/>
        </w:rPr>
        <w:t>for experienced and novice volleyball players and for block and spike jumps.</w:t>
      </w:r>
    </w:p>
    <w:p w14:paraId="021D94B6" w14:textId="4BCD905C" w:rsidR="000D15BD" w:rsidRPr="00B65C19" w:rsidRDefault="001158FD" w:rsidP="001158FD">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spellEnd"/>
      <w:proofErr w:type="gramEnd"/>
      <w:r w:rsidRPr="001158FD">
        <w:rPr>
          <w:rFonts w:ascii="Times New Roman" w:hAnsi="Times New Roman" w:cs="Times New Roman"/>
          <w:sz w:val="24"/>
          <w:szCs w:val="24"/>
        </w:rPr>
        <w:t xml:space="preserve"> Initial Contact.</w:t>
      </w:r>
      <w:r w:rsidR="007E7C5B">
        <w:rPr>
          <w:rFonts w:ascii="Times New Roman" w:hAnsi="Times New Roman" w:cs="Times New Roman"/>
          <w:sz w:val="24"/>
          <w:szCs w:val="24"/>
        </w:rPr>
        <w:t xml:space="preserve"> </w:t>
      </w:r>
      <w:r>
        <w:rPr>
          <w:rFonts w:ascii="Times New Roman" w:hAnsi="Times New Roman" w:cs="Times New Roman"/>
          <w:sz w:val="24"/>
          <w:szCs w:val="24"/>
        </w:rPr>
        <w:t>b</w:t>
      </w:r>
      <w:r w:rsidRPr="001158FD">
        <w:rPr>
          <w:rFonts w:ascii="Times New Roman" w:hAnsi="Times New Roman" w:cs="Times New Roman"/>
          <w:sz w:val="24"/>
          <w:szCs w:val="24"/>
        </w:rPr>
        <w:t xml:space="preserve"> Range of Motion.</w:t>
      </w:r>
      <w:r w:rsidR="007E7C5B">
        <w:rPr>
          <w:rFonts w:ascii="Times New Roman" w:hAnsi="Times New Roman" w:cs="Times New Roman"/>
          <w:sz w:val="24"/>
          <w:szCs w:val="24"/>
        </w:rPr>
        <w:t xml:space="preserve"> </w:t>
      </w:r>
      <w:r>
        <w:rPr>
          <w:rFonts w:ascii="Times New Roman" w:hAnsi="Times New Roman" w:cs="Times New Roman"/>
          <w:sz w:val="24"/>
          <w:szCs w:val="24"/>
        </w:rPr>
        <w:t>c</w:t>
      </w:r>
      <w:r w:rsidRPr="001158FD">
        <w:rPr>
          <w:rFonts w:ascii="Times New Roman" w:hAnsi="Times New Roman" w:cs="Times New Roman"/>
          <w:sz w:val="24"/>
          <w:szCs w:val="24"/>
        </w:rPr>
        <w:t xml:space="preserve"> Ground Reaction Force.</w:t>
      </w:r>
      <w:r w:rsidR="007E7C5B">
        <w:rPr>
          <w:rFonts w:ascii="Times New Roman" w:hAnsi="Times New Roman" w:cs="Times New Roman"/>
          <w:sz w:val="24"/>
          <w:szCs w:val="24"/>
        </w:rPr>
        <w:t xml:space="preserve"> </w:t>
      </w:r>
      <w:r w:rsidRPr="001158FD">
        <w:rPr>
          <w:rFonts w:ascii="Times New Roman" w:hAnsi="Times New Roman" w:cs="Times New Roman"/>
          <w:sz w:val="24"/>
          <w:szCs w:val="24"/>
        </w:rPr>
        <w:t>* p-values &lt; 0.05.</w:t>
      </w:r>
    </w:p>
    <w:sectPr w:rsidR="000D15BD" w:rsidRPr="00B65C19" w:rsidSect="00A12A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CD38" w14:textId="77777777" w:rsidR="00214413" w:rsidRDefault="00214413" w:rsidP="006553C4">
      <w:pPr>
        <w:spacing w:after="0" w:line="240" w:lineRule="auto"/>
      </w:pPr>
      <w:r>
        <w:separator/>
      </w:r>
    </w:p>
  </w:endnote>
  <w:endnote w:type="continuationSeparator" w:id="0">
    <w:p w14:paraId="1C23D51B" w14:textId="77777777" w:rsidR="00214413" w:rsidRDefault="00214413" w:rsidP="0065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06CC" w14:textId="77777777" w:rsidR="00214413" w:rsidRDefault="00214413" w:rsidP="006553C4">
      <w:pPr>
        <w:spacing w:after="0" w:line="240" w:lineRule="auto"/>
      </w:pPr>
      <w:r>
        <w:separator/>
      </w:r>
    </w:p>
  </w:footnote>
  <w:footnote w:type="continuationSeparator" w:id="0">
    <w:p w14:paraId="3332C057" w14:textId="77777777" w:rsidR="00214413" w:rsidRDefault="00214413" w:rsidP="00655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1C"/>
    <w:rsid w:val="000834E7"/>
    <w:rsid w:val="000A0D1C"/>
    <w:rsid w:val="000B5467"/>
    <w:rsid w:val="000D15BD"/>
    <w:rsid w:val="00112ACC"/>
    <w:rsid w:val="00114843"/>
    <w:rsid w:val="001158FD"/>
    <w:rsid w:val="00157348"/>
    <w:rsid w:val="00163884"/>
    <w:rsid w:val="001B3D10"/>
    <w:rsid w:val="001D288A"/>
    <w:rsid w:val="00202E19"/>
    <w:rsid w:val="00214413"/>
    <w:rsid w:val="00246F32"/>
    <w:rsid w:val="00271607"/>
    <w:rsid w:val="00296E17"/>
    <w:rsid w:val="002F5204"/>
    <w:rsid w:val="00387191"/>
    <w:rsid w:val="003F6775"/>
    <w:rsid w:val="00492980"/>
    <w:rsid w:val="004A6EBD"/>
    <w:rsid w:val="00553CD6"/>
    <w:rsid w:val="00586652"/>
    <w:rsid w:val="005C3650"/>
    <w:rsid w:val="005E14D4"/>
    <w:rsid w:val="006553C4"/>
    <w:rsid w:val="00667634"/>
    <w:rsid w:val="006E6BA6"/>
    <w:rsid w:val="00703F13"/>
    <w:rsid w:val="00744886"/>
    <w:rsid w:val="00794400"/>
    <w:rsid w:val="00797DCE"/>
    <w:rsid w:val="007C07C3"/>
    <w:rsid w:val="007E7C5B"/>
    <w:rsid w:val="0081674B"/>
    <w:rsid w:val="00830A6E"/>
    <w:rsid w:val="00892B21"/>
    <w:rsid w:val="008A0BB5"/>
    <w:rsid w:val="008E59D9"/>
    <w:rsid w:val="00905C42"/>
    <w:rsid w:val="009262CE"/>
    <w:rsid w:val="009433D7"/>
    <w:rsid w:val="00943B7E"/>
    <w:rsid w:val="0096360F"/>
    <w:rsid w:val="00966CC5"/>
    <w:rsid w:val="0097380E"/>
    <w:rsid w:val="009948DE"/>
    <w:rsid w:val="00A12A20"/>
    <w:rsid w:val="00A26863"/>
    <w:rsid w:val="00A741AC"/>
    <w:rsid w:val="00A75047"/>
    <w:rsid w:val="00AC5826"/>
    <w:rsid w:val="00AE651D"/>
    <w:rsid w:val="00B07990"/>
    <w:rsid w:val="00B30459"/>
    <w:rsid w:val="00B65C19"/>
    <w:rsid w:val="00BA2A90"/>
    <w:rsid w:val="00C86C16"/>
    <w:rsid w:val="00C90E33"/>
    <w:rsid w:val="00CA4A9C"/>
    <w:rsid w:val="00CC7281"/>
    <w:rsid w:val="00D00776"/>
    <w:rsid w:val="00DB73C5"/>
    <w:rsid w:val="00E45DB5"/>
    <w:rsid w:val="00F2753F"/>
    <w:rsid w:val="00FC6CEB"/>
    <w:rsid w:val="00FD61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C471"/>
  <w15:chartTrackingRefBased/>
  <w15:docId w15:val="{5EFB4F88-151E-4785-936A-EBC002DA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553C4"/>
    <w:pPr>
      <w:tabs>
        <w:tab w:val="center" w:pos="4703"/>
        <w:tab w:val="right" w:pos="9406"/>
      </w:tabs>
      <w:spacing w:after="0" w:line="240" w:lineRule="auto"/>
    </w:pPr>
  </w:style>
  <w:style w:type="character" w:customStyle="1" w:styleId="En-tteCar">
    <w:name w:val="En-tête Car"/>
    <w:basedOn w:val="Policepardfaut"/>
    <w:link w:val="En-tte"/>
    <w:uiPriority w:val="99"/>
    <w:rsid w:val="006553C4"/>
  </w:style>
  <w:style w:type="paragraph" w:styleId="Pieddepage">
    <w:name w:val="footer"/>
    <w:basedOn w:val="Normal"/>
    <w:link w:val="PieddepageCar"/>
    <w:uiPriority w:val="99"/>
    <w:unhideWhenUsed/>
    <w:rsid w:val="006553C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5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991</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56</cp:revision>
  <dcterms:created xsi:type="dcterms:W3CDTF">2022-03-07T08:59:00Z</dcterms:created>
  <dcterms:modified xsi:type="dcterms:W3CDTF">2022-03-07T13:44:00Z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id="sifkxFb6"/&gt;&lt;style id="http://www.zotero.org/styles/journal-of-sports-science-and-medicine" hasBibliography="1" bibliographyStyleHasBeenSet="0"/&gt;&lt;prefs&gt;&lt;pref name="fieldType" value="Field"/&gt;&lt;/pr</vt:lpwstr>
  </property>
  <property fmtid="{D5CDD505-2E9C-101B-9397-08002B2CF9AE}" pid="3" name="ZOTERO_PREF_2">
    <vt:lpwstr>efs&gt;&lt;/data&gt;</vt:lpwstr>
  </property>
</Properties>
</file>