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B65DB" w14:textId="77777777" w:rsidR="00ED5A74" w:rsidRDefault="00ED5A74" w:rsidP="00ED5A74">
      <w:pPr>
        <w:pStyle w:val="Heading1"/>
        <w:spacing w:before="0" w:line="360" w:lineRule="auto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Supplementary Figures</w:t>
      </w:r>
    </w:p>
    <w:p w14:paraId="08BF54D5" w14:textId="77777777" w:rsidR="00ED5A74" w:rsidRDefault="00ED5A74" w:rsidP="00ED5A74">
      <w:pPr>
        <w:spacing w:line="360" w:lineRule="auto"/>
        <w:rPr>
          <w:rFonts w:ascii="Times" w:eastAsia="Times" w:hAnsi="Times" w:cs="Times"/>
          <w:color w:val="000000"/>
        </w:rPr>
      </w:pPr>
    </w:p>
    <w:p w14:paraId="2F2633CA" w14:textId="77777777" w:rsidR="00ED5A74" w:rsidRDefault="00ED5A74" w:rsidP="00ED5A74">
      <w:pPr>
        <w:spacing w:line="360" w:lineRule="auto"/>
        <w:rPr>
          <w:rFonts w:ascii="Times" w:eastAsia="Times" w:hAnsi="Times" w:cs="Times"/>
          <w:color w:val="000000"/>
        </w:rPr>
      </w:pPr>
      <w:r w:rsidRPr="001D61E8">
        <w:rPr>
          <w:rFonts w:ascii="Times" w:eastAsia="Times" w:hAnsi="Times" w:cs="Times"/>
          <w:noProof/>
          <w:color w:val="000000"/>
        </w:rPr>
        <w:drawing>
          <wp:inline distT="0" distB="0" distL="0" distR="0" wp14:anchorId="375E57CE" wp14:editId="395B5DF1">
            <wp:extent cx="5943600" cy="38582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A000" w14:textId="77777777" w:rsidR="00ED5A74" w:rsidRDefault="00ED5A74" w:rsidP="00ED5A74">
      <w:pPr>
        <w:spacing w:line="360" w:lineRule="auto"/>
        <w:rPr>
          <w:rFonts w:ascii="Times" w:eastAsia="Times" w:hAnsi="Times" w:cs="Times"/>
          <w:color w:val="000000"/>
        </w:rPr>
      </w:pPr>
    </w:p>
    <w:p w14:paraId="2510151D" w14:textId="77777777" w:rsidR="00ED5A74" w:rsidRPr="00101909" w:rsidRDefault="00ED5A74" w:rsidP="00ED5A74">
      <w:pPr>
        <w:spacing w:line="360" w:lineRule="auto"/>
        <w:rPr>
          <w:rFonts w:ascii="Times" w:hAnsi="Times"/>
          <w:bCs/>
          <w:color w:val="000000" w:themeColor="text1"/>
        </w:rPr>
      </w:pPr>
      <w:r w:rsidRPr="00C27E0A">
        <w:rPr>
          <w:rFonts w:ascii="Times" w:eastAsia="Times" w:hAnsi="Times" w:cs="Times"/>
          <w:b/>
          <w:bCs/>
          <w:color w:val="000000"/>
        </w:rPr>
        <w:t>Supplementary Figure 1</w:t>
      </w:r>
      <w:r>
        <w:rPr>
          <w:rFonts w:ascii="Times" w:eastAsia="Times" w:hAnsi="Times" w:cs="Times"/>
          <w:color w:val="000000"/>
        </w:rPr>
        <w:t xml:space="preserve">. Task design for each of the </w:t>
      </w:r>
      <w:proofErr w:type="gramStart"/>
      <w:r w:rsidRPr="006A7545">
        <w:rPr>
          <w:rFonts w:ascii="Times" w:eastAsia="Times" w:hAnsi="Times" w:cs="Times"/>
          <w:color w:val="000000"/>
        </w:rPr>
        <w:t>externally-oriented</w:t>
      </w:r>
      <w:proofErr w:type="gramEnd"/>
      <w:r w:rsidRPr="006A7545">
        <w:rPr>
          <w:rFonts w:ascii="Times" w:eastAsia="Times" w:hAnsi="Times" w:cs="Times"/>
          <w:color w:val="000000"/>
        </w:rPr>
        <w:t xml:space="preserve"> cognitive tasks </w:t>
      </w:r>
      <w:r>
        <w:rPr>
          <w:rFonts w:ascii="Times" w:eastAsia="Times" w:hAnsi="Times" w:cs="Times"/>
          <w:color w:val="000000"/>
        </w:rPr>
        <w:t xml:space="preserve">performed by all subjects. (A) Setup for cognitive assessments with EEG. Task design shown with temporal sequence from top to bottom slide </w:t>
      </w:r>
      <w:r w:rsidRPr="006A7545">
        <w:rPr>
          <w:rFonts w:ascii="Times" w:eastAsia="Times" w:hAnsi="Times" w:cs="Times"/>
          <w:color w:val="000000"/>
        </w:rPr>
        <w:t>for</w:t>
      </w:r>
      <w:r>
        <w:rPr>
          <w:rFonts w:ascii="Times" w:eastAsia="Times" w:hAnsi="Times" w:cs="Times"/>
          <w:color w:val="000000"/>
        </w:rPr>
        <w:t xml:space="preserve"> (B) </w:t>
      </w:r>
      <w:r w:rsidRPr="006A7545">
        <w:rPr>
          <w:rFonts w:ascii="Times" w:eastAsia="Times" w:hAnsi="Times" w:cs="Times"/>
          <w:color w:val="000000"/>
        </w:rPr>
        <w:t xml:space="preserve">inhibitory control task, </w:t>
      </w:r>
      <w:r>
        <w:rPr>
          <w:rFonts w:ascii="Times" w:eastAsia="Times" w:hAnsi="Times" w:cs="Times"/>
          <w:color w:val="000000"/>
        </w:rPr>
        <w:t xml:space="preserve">(C) </w:t>
      </w:r>
      <w:r w:rsidRPr="006A7545">
        <w:rPr>
          <w:rFonts w:ascii="Times" w:eastAsia="Times" w:hAnsi="Times" w:cs="Times"/>
          <w:color w:val="000000"/>
        </w:rPr>
        <w:t xml:space="preserve">interference processing </w:t>
      </w:r>
      <w:r>
        <w:rPr>
          <w:rFonts w:ascii="Times" w:eastAsia="Times" w:hAnsi="Times" w:cs="Times"/>
          <w:color w:val="000000"/>
        </w:rPr>
        <w:t xml:space="preserve">(Flanker) </w:t>
      </w:r>
      <w:r w:rsidRPr="006A7545">
        <w:rPr>
          <w:rFonts w:ascii="Times" w:eastAsia="Times" w:hAnsi="Times" w:cs="Times"/>
          <w:color w:val="000000"/>
        </w:rPr>
        <w:t xml:space="preserve">task, </w:t>
      </w:r>
      <w:r>
        <w:rPr>
          <w:rFonts w:ascii="Times" w:eastAsia="Times" w:hAnsi="Times" w:cs="Times"/>
          <w:color w:val="000000"/>
        </w:rPr>
        <w:t xml:space="preserve">(D) </w:t>
      </w:r>
      <w:r w:rsidRPr="006A7545">
        <w:rPr>
          <w:rFonts w:ascii="Times" w:eastAsia="Times" w:hAnsi="Times" w:cs="Times"/>
          <w:color w:val="000000"/>
        </w:rPr>
        <w:t xml:space="preserve">working memory (visuo-spatial </w:t>
      </w:r>
      <w:r w:rsidRPr="00101909">
        <w:rPr>
          <w:rFonts w:ascii="Times" w:eastAsia="Times" w:hAnsi="Times" w:cs="Times"/>
          <w:color w:val="000000"/>
        </w:rPr>
        <w:t xml:space="preserve">delayed match to probe task with perceptually </w:t>
      </w:r>
      <w:proofErr w:type="spellStart"/>
      <w:r w:rsidRPr="00101909">
        <w:rPr>
          <w:rFonts w:ascii="Times" w:eastAsia="Times" w:hAnsi="Times" w:cs="Times"/>
          <w:color w:val="000000"/>
        </w:rPr>
        <w:t>thresholded</w:t>
      </w:r>
      <w:proofErr w:type="spellEnd"/>
      <w:r w:rsidRPr="00101909">
        <w:rPr>
          <w:rFonts w:ascii="Times" w:eastAsia="Times" w:hAnsi="Times" w:cs="Times"/>
          <w:color w:val="000000"/>
        </w:rPr>
        <w:t xml:space="preserve"> stimuli), and (D) emotion bias task (presenting neutral as well </w:t>
      </w:r>
      <w:r w:rsidRPr="00101909">
        <w:rPr>
          <w:rFonts w:ascii="Times" w:hAnsi="Times"/>
          <w:bCs/>
          <w:color w:val="000000" w:themeColor="text1"/>
        </w:rPr>
        <w:t xml:space="preserve">happy, </w:t>
      </w:r>
      <w:proofErr w:type="gramStart"/>
      <w:r w:rsidRPr="00101909">
        <w:rPr>
          <w:rFonts w:ascii="Times" w:hAnsi="Times"/>
          <w:bCs/>
          <w:color w:val="000000" w:themeColor="text1"/>
        </w:rPr>
        <w:t>sad</w:t>
      </w:r>
      <w:proofErr w:type="gramEnd"/>
      <w:r w:rsidRPr="00101909">
        <w:rPr>
          <w:rFonts w:ascii="Times" w:hAnsi="Times"/>
          <w:bCs/>
          <w:color w:val="000000" w:themeColor="text1"/>
        </w:rPr>
        <w:t xml:space="preserve"> or angry faces on equivalent number of trials). </w:t>
      </w:r>
    </w:p>
    <w:p w14:paraId="7506CFB3" w14:textId="77777777" w:rsidR="00ED5A74" w:rsidRDefault="00ED5A74" w:rsidP="00ED5A74">
      <w:pPr>
        <w:spacing w:line="360" w:lineRule="auto"/>
        <w:jc w:val="both"/>
      </w:pPr>
      <w:r w:rsidRPr="001D133A">
        <w:rPr>
          <w:noProof/>
        </w:rPr>
        <w:lastRenderedPageBreak/>
        <w:drawing>
          <wp:inline distT="0" distB="0" distL="0" distR="0" wp14:anchorId="012FB3CE" wp14:editId="1E11A3BB">
            <wp:extent cx="5943600" cy="47790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01E3" w14:textId="77777777" w:rsidR="00ED5A74" w:rsidRDefault="00ED5A74" w:rsidP="00ED5A74">
      <w:pPr>
        <w:spacing w:line="360" w:lineRule="auto"/>
        <w:jc w:val="both"/>
      </w:pPr>
    </w:p>
    <w:p w14:paraId="3B641EAF" w14:textId="77777777" w:rsidR="00ED5A74" w:rsidRDefault="00ED5A74" w:rsidP="00ED5A74">
      <w:pPr>
        <w:spacing w:line="360" w:lineRule="auto"/>
        <w:jc w:val="both"/>
      </w:pPr>
    </w:p>
    <w:p w14:paraId="0AF9E26A" w14:textId="77777777" w:rsidR="00ED5A74" w:rsidRDefault="00ED5A74" w:rsidP="00ED5A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" w:hAnsi="Times" w:cs="Cambria Math"/>
          <w:color w:val="000000" w:themeColor="text1"/>
        </w:rPr>
      </w:pPr>
      <w:r w:rsidRPr="00C23B95">
        <w:rPr>
          <w:rFonts w:ascii="Times" w:eastAsia="Times New Roman" w:hAnsi="Times" w:cs="Times New Roman"/>
          <w:b/>
          <w:bCs/>
        </w:rPr>
        <w:t>Supplementary Figure 2</w:t>
      </w:r>
      <w:r w:rsidRPr="00433304">
        <w:rPr>
          <w:rFonts w:ascii="Times" w:eastAsia="Times New Roman" w:hAnsi="Times" w:cs="Times New Roman"/>
        </w:rPr>
        <w:t>.</w:t>
      </w:r>
      <w:r>
        <w:rPr>
          <w:rFonts w:ascii="Times" w:eastAsia="Times New Roman" w:hAnsi="Times" w:cs="Times New Roman"/>
        </w:rPr>
        <w:t xml:space="preserve"> Estimation plots (or </w:t>
      </w:r>
      <w:r>
        <w:rPr>
          <w:rFonts w:ascii="Times" w:hAnsi="Times" w:cs="Cambria Math"/>
          <w:color w:val="000000" w:themeColor="text1"/>
        </w:rPr>
        <w:t xml:space="preserve">paired Gardner-Altman plots) corresponding to the alpha neural activations in the pre-breath reporting window for the four brain regions plotted in Figure 2C, namely the bilateral </w:t>
      </w:r>
      <w:r>
        <w:rPr>
          <w:rFonts w:ascii="Times" w:eastAsia="Times New Roman" w:hAnsi="Times" w:cs="Times New Roman"/>
        </w:rPr>
        <w:t>Precuneus</w:t>
      </w:r>
      <w:r>
        <w:rPr>
          <w:rFonts w:ascii="Times New Roman" w:eastAsia="Times New Roman" w:hAnsi="Times New Roman" w:cs="Times New Roman"/>
          <w:bCs/>
        </w:rPr>
        <w:t xml:space="preserve">, left DLPFC, left Insula </w:t>
      </w:r>
      <w:r>
        <w:rPr>
          <w:rFonts w:ascii="Times" w:hAnsi="Times" w:cs="Cambria Math"/>
          <w:color w:val="000000" w:themeColor="text1"/>
        </w:rPr>
        <w:t>and bilateral ACC, shown for high consistency versus low consistency performance trials and their estimated delta difference.</w:t>
      </w:r>
      <w:r>
        <w:rPr>
          <w:rFonts w:ascii="Times" w:hAnsi="Times" w:cs="Cambria Math"/>
          <w:color w:val="000000" w:themeColor="text1"/>
        </w:rPr>
        <w:br w:type="page"/>
      </w:r>
    </w:p>
    <w:p w14:paraId="2F6FB0E2" w14:textId="77777777" w:rsidR="00ED5A74" w:rsidRPr="009D1544" w:rsidRDefault="00ED5A74" w:rsidP="00ED5A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" w:eastAsia="Times New Roman" w:hAnsi="Times" w:cs="Times New Roman"/>
        </w:rPr>
      </w:pPr>
      <w:r w:rsidRPr="009346AF">
        <w:rPr>
          <w:rFonts w:ascii="Times" w:eastAsia="Times New Roman" w:hAnsi="Times" w:cs="Times New Roman"/>
          <w:noProof/>
        </w:rPr>
        <w:lastRenderedPageBreak/>
        <w:drawing>
          <wp:inline distT="0" distB="0" distL="0" distR="0" wp14:anchorId="25C2F1C3" wp14:editId="42C186FD">
            <wp:extent cx="5943600" cy="36455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A6AA" w14:textId="77777777" w:rsidR="00ED5A74" w:rsidRDefault="00ED5A74" w:rsidP="00ED5A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DC3BC6B" w14:textId="77777777" w:rsidR="00ED5A74" w:rsidRDefault="00ED5A74" w:rsidP="00ED5A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09204E09" w14:textId="77777777" w:rsidR="00ED5A74" w:rsidRPr="00EB40D6" w:rsidRDefault="00ED5A74" w:rsidP="00ED5A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" w:hAnsi="Times" w:cs="Cambria Math"/>
          <w:color w:val="000000" w:themeColor="text1"/>
        </w:rPr>
      </w:pPr>
      <w:r w:rsidRPr="00C23B95">
        <w:rPr>
          <w:rFonts w:ascii="Times" w:eastAsia="Times New Roman" w:hAnsi="Times" w:cs="Times New Roman"/>
          <w:b/>
          <w:bCs/>
        </w:rPr>
        <w:t xml:space="preserve">Supplementary Figure </w:t>
      </w:r>
      <w:r>
        <w:rPr>
          <w:rFonts w:ascii="Times" w:eastAsia="Times New Roman" w:hAnsi="Times" w:cs="Times New Roman"/>
          <w:b/>
          <w:bCs/>
        </w:rPr>
        <w:t>3</w:t>
      </w:r>
      <w:r w:rsidRPr="00433304">
        <w:rPr>
          <w:rFonts w:ascii="Times" w:eastAsia="Times New Roman" w:hAnsi="Times" w:cs="Times New Roman"/>
        </w:rPr>
        <w:t>.</w:t>
      </w:r>
      <w:r>
        <w:rPr>
          <w:rFonts w:ascii="Times" w:eastAsia="Times New Roman" w:hAnsi="Times" w:cs="Times New Roman"/>
        </w:rPr>
        <w:t xml:space="preserve"> Estimation plots (or </w:t>
      </w:r>
      <w:r>
        <w:rPr>
          <w:rFonts w:ascii="Times" w:hAnsi="Times" w:cs="Cambria Math"/>
          <w:color w:val="000000" w:themeColor="text1"/>
        </w:rPr>
        <w:t xml:space="preserve">paired Gardner-Altman plots) corresponding to the alpha band functional connectivity in the pre-breath reporting window across the four brain regions (bilateral </w:t>
      </w:r>
      <w:r>
        <w:rPr>
          <w:rFonts w:ascii="Times" w:eastAsia="Times New Roman" w:hAnsi="Times" w:cs="Times New Roman"/>
        </w:rPr>
        <w:t>Precuneus</w:t>
      </w:r>
      <w:r>
        <w:rPr>
          <w:rFonts w:ascii="Times New Roman" w:eastAsia="Times New Roman" w:hAnsi="Times New Roman" w:cs="Times New Roman"/>
          <w:bCs/>
        </w:rPr>
        <w:t xml:space="preserve">, left DLPFC, left Insula </w:t>
      </w:r>
      <w:r>
        <w:rPr>
          <w:rFonts w:ascii="Times" w:hAnsi="Times" w:cs="Cambria Math"/>
          <w:color w:val="000000" w:themeColor="text1"/>
        </w:rPr>
        <w:t>and bilateral ACC) plotted in Figure 2D, shown for high consistency versus low consistency performance trials and their estimated delta difference.</w:t>
      </w:r>
    </w:p>
    <w:p w14:paraId="6A8784CE" w14:textId="77777777" w:rsidR="00ED5A74" w:rsidRDefault="00ED5A74"/>
    <w:sectPr w:rsidR="00ED5A74" w:rsidSect="00D82812"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Times">
    <w:altName w:val="﷽﷽﷽﷽﷽﷽﷽﷽翻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A74"/>
    <w:rsid w:val="00ED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624CB"/>
  <w15:chartTrackingRefBased/>
  <w15:docId w15:val="{CD85B290-00B1-44BD-9E4B-929F12EF2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A74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5A74"/>
    <w:pPr>
      <w:keepNext/>
      <w:keepLines/>
      <w:suppressAutoHyphens/>
      <w:spacing w:before="240"/>
      <w:textAlignment w:val="baseline"/>
      <w:outlineLvl w:val="0"/>
    </w:pPr>
    <w:rPr>
      <w:rFonts w:asciiTheme="majorHAnsi" w:eastAsiaTheme="majorEastAsia" w:hAnsiTheme="majorHAnsi" w:cs="Mangal"/>
      <w:color w:val="2F5496" w:themeColor="accent1" w:themeShade="BF"/>
      <w:kern w:val="2"/>
      <w:sz w:val="32"/>
      <w:szCs w:val="29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ED5A74"/>
    <w:rPr>
      <w:rFonts w:asciiTheme="majorHAnsi" w:eastAsiaTheme="majorEastAsia" w:hAnsiTheme="majorHAnsi" w:cs="Mangal"/>
      <w:color w:val="2F5496" w:themeColor="accent1" w:themeShade="BF"/>
      <w:kern w:val="2"/>
      <w:sz w:val="32"/>
      <w:szCs w:val="29"/>
      <w:lang w:eastAsia="zh-CN" w:bidi="hi-IN"/>
    </w:rPr>
  </w:style>
  <w:style w:type="character" w:styleId="LineNumber">
    <w:name w:val="line number"/>
    <w:basedOn w:val="DefaultParagraphFont"/>
    <w:uiPriority w:val="99"/>
    <w:semiHidden/>
    <w:unhideWhenUsed/>
    <w:rsid w:val="00ED5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1</cp:revision>
  <dcterms:created xsi:type="dcterms:W3CDTF">2021-10-04T17:33:00Z</dcterms:created>
  <dcterms:modified xsi:type="dcterms:W3CDTF">2021-10-04T17:34:00Z</dcterms:modified>
</cp:coreProperties>
</file>