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D4699" w14:textId="4B324BEE" w:rsidR="009474DE" w:rsidRDefault="00FD0BC0" w:rsidP="00956EB1">
      <w:pPr>
        <w:autoSpaceDE w:val="0"/>
        <w:autoSpaceDN w:val="0"/>
        <w:adjustRightInd w:val="0"/>
        <w:spacing w:line="480" w:lineRule="auto"/>
        <w:rPr>
          <w:b/>
          <w:color w:val="000000" w:themeColor="text1"/>
          <w:kern w:val="0"/>
          <w:szCs w:val="21"/>
        </w:rPr>
      </w:pPr>
      <w:r w:rsidRPr="00FD0BC0">
        <w:rPr>
          <w:b/>
          <w:color w:val="000000" w:themeColor="text1"/>
          <w:kern w:val="0"/>
          <w:szCs w:val="21"/>
        </w:rPr>
        <w:t>Additional file 3</w:t>
      </w:r>
      <w:r>
        <w:rPr>
          <w:rFonts w:hint="eastAsia"/>
          <w:b/>
          <w:color w:val="000000" w:themeColor="text1"/>
          <w:kern w:val="0"/>
          <w:szCs w:val="21"/>
        </w:rPr>
        <w:t>-</w:t>
      </w:r>
      <w:r w:rsidR="00F12F75">
        <w:rPr>
          <w:b/>
          <w:color w:val="000000" w:themeColor="text1"/>
          <w:kern w:val="0"/>
          <w:szCs w:val="21"/>
        </w:rPr>
        <w:t>Supplementary Materials and Methods</w:t>
      </w:r>
    </w:p>
    <w:p w14:paraId="7BFF2BA7" w14:textId="77777777" w:rsidR="001423EF" w:rsidRPr="00731A14" w:rsidRDefault="001423EF" w:rsidP="001423EF">
      <w:pPr>
        <w:widowControl/>
        <w:spacing w:line="480" w:lineRule="auto"/>
        <w:rPr>
          <w:color w:val="000000" w:themeColor="text1"/>
          <w:kern w:val="0"/>
          <w:szCs w:val="21"/>
        </w:rPr>
      </w:pPr>
      <w:r w:rsidRPr="00731A14">
        <w:rPr>
          <w:b/>
          <w:color w:val="000000" w:themeColor="text1"/>
          <w:kern w:val="0"/>
          <w:szCs w:val="21"/>
        </w:rPr>
        <w:t>Animals</w:t>
      </w:r>
    </w:p>
    <w:p w14:paraId="073A9FE1" w14:textId="77777777" w:rsidR="001423EF" w:rsidRDefault="001423EF" w:rsidP="001423EF">
      <w:pPr>
        <w:widowControl/>
        <w:spacing w:line="480" w:lineRule="auto"/>
        <w:ind w:firstLineChars="200" w:firstLine="420"/>
        <w:rPr>
          <w:color w:val="000000" w:themeColor="text1"/>
          <w:kern w:val="0"/>
          <w:szCs w:val="21"/>
        </w:rPr>
      </w:pPr>
      <w:r w:rsidRPr="00731A14">
        <w:rPr>
          <w:color w:val="000000" w:themeColor="text1"/>
          <w:kern w:val="0"/>
          <w:szCs w:val="21"/>
        </w:rPr>
        <w:t xml:space="preserve">Male </w:t>
      </w:r>
      <w:r>
        <w:rPr>
          <w:color w:val="000000" w:themeColor="text1"/>
          <w:kern w:val="0"/>
          <w:szCs w:val="21"/>
        </w:rPr>
        <w:t>615</w:t>
      </w:r>
      <w:r w:rsidRPr="00731A14">
        <w:rPr>
          <w:color w:val="000000" w:themeColor="text1"/>
          <w:kern w:val="0"/>
          <w:szCs w:val="21"/>
        </w:rPr>
        <w:t xml:space="preserve"> mice (4</w:t>
      </w:r>
      <w:r>
        <w:rPr>
          <w:color w:val="000000" w:themeColor="text1"/>
          <w:kern w:val="0"/>
          <w:szCs w:val="21"/>
        </w:rPr>
        <w:t>-</w:t>
      </w:r>
      <w:r w:rsidRPr="00731A14">
        <w:rPr>
          <w:color w:val="000000" w:themeColor="text1"/>
          <w:kern w:val="0"/>
          <w:szCs w:val="21"/>
        </w:rPr>
        <w:t>6 weeks old) were housed in specific pathogen-free conditions. All animals were fed a standard diet ad libitum and housed in a temperature-controlled animal facility with a 12/12</w:t>
      </w:r>
      <w:r>
        <w:rPr>
          <w:color w:val="000000" w:themeColor="text1"/>
          <w:kern w:val="0"/>
          <w:szCs w:val="21"/>
        </w:rPr>
        <w:t>-</w:t>
      </w:r>
      <w:r w:rsidRPr="00731A14">
        <w:rPr>
          <w:color w:val="000000" w:themeColor="text1"/>
          <w:kern w:val="0"/>
          <w:szCs w:val="21"/>
        </w:rPr>
        <w:t>hour light/dark cycle. All animals received humane care according to criteria outlined in the “Guide for the Care and Use of Laboratory Animals” (NIH publication 86-23 revised 1985).</w:t>
      </w:r>
    </w:p>
    <w:p w14:paraId="0C3757F5" w14:textId="77777777" w:rsidR="001423EF" w:rsidRPr="001423EF" w:rsidRDefault="001423EF" w:rsidP="00896765">
      <w:pPr>
        <w:widowControl/>
        <w:spacing w:line="480" w:lineRule="auto"/>
        <w:jc w:val="left"/>
        <w:rPr>
          <w:b/>
          <w:color w:val="000000" w:themeColor="text1"/>
          <w:kern w:val="0"/>
          <w:szCs w:val="21"/>
        </w:rPr>
      </w:pPr>
    </w:p>
    <w:p w14:paraId="5B6E598F" w14:textId="0C614F99" w:rsidR="00896765" w:rsidRPr="00673D58" w:rsidRDefault="00896765" w:rsidP="00896765">
      <w:pPr>
        <w:widowControl/>
        <w:spacing w:line="480" w:lineRule="auto"/>
        <w:jc w:val="left"/>
        <w:rPr>
          <w:b/>
          <w:color w:val="000000" w:themeColor="text1"/>
          <w:kern w:val="0"/>
          <w:szCs w:val="21"/>
        </w:rPr>
      </w:pPr>
      <w:r w:rsidRPr="00673D58">
        <w:rPr>
          <w:b/>
          <w:color w:val="000000" w:themeColor="text1"/>
          <w:kern w:val="0"/>
          <w:szCs w:val="21"/>
        </w:rPr>
        <w:t xml:space="preserve">Cell lines </w:t>
      </w:r>
    </w:p>
    <w:p w14:paraId="336EA09C" w14:textId="785D530F" w:rsidR="00896765" w:rsidRDefault="00896765" w:rsidP="007F281B">
      <w:pPr>
        <w:widowControl/>
        <w:spacing w:line="480" w:lineRule="auto"/>
        <w:ind w:firstLineChars="200" w:firstLine="420"/>
        <w:jc w:val="left"/>
        <w:rPr>
          <w:color w:val="000000" w:themeColor="text1"/>
          <w:kern w:val="0"/>
          <w:szCs w:val="21"/>
        </w:rPr>
      </w:pPr>
      <w:r w:rsidRPr="00673D58">
        <w:rPr>
          <w:color w:val="000000" w:themeColor="text1"/>
          <w:kern w:val="0"/>
          <w:szCs w:val="21"/>
        </w:rPr>
        <w:t xml:space="preserve">The </w:t>
      </w:r>
      <w:r w:rsidR="00344D13">
        <w:rPr>
          <w:color w:val="000000" w:themeColor="text1"/>
          <w:kern w:val="0"/>
          <w:szCs w:val="21"/>
        </w:rPr>
        <w:t>G</w:t>
      </w:r>
      <w:r w:rsidRPr="00673D58">
        <w:rPr>
          <w:color w:val="000000" w:themeColor="text1"/>
          <w:kern w:val="0"/>
          <w:szCs w:val="21"/>
        </w:rPr>
        <w:t xml:space="preserve">C cell lines were purchased from the cell bank of the Chinese Academy of Sciences (Shanghai, China). </w:t>
      </w:r>
      <w:r w:rsidR="00AC51CB">
        <w:rPr>
          <w:color w:val="000000" w:themeColor="text1"/>
          <w:kern w:val="0"/>
          <w:szCs w:val="21"/>
        </w:rPr>
        <w:t xml:space="preserve">The </w:t>
      </w:r>
      <w:r w:rsidR="00705D35">
        <w:rPr>
          <w:color w:val="000000" w:themeColor="text1"/>
          <w:kern w:val="0"/>
          <w:szCs w:val="21"/>
        </w:rPr>
        <w:t>m</w:t>
      </w:r>
      <w:r w:rsidR="00AC51CB">
        <w:rPr>
          <w:color w:val="000000" w:themeColor="text1"/>
          <w:kern w:val="0"/>
          <w:szCs w:val="21"/>
        </w:rPr>
        <w:t xml:space="preserve">ouse GC cell line, </w:t>
      </w:r>
      <w:r w:rsidR="00977AEA">
        <w:rPr>
          <w:color w:val="000000" w:themeColor="text1"/>
          <w:kern w:val="0"/>
          <w:szCs w:val="21"/>
        </w:rPr>
        <w:t>MFC cells</w:t>
      </w:r>
      <w:r w:rsidR="00AC51CB">
        <w:rPr>
          <w:color w:val="000000" w:themeColor="text1"/>
          <w:kern w:val="0"/>
          <w:szCs w:val="21"/>
        </w:rPr>
        <w:t>,</w:t>
      </w:r>
      <w:r w:rsidR="00977AEA">
        <w:rPr>
          <w:color w:val="000000" w:themeColor="text1"/>
          <w:kern w:val="0"/>
          <w:szCs w:val="21"/>
        </w:rPr>
        <w:t xml:space="preserve"> </w:t>
      </w:r>
      <w:r w:rsidR="00AC51CB">
        <w:rPr>
          <w:color w:val="000000" w:themeColor="text1"/>
          <w:kern w:val="0"/>
          <w:szCs w:val="21"/>
        </w:rPr>
        <w:t>was</w:t>
      </w:r>
      <w:r w:rsidR="00977AEA">
        <w:rPr>
          <w:color w:val="000000" w:themeColor="text1"/>
          <w:kern w:val="0"/>
          <w:szCs w:val="21"/>
        </w:rPr>
        <w:t xml:space="preserve"> maintained in </w:t>
      </w:r>
      <w:r w:rsidR="00AC51CB">
        <w:rPr>
          <w:color w:val="000000" w:themeColor="text1"/>
          <w:kern w:val="0"/>
          <w:szCs w:val="21"/>
        </w:rPr>
        <w:t xml:space="preserve">RPMI-1640 </w:t>
      </w:r>
      <w:r w:rsidR="00AC51CB" w:rsidRPr="00673D58">
        <w:rPr>
          <w:color w:val="000000" w:themeColor="text1"/>
          <w:kern w:val="0"/>
          <w:szCs w:val="21"/>
        </w:rPr>
        <w:t>(Gibco BRL, MD, USA) supplemented with 10% (v/v) fetal bovine serum (FBS) (Gibco BRL, MD, USA) at 37°C in a humidified incubator containing 5% CO</w:t>
      </w:r>
      <w:r w:rsidR="00AC51CB" w:rsidRPr="00673D58">
        <w:rPr>
          <w:color w:val="000000" w:themeColor="text1"/>
          <w:kern w:val="0"/>
          <w:szCs w:val="21"/>
          <w:vertAlign w:val="subscript"/>
        </w:rPr>
        <w:t>2</w:t>
      </w:r>
      <w:r w:rsidR="00AC51CB">
        <w:rPr>
          <w:color w:val="000000" w:themeColor="text1"/>
          <w:kern w:val="0"/>
          <w:szCs w:val="21"/>
        </w:rPr>
        <w:t xml:space="preserve">. The human GC cell lines, MKN45 and N87 cells, </w:t>
      </w:r>
      <w:r w:rsidRPr="00673D58">
        <w:rPr>
          <w:color w:val="000000" w:themeColor="text1"/>
          <w:kern w:val="0"/>
          <w:szCs w:val="21"/>
        </w:rPr>
        <w:t>were routinely maintained in Dulbecco’s modified Eagle’s medium (DMEM) (Gibco BRL, MD, USA) supplemented with 10% (v/v) fetal bovine serum (FBS) (Gibco BRL, MD, USA) at 37°C in a humidified incubator containing 5% CO</w:t>
      </w:r>
      <w:r w:rsidRPr="00673D58">
        <w:rPr>
          <w:color w:val="000000" w:themeColor="text1"/>
          <w:kern w:val="0"/>
          <w:szCs w:val="21"/>
          <w:vertAlign w:val="subscript"/>
        </w:rPr>
        <w:t>2</w:t>
      </w:r>
      <w:r w:rsidRPr="00673D58">
        <w:rPr>
          <w:color w:val="000000" w:themeColor="text1"/>
          <w:kern w:val="0"/>
          <w:szCs w:val="21"/>
        </w:rPr>
        <w:t xml:space="preserve">. </w:t>
      </w:r>
    </w:p>
    <w:p w14:paraId="44728B4C" w14:textId="77777777" w:rsidR="00A6372D" w:rsidRDefault="00A6372D" w:rsidP="001C3DD6">
      <w:pPr>
        <w:spacing w:line="480" w:lineRule="auto"/>
        <w:rPr>
          <w:color w:val="000000" w:themeColor="text1"/>
          <w:kern w:val="0"/>
          <w:szCs w:val="21"/>
        </w:rPr>
      </w:pPr>
    </w:p>
    <w:p w14:paraId="0DC126E6" w14:textId="77777777" w:rsidR="00EE38B2" w:rsidRPr="008B2254" w:rsidRDefault="00EE38B2" w:rsidP="00EE38B2">
      <w:pPr>
        <w:autoSpaceDE w:val="0"/>
        <w:autoSpaceDN w:val="0"/>
        <w:adjustRightInd w:val="0"/>
        <w:spacing w:line="480" w:lineRule="auto"/>
        <w:rPr>
          <w:b/>
          <w:bCs/>
          <w:color w:val="000000" w:themeColor="text1"/>
          <w:kern w:val="0"/>
          <w:szCs w:val="21"/>
        </w:rPr>
      </w:pPr>
      <w:r>
        <w:rPr>
          <w:b/>
          <w:bCs/>
          <w:color w:val="000000" w:themeColor="text1"/>
          <w:kern w:val="0"/>
          <w:szCs w:val="21"/>
        </w:rPr>
        <w:t>CCK-8</w:t>
      </w:r>
      <w:r w:rsidRPr="008B2254">
        <w:rPr>
          <w:b/>
          <w:bCs/>
          <w:color w:val="000000" w:themeColor="text1"/>
          <w:kern w:val="0"/>
          <w:szCs w:val="21"/>
        </w:rPr>
        <w:t xml:space="preserve"> assays</w:t>
      </w:r>
    </w:p>
    <w:p w14:paraId="45FE0D43" w14:textId="77777777" w:rsidR="00EE38B2" w:rsidRPr="008B2254" w:rsidRDefault="00EE38B2" w:rsidP="00EE38B2">
      <w:pPr>
        <w:autoSpaceDE w:val="0"/>
        <w:autoSpaceDN w:val="0"/>
        <w:adjustRightInd w:val="0"/>
        <w:spacing w:line="480" w:lineRule="auto"/>
        <w:ind w:firstLineChars="200" w:firstLine="420"/>
        <w:rPr>
          <w:color w:val="000000" w:themeColor="text1"/>
          <w:kern w:val="0"/>
          <w:szCs w:val="21"/>
        </w:rPr>
      </w:pPr>
      <w:r w:rsidRPr="008B2254">
        <w:rPr>
          <w:color w:val="000000" w:themeColor="text1"/>
          <w:kern w:val="0"/>
          <w:szCs w:val="21"/>
        </w:rPr>
        <w:t xml:space="preserve">The cell </w:t>
      </w:r>
      <w:r>
        <w:rPr>
          <w:color w:val="000000" w:themeColor="text1"/>
          <w:kern w:val="0"/>
          <w:szCs w:val="21"/>
        </w:rPr>
        <w:t>proliferation</w:t>
      </w:r>
      <w:r w:rsidRPr="008B2254">
        <w:rPr>
          <w:color w:val="000000" w:themeColor="text1"/>
          <w:kern w:val="0"/>
          <w:szCs w:val="21"/>
        </w:rPr>
        <w:t xml:space="preserve"> was assessed with the cell counting kit-8 (</w:t>
      </w:r>
      <w:proofErr w:type="spellStart"/>
      <w:r w:rsidRPr="008B2254">
        <w:rPr>
          <w:color w:val="000000" w:themeColor="text1"/>
          <w:kern w:val="0"/>
          <w:szCs w:val="21"/>
        </w:rPr>
        <w:t>Dojindo</w:t>
      </w:r>
      <w:proofErr w:type="spellEnd"/>
      <w:r w:rsidRPr="008B2254">
        <w:rPr>
          <w:color w:val="000000" w:themeColor="text1"/>
          <w:kern w:val="0"/>
          <w:szCs w:val="21"/>
        </w:rPr>
        <w:t xml:space="preserve">, Kumamoto, Japan). Briefly, </w:t>
      </w:r>
      <w:r>
        <w:rPr>
          <w:color w:val="000000" w:themeColor="text1"/>
          <w:kern w:val="0"/>
          <w:szCs w:val="21"/>
        </w:rPr>
        <w:t>G</w:t>
      </w:r>
      <w:r w:rsidRPr="008B2254">
        <w:rPr>
          <w:color w:val="000000" w:themeColor="text1"/>
          <w:kern w:val="0"/>
          <w:szCs w:val="21"/>
        </w:rPr>
        <w:t>C cells (4-5 × 10</w:t>
      </w:r>
      <w:r w:rsidRPr="008B2254">
        <w:rPr>
          <w:color w:val="000000" w:themeColor="text1"/>
          <w:kern w:val="0"/>
          <w:szCs w:val="21"/>
          <w:vertAlign w:val="superscript"/>
        </w:rPr>
        <w:t>3</w:t>
      </w:r>
      <w:r w:rsidRPr="008B2254">
        <w:rPr>
          <w:color w:val="000000" w:themeColor="text1"/>
          <w:kern w:val="0"/>
          <w:szCs w:val="21"/>
        </w:rPr>
        <w:t xml:space="preserve"> per well) were plated in 96-well plates in </w:t>
      </w:r>
      <w:r>
        <w:rPr>
          <w:color w:val="000000" w:themeColor="text1"/>
          <w:kern w:val="0"/>
          <w:szCs w:val="21"/>
        </w:rPr>
        <w:t>RPMI-1640 or DMEM</w:t>
      </w:r>
      <w:r w:rsidRPr="008B2254">
        <w:rPr>
          <w:color w:val="000000" w:themeColor="text1"/>
          <w:kern w:val="0"/>
          <w:szCs w:val="21"/>
        </w:rPr>
        <w:t xml:space="preserve"> supplemented with 10% FBS and incubated at 37°C, 5% CO</w:t>
      </w:r>
      <w:r w:rsidRPr="008B2254">
        <w:rPr>
          <w:color w:val="000000" w:themeColor="text1"/>
          <w:kern w:val="0"/>
          <w:szCs w:val="21"/>
          <w:vertAlign w:val="subscript"/>
        </w:rPr>
        <w:t>2</w:t>
      </w:r>
      <w:r w:rsidRPr="008B2254">
        <w:rPr>
          <w:color w:val="000000" w:themeColor="text1"/>
          <w:kern w:val="0"/>
          <w:szCs w:val="21"/>
        </w:rPr>
        <w:t xml:space="preserve">. After </w:t>
      </w:r>
      <w:r>
        <w:rPr>
          <w:color w:val="000000" w:themeColor="text1"/>
          <w:kern w:val="0"/>
          <w:szCs w:val="21"/>
        </w:rPr>
        <w:t>12</w:t>
      </w:r>
      <w:r w:rsidRPr="008B2254">
        <w:rPr>
          <w:color w:val="000000" w:themeColor="text1"/>
          <w:kern w:val="0"/>
          <w:szCs w:val="21"/>
        </w:rPr>
        <w:t xml:space="preserve"> h</w:t>
      </w:r>
      <w:r>
        <w:rPr>
          <w:color w:val="000000" w:themeColor="text1"/>
          <w:kern w:val="0"/>
          <w:szCs w:val="21"/>
        </w:rPr>
        <w:t>ours</w:t>
      </w:r>
      <w:r w:rsidRPr="008B2254">
        <w:rPr>
          <w:color w:val="000000" w:themeColor="text1"/>
          <w:kern w:val="0"/>
          <w:szCs w:val="21"/>
        </w:rPr>
        <w:t xml:space="preserve">, </w:t>
      </w:r>
      <w:r>
        <w:rPr>
          <w:color w:val="000000" w:themeColor="text1"/>
          <w:kern w:val="0"/>
          <w:szCs w:val="21"/>
        </w:rPr>
        <w:t>indicated</w:t>
      </w:r>
      <w:r w:rsidRPr="008B2254">
        <w:rPr>
          <w:color w:val="000000" w:themeColor="text1"/>
          <w:kern w:val="0"/>
          <w:szCs w:val="21"/>
        </w:rPr>
        <w:t xml:space="preserve"> concentrations of the compounds were added into the wells, and the cells were incubated for another 24-72 h</w:t>
      </w:r>
      <w:r>
        <w:rPr>
          <w:color w:val="000000" w:themeColor="text1"/>
          <w:kern w:val="0"/>
          <w:szCs w:val="21"/>
        </w:rPr>
        <w:t>ours</w:t>
      </w:r>
      <w:r w:rsidRPr="008B2254">
        <w:rPr>
          <w:color w:val="000000" w:themeColor="text1"/>
          <w:kern w:val="0"/>
          <w:szCs w:val="21"/>
        </w:rPr>
        <w:t>. The cells were then incubated for an additional 2 h</w:t>
      </w:r>
      <w:r>
        <w:rPr>
          <w:color w:val="000000" w:themeColor="text1"/>
          <w:kern w:val="0"/>
          <w:szCs w:val="21"/>
        </w:rPr>
        <w:t>ours with CCK-8 reagent (100μl/mL</w:t>
      </w:r>
      <w:r w:rsidRPr="008B2254">
        <w:rPr>
          <w:color w:val="000000" w:themeColor="text1"/>
          <w:kern w:val="0"/>
          <w:szCs w:val="21"/>
        </w:rPr>
        <w:t xml:space="preserve"> </w:t>
      </w:r>
      <w:r w:rsidRPr="008B2254">
        <w:rPr>
          <w:color w:val="000000" w:themeColor="text1"/>
          <w:kern w:val="0"/>
          <w:szCs w:val="21"/>
        </w:rPr>
        <w:lastRenderedPageBreak/>
        <w:t xml:space="preserve">medium) and read at 450 nm using a microplate reader (Thermo, MD, USA). Each experiment was reproduced in six wells and repeated at least three times. </w:t>
      </w:r>
    </w:p>
    <w:p w14:paraId="3E4F96A9" w14:textId="77777777" w:rsidR="009D15A5" w:rsidRPr="00EE38B2" w:rsidRDefault="009D15A5" w:rsidP="00EE38B2">
      <w:pPr>
        <w:spacing w:line="480" w:lineRule="auto"/>
        <w:rPr>
          <w:color w:val="000000" w:themeColor="text1"/>
          <w:kern w:val="0"/>
          <w:szCs w:val="21"/>
        </w:rPr>
      </w:pPr>
    </w:p>
    <w:p w14:paraId="0E53AAA3" w14:textId="77777777" w:rsidR="00A6372D" w:rsidRPr="008B2254" w:rsidRDefault="00A6372D" w:rsidP="00951823">
      <w:pPr>
        <w:autoSpaceDE w:val="0"/>
        <w:autoSpaceDN w:val="0"/>
        <w:adjustRightInd w:val="0"/>
        <w:spacing w:line="480" w:lineRule="auto"/>
        <w:rPr>
          <w:b/>
          <w:szCs w:val="21"/>
        </w:rPr>
      </w:pPr>
      <w:r w:rsidRPr="008B2254">
        <w:rPr>
          <w:b/>
          <w:color w:val="000000" w:themeColor="text1"/>
          <w:kern w:val="0"/>
          <w:szCs w:val="21"/>
        </w:rPr>
        <w:t xml:space="preserve">Enzyme-Linked Immunosorbent Assay (ELISA) </w:t>
      </w:r>
    </w:p>
    <w:p w14:paraId="3AC5EF81" w14:textId="77777777" w:rsidR="00A6372D" w:rsidRDefault="00751005" w:rsidP="001C3DD6">
      <w:pPr>
        <w:autoSpaceDE w:val="0"/>
        <w:autoSpaceDN w:val="0"/>
        <w:adjustRightInd w:val="0"/>
        <w:spacing w:line="480" w:lineRule="auto"/>
        <w:ind w:firstLineChars="200" w:firstLine="420"/>
        <w:rPr>
          <w:color w:val="000000" w:themeColor="text1"/>
          <w:kern w:val="0"/>
          <w:szCs w:val="21"/>
        </w:rPr>
      </w:pPr>
      <w:r w:rsidRPr="008B2254">
        <w:rPr>
          <w:color w:val="000000" w:themeColor="text1"/>
          <w:kern w:val="0"/>
          <w:szCs w:val="21"/>
        </w:rPr>
        <w:t>Blood samples from mice were subjected to centrifugation at 2000 rpm for 10 min</w:t>
      </w:r>
      <w:r w:rsidR="00EA4B8C">
        <w:rPr>
          <w:color w:val="000000" w:themeColor="text1"/>
          <w:kern w:val="0"/>
          <w:szCs w:val="21"/>
        </w:rPr>
        <w:t>utes</w:t>
      </w:r>
      <w:r w:rsidRPr="008B2254">
        <w:rPr>
          <w:color w:val="000000" w:themeColor="text1"/>
          <w:kern w:val="0"/>
          <w:szCs w:val="21"/>
        </w:rPr>
        <w:t xml:space="preserve"> at 4°C. The supernatant plasma was then collected. </w:t>
      </w:r>
      <w:r w:rsidR="00A6372D" w:rsidRPr="008B2254">
        <w:rPr>
          <w:color w:val="000000" w:themeColor="text1"/>
          <w:kern w:val="0"/>
          <w:szCs w:val="21"/>
        </w:rPr>
        <w:t>The serum w</w:t>
      </w:r>
      <w:r w:rsidR="00545CC0">
        <w:rPr>
          <w:color w:val="000000" w:themeColor="text1"/>
          <w:kern w:val="0"/>
          <w:szCs w:val="21"/>
        </w:rPr>
        <w:t>as</w:t>
      </w:r>
      <w:r w:rsidR="00A6372D" w:rsidRPr="008B2254">
        <w:rPr>
          <w:color w:val="000000" w:themeColor="text1"/>
          <w:kern w:val="0"/>
          <w:szCs w:val="21"/>
        </w:rPr>
        <w:t xml:space="preserve"> centrifuged at 12,000 rpm for 15 minutes at 4°C to remove cell debris</w:t>
      </w:r>
      <w:r w:rsidRPr="008B2254">
        <w:rPr>
          <w:color w:val="000000" w:themeColor="text1"/>
          <w:kern w:val="0"/>
          <w:szCs w:val="21"/>
        </w:rPr>
        <w:t xml:space="preserve"> and fractioned into multiple aliquots for storage at -80°C</w:t>
      </w:r>
      <w:r w:rsidR="00A6372D" w:rsidRPr="008B2254">
        <w:rPr>
          <w:color w:val="000000" w:themeColor="text1"/>
          <w:kern w:val="0"/>
          <w:szCs w:val="21"/>
        </w:rPr>
        <w:t xml:space="preserve">. </w:t>
      </w:r>
      <w:r w:rsidR="00F656CC" w:rsidRPr="008B2254">
        <w:rPr>
          <w:color w:val="000000" w:themeColor="text1"/>
          <w:kern w:val="0"/>
          <w:szCs w:val="21"/>
        </w:rPr>
        <w:t xml:space="preserve">The </w:t>
      </w:r>
      <w:r w:rsidR="00EF73B9">
        <w:rPr>
          <w:color w:val="000000" w:themeColor="text1"/>
          <w:kern w:val="0"/>
          <w:szCs w:val="21"/>
        </w:rPr>
        <w:t>IFN-</w:t>
      </w:r>
      <w:r w:rsidR="00EF73B9">
        <w:rPr>
          <w:rFonts w:hint="eastAsia"/>
          <w:color w:val="000000" w:themeColor="text1"/>
          <w:kern w:val="0"/>
          <w:szCs w:val="21"/>
        </w:rPr>
        <w:t>γ</w:t>
      </w:r>
      <w:r w:rsidR="00153F01">
        <w:rPr>
          <w:rFonts w:hint="eastAsia"/>
          <w:color w:val="000000" w:themeColor="text1"/>
          <w:kern w:val="0"/>
          <w:szCs w:val="21"/>
        </w:rPr>
        <w:t>(</w:t>
      </w:r>
      <w:r w:rsidR="00153F01" w:rsidRPr="00153F01">
        <w:rPr>
          <w:color w:val="000000" w:themeColor="text1"/>
          <w:kern w:val="0"/>
          <w:szCs w:val="21"/>
        </w:rPr>
        <w:t>MIF00</w:t>
      </w:r>
      <w:r w:rsidR="00153F01">
        <w:rPr>
          <w:color w:val="000000" w:themeColor="text1"/>
          <w:kern w:val="0"/>
          <w:szCs w:val="21"/>
        </w:rPr>
        <w:t>)</w:t>
      </w:r>
      <w:r w:rsidR="00F656CC" w:rsidRPr="008B2254">
        <w:rPr>
          <w:color w:val="000000" w:themeColor="text1"/>
          <w:kern w:val="0"/>
          <w:szCs w:val="21"/>
        </w:rPr>
        <w:t>, TNF-α</w:t>
      </w:r>
      <w:r w:rsidR="00153F01">
        <w:rPr>
          <w:color w:val="000000" w:themeColor="text1"/>
          <w:kern w:val="0"/>
          <w:szCs w:val="21"/>
        </w:rPr>
        <w:t xml:space="preserve"> (</w:t>
      </w:r>
      <w:r w:rsidR="00153F01" w:rsidRPr="00153F01">
        <w:rPr>
          <w:color w:val="000000" w:themeColor="text1"/>
          <w:kern w:val="0"/>
          <w:szCs w:val="21"/>
        </w:rPr>
        <w:t>MTA00B</w:t>
      </w:r>
      <w:r w:rsidR="00153F01">
        <w:rPr>
          <w:color w:val="000000" w:themeColor="text1"/>
          <w:kern w:val="0"/>
          <w:szCs w:val="21"/>
        </w:rPr>
        <w:t>)</w:t>
      </w:r>
      <w:r w:rsidR="00F656CC" w:rsidRPr="008B2254">
        <w:rPr>
          <w:color w:val="000000" w:themeColor="text1"/>
          <w:kern w:val="0"/>
          <w:szCs w:val="21"/>
        </w:rPr>
        <w:t>, IL-</w:t>
      </w:r>
      <w:r w:rsidR="00EF73B9">
        <w:rPr>
          <w:rFonts w:hint="eastAsia"/>
          <w:color w:val="000000" w:themeColor="text1"/>
          <w:kern w:val="0"/>
          <w:szCs w:val="21"/>
        </w:rPr>
        <w:t>2</w:t>
      </w:r>
      <w:r w:rsidR="00153F01">
        <w:rPr>
          <w:color w:val="000000" w:themeColor="text1"/>
          <w:kern w:val="0"/>
          <w:szCs w:val="21"/>
        </w:rPr>
        <w:t xml:space="preserve"> (</w:t>
      </w:r>
      <w:r w:rsidR="00153F01" w:rsidRPr="00153F01">
        <w:rPr>
          <w:color w:val="000000" w:themeColor="text1"/>
          <w:kern w:val="0"/>
          <w:szCs w:val="21"/>
        </w:rPr>
        <w:t>M2000</w:t>
      </w:r>
      <w:r w:rsidR="00153F01">
        <w:rPr>
          <w:color w:val="000000" w:themeColor="text1"/>
          <w:kern w:val="0"/>
          <w:szCs w:val="21"/>
        </w:rPr>
        <w:t>)</w:t>
      </w:r>
      <w:r w:rsidR="00EF73B9">
        <w:rPr>
          <w:color w:val="000000" w:themeColor="text1"/>
          <w:kern w:val="0"/>
          <w:szCs w:val="21"/>
        </w:rPr>
        <w:t xml:space="preserve"> </w:t>
      </w:r>
      <w:r w:rsidR="00EF73B9">
        <w:rPr>
          <w:rFonts w:hint="eastAsia"/>
          <w:color w:val="000000" w:themeColor="text1"/>
          <w:kern w:val="0"/>
          <w:szCs w:val="21"/>
        </w:rPr>
        <w:t>and</w:t>
      </w:r>
      <w:r w:rsidR="00F656CC" w:rsidRPr="008B2254">
        <w:rPr>
          <w:color w:val="000000" w:themeColor="text1"/>
          <w:kern w:val="0"/>
          <w:szCs w:val="21"/>
        </w:rPr>
        <w:t xml:space="preserve"> IL-</w:t>
      </w:r>
      <w:r w:rsidR="00EF73B9">
        <w:rPr>
          <w:rFonts w:hint="eastAsia"/>
          <w:color w:val="000000" w:themeColor="text1"/>
          <w:kern w:val="0"/>
          <w:szCs w:val="21"/>
        </w:rPr>
        <w:t>10</w:t>
      </w:r>
      <w:r w:rsidR="00153F01">
        <w:rPr>
          <w:color w:val="000000" w:themeColor="text1"/>
          <w:kern w:val="0"/>
          <w:szCs w:val="21"/>
        </w:rPr>
        <w:t xml:space="preserve"> (</w:t>
      </w:r>
      <w:r w:rsidR="00153F01" w:rsidRPr="00153F01">
        <w:rPr>
          <w:color w:val="000000" w:themeColor="text1"/>
          <w:kern w:val="0"/>
          <w:szCs w:val="21"/>
        </w:rPr>
        <w:t>M1000B</w:t>
      </w:r>
      <w:r w:rsidR="00153F01">
        <w:rPr>
          <w:color w:val="000000" w:themeColor="text1"/>
          <w:kern w:val="0"/>
          <w:szCs w:val="21"/>
        </w:rPr>
        <w:t>)</w:t>
      </w:r>
      <w:r w:rsidR="00F656CC" w:rsidRPr="008B2254">
        <w:rPr>
          <w:color w:val="000000" w:themeColor="text1"/>
          <w:kern w:val="0"/>
          <w:szCs w:val="21"/>
        </w:rPr>
        <w:t xml:space="preserve"> ELISA kits were purchased from R&amp;D Systems (MN, USA). </w:t>
      </w:r>
      <w:bookmarkStart w:id="0" w:name="_Hlk37664088"/>
      <w:r w:rsidR="00F656CC" w:rsidRPr="008B2254">
        <w:rPr>
          <w:color w:val="000000" w:themeColor="text1"/>
          <w:kern w:val="0"/>
          <w:szCs w:val="21"/>
        </w:rPr>
        <w:t>The experiments were performed according to the manufacturer’s instructions.</w:t>
      </w:r>
      <w:r w:rsidR="00A6372D" w:rsidRPr="008B2254">
        <w:rPr>
          <w:color w:val="000000" w:themeColor="text1"/>
          <w:kern w:val="0"/>
          <w:szCs w:val="21"/>
        </w:rPr>
        <w:t xml:space="preserve"> </w:t>
      </w:r>
      <w:bookmarkEnd w:id="0"/>
      <w:r w:rsidR="00A6372D" w:rsidRPr="008B2254">
        <w:rPr>
          <w:color w:val="000000" w:themeColor="text1"/>
          <w:kern w:val="0"/>
          <w:szCs w:val="21"/>
        </w:rPr>
        <w:t xml:space="preserve">All the data presented were normalized to the total amounts of protein present in the extracts. Briefly, 100μL of sample was added to each well </w:t>
      </w:r>
      <w:r w:rsidR="00B24F99">
        <w:rPr>
          <w:color w:val="000000" w:themeColor="text1"/>
          <w:kern w:val="0"/>
          <w:szCs w:val="21"/>
        </w:rPr>
        <w:t>and incubated the plates for 2</w:t>
      </w:r>
      <w:r w:rsidR="00B54DDB">
        <w:rPr>
          <w:rFonts w:hint="eastAsia"/>
          <w:color w:val="000000" w:themeColor="text1"/>
          <w:kern w:val="0"/>
          <w:szCs w:val="21"/>
        </w:rPr>
        <w:t>.5</w:t>
      </w:r>
      <w:r w:rsidR="00B24F99">
        <w:rPr>
          <w:color w:val="000000" w:themeColor="text1"/>
          <w:kern w:val="0"/>
          <w:szCs w:val="21"/>
        </w:rPr>
        <w:t xml:space="preserve"> </w:t>
      </w:r>
      <w:r w:rsidR="00A6372D" w:rsidRPr="008B2254">
        <w:rPr>
          <w:color w:val="000000" w:themeColor="text1"/>
          <w:kern w:val="0"/>
          <w:szCs w:val="21"/>
        </w:rPr>
        <w:t>hours at RT. The plates were washed and incubated with the conjugate for 2 hours. After washing, substrate solution was added to determine immunoreactivity, and the absorbance was determined using a Microplate Spectrophotometer (Bio-Rad). A curve of the absorbance versus the concentrations of cytokines/chemokines in the standard wells was plotted.</w:t>
      </w:r>
    </w:p>
    <w:p w14:paraId="0366BCF3" w14:textId="77777777" w:rsidR="006F4CEC" w:rsidRPr="00224D6F" w:rsidRDefault="006F4CEC" w:rsidP="006F4CEC">
      <w:pPr>
        <w:autoSpaceDE w:val="0"/>
        <w:autoSpaceDN w:val="0"/>
        <w:adjustRightInd w:val="0"/>
        <w:spacing w:line="480" w:lineRule="auto"/>
        <w:rPr>
          <w:color w:val="000000" w:themeColor="text1"/>
          <w:kern w:val="0"/>
          <w:szCs w:val="21"/>
        </w:rPr>
      </w:pPr>
    </w:p>
    <w:p w14:paraId="53A7F226" w14:textId="58DC2AB5" w:rsidR="00A003A8" w:rsidRPr="008B2254" w:rsidRDefault="00A003A8" w:rsidP="00A003A8">
      <w:pPr>
        <w:autoSpaceDE w:val="0"/>
        <w:autoSpaceDN w:val="0"/>
        <w:adjustRightInd w:val="0"/>
        <w:spacing w:line="480" w:lineRule="auto"/>
        <w:rPr>
          <w:b/>
          <w:color w:val="000000" w:themeColor="text1"/>
          <w:kern w:val="0"/>
          <w:szCs w:val="21"/>
        </w:rPr>
      </w:pPr>
      <w:r w:rsidRPr="008B2254">
        <w:rPr>
          <w:b/>
          <w:color w:val="000000" w:themeColor="text1"/>
          <w:kern w:val="0"/>
          <w:szCs w:val="21"/>
        </w:rPr>
        <w:t>Immunohistochemical analysis</w:t>
      </w:r>
      <w:r w:rsidR="000D345E">
        <w:rPr>
          <w:b/>
          <w:color w:val="000000" w:themeColor="text1"/>
          <w:kern w:val="0"/>
          <w:szCs w:val="21"/>
        </w:rPr>
        <w:t xml:space="preserve">, </w:t>
      </w:r>
      <w:r w:rsidR="000D345E" w:rsidRPr="000D345E">
        <w:rPr>
          <w:b/>
          <w:color w:val="000000" w:themeColor="text1"/>
          <w:kern w:val="0"/>
          <w:szCs w:val="21"/>
        </w:rPr>
        <w:t>immunofluorescence</w:t>
      </w:r>
      <w:r w:rsidR="000D345E">
        <w:rPr>
          <w:b/>
          <w:color w:val="000000" w:themeColor="text1"/>
          <w:kern w:val="0"/>
          <w:szCs w:val="21"/>
        </w:rPr>
        <w:t xml:space="preserve"> </w:t>
      </w:r>
      <w:r w:rsidR="00A91BDB">
        <w:rPr>
          <w:b/>
          <w:color w:val="000000" w:themeColor="text1"/>
          <w:kern w:val="0"/>
          <w:szCs w:val="21"/>
        </w:rPr>
        <w:t xml:space="preserve">staining </w:t>
      </w:r>
      <w:r w:rsidRPr="008B2254">
        <w:rPr>
          <w:b/>
          <w:color w:val="000000" w:themeColor="text1"/>
          <w:kern w:val="0"/>
          <w:szCs w:val="21"/>
        </w:rPr>
        <w:t xml:space="preserve">and evaluation of </w:t>
      </w:r>
      <w:proofErr w:type="spellStart"/>
      <w:r w:rsidRPr="008B2254">
        <w:rPr>
          <w:b/>
          <w:color w:val="000000" w:themeColor="text1"/>
          <w:kern w:val="0"/>
          <w:szCs w:val="21"/>
        </w:rPr>
        <w:t>imunohistochemical</w:t>
      </w:r>
      <w:proofErr w:type="spellEnd"/>
      <w:r w:rsidRPr="008B2254">
        <w:rPr>
          <w:b/>
          <w:color w:val="000000" w:themeColor="text1"/>
          <w:kern w:val="0"/>
          <w:szCs w:val="21"/>
        </w:rPr>
        <w:t xml:space="preserve"> variables</w:t>
      </w:r>
    </w:p>
    <w:p w14:paraId="6EA89A80" w14:textId="5A78F061" w:rsidR="00412277" w:rsidRDefault="009474DE" w:rsidP="000D345E">
      <w:pPr>
        <w:autoSpaceDE w:val="0"/>
        <w:autoSpaceDN w:val="0"/>
        <w:adjustRightInd w:val="0"/>
        <w:spacing w:line="480" w:lineRule="auto"/>
        <w:ind w:firstLineChars="200" w:firstLine="420"/>
        <w:rPr>
          <w:color w:val="000000" w:themeColor="text1"/>
          <w:kern w:val="0"/>
          <w:szCs w:val="21"/>
        </w:rPr>
      </w:pPr>
      <w:r w:rsidRPr="009474DE">
        <w:rPr>
          <w:color w:val="000000" w:themeColor="text1"/>
          <w:kern w:val="0"/>
          <w:szCs w:val="21"/>
        </w:rPr>
        <w:t>Harvested tumors were fixed in 4% formaldehyde solution in PBS, and embedded in paraffin. 5mm thick sections were cut from paraffin-embedded tissue blocks, deparaffinized and rehydrated in ethanol, and then subjected to antigen retrieval. Endogenous peroxidase activity was blocked using 0.3% hydrogen peroxide in methanol for 30 min</w:t>
      </w:r>
      <w:r w:rsidR="00F805FE">
        <w:rPr>
          <w:rFonts w:hint="eastAsia"/>
          <w:color w:val="000000" w:themeColor="text1"/>
          <w:kern w:val="0"/>
          <w:szCs w:val="21"/>
        </w:rPr>
        <w:t>utes</w:t>
      </w:r>
      <w:r w:rsidRPr="009474DE">
        <w:rPr>
          <w:color w:val="000000" w:themeColor="text1"/>
          <w:kern w:val="0"/>
          <w:szCs w:val="21"/>
        </w:rPr>
        <w:t xml:space="preserve">. Sections were blocked with 2% BSA in </w:t>
      </w:r>
      <w:r w:rsidRPr="009474DE">
        <w:rPr>
          <w:color w:val="000000" w:themeColor="text1"/>
          <w:kern w:val="0"/>
          <w:szCs w:val="21"/>
        </w:rPr>
        <w:lastRenderedPageBreak/>
        <w:t>PBS for 1h</w:t>
      </w:r>
      <w:r w:rsidR="001D7CEF">
        <w:rPr>
          <w:color w:val="000000" w:themeColor="text1"/>
          <w:kern w:val="0"/>
          <w:szCs w:val="21"/>
        </w:rPr>
        <w:t>our</w:t>
      </w:r>
      <w:r w:rsidRPr="009474DE">
        <w:rPr>
          <w:color w:val="000000" w:themeColor="text1"/>
          <w:kern w:val="0"/>
          <w:szCs w:val="21"/>
        </w:rPr>
        <w:t xml:space="preserve"> at 37 °C, followed by incubation with primary antibodies at 4°C overnight. After washing with PBS three times on the second day, corresponding secondary antibodies were applied, and samples were further incubated at 37 °C for 1</w:t>
      </w:r>
      <w:r w:rsidR="00F805FE">
        <w:rPr>
          <w:color w:val="000000" w:themeColor="text1"/>
          <w:kern w:val="0"/>
          <w:szCs w:val="21"/>
        </w:rPr>
        <w:t xml:space="preserve"> </w:t>
      </w:r>
      <w:r w:rsidRPr="009474DE">
        <w:rPr>
          <w:color w:val="000000" w:themeColor="text1"/>
          <w:kern w:val="0"/>
          <w:szCs w:val="21"/>
        </w:rPr>
        <w:t>h</w:t>
      </w:r>
      <w:r w:rsidR="00F805FE">
        <w:rPr>
          <w:color w:val="000000" w:themeColor="text1"/>
          <w:kern w:val="0"/>
          <w:szCs w:val="21"/>
        </w:rPr>
        <w:t>our</w:t>
      </w:r>
      <w:r w:rsidRPr="009474DE">
        <w:rPr>
          <w:color w:val="000000" w:themeColor="text1"/>
          <w:kern w:val="0"/>
          <w:szCs w:val="21"/>
        </w:rPr>
        <w:t>. Slides were visualized with DAB staining.</w:t>
      </w:r>
      <w:r w:rsidR="000D345E" w:rsidRPr="000D345E">
        <w:t xml:space="preserve"> </w:t>
      </w:r>
      <w:r w:rsidR="000D345E" w:rsidRPr="000D345E">
        <w:rPr>
          <w:color w:val="000000" w:themeColor="text1"/>
          <w:kern w:val="0"/>
          <w:szCs w:val="21"/>
        </w:rPr>
        <w:t>For immunofluorescence</w:t>
      </w:r>
      <w:r w:rsidR="000D345E">
        <w:rPr>
          <w:rFonts w:hint="eastAsia"/>
          <w:color w:val="000000" w:themeColor="text1"/>
          <w:kern w:val="0"/>
          <w:szCs w:val="21"/>
        </w:rPr>
        <w:t xml:space="preserve"> </w:t>
      </w:r>
      <w:r w:rsidR="000D345E" w:rsidRPr="000D345E">
        <w:rPr>
          <w:color w:val="000000" w:themeColor="text1"/>
          <w:kern w:val="0"/>
          <w:szCs w:val="21"/>
        </w:rPr>
        <w:t>staining, the sections were incubated with the primary antibodies</w:t>
      </w:r>
      <w:r w:rsidR="000D345E">
        <w:rPr>
          <w:rFonts w:hint="eastAsia"/>
          <w:color w:val="000000" w:themeColor="text1"/>
          <w:kern w:val="0"/>
          <w:szCs w:val="21"/>
        </w:rPr>
        <w:t xml:space="preserve"> </w:t>
      </w:r>
      <w:r w:rsidR="000D345E" w:rsidRPr="000D345E">
        <w:rPr>
          <w:color w:val="000000" w:themeColor="text1"/>
          <w:kern w:val="0"/>
          <w:szCs w:val="21"/>
        </w:rPr>
        <w:t>overnight at 4 °C. Then, samples were incubated with FITC</w:t>
      </w:r>
      <w:r w:rsidR="000D345E">
        <w:rPr>
          <w:color w:val="000000" w:themeColor="text1"/>
          <w:kern w:val="0"/>
          <w:szCs w:val="21"/>
        </w:rPr>
        <w:t xml:space="preserve"> </w:t>
      </w:r>
      <w:r w:rsidR="000D345E" w:rsidRPr="000D345E">
        <w:rPr>
          <w:color w:val="000000" w:themeColor="text1"/>
          <w:kern w:val="0"/>
          <w:szCs w:val="21"/>
        </w:rPr>
        <w:t>conjugated</w:t>
      </w:r>
      <w:r w:rsidR="000D345E">
        <w:rPr>
          <w:rFonts w:hint="eastAsia"/>
          <w:color w:val="000000" w:themeColor="text1"/>
          <w:kern w:val="0"/>
          <w:szCs w:val="21"/>
        </w:rPr>
        <w:t xml:space="preserve"> </w:t>
      </w:r>
      <w:r w:rsidR="000D345E" w:rsidRPr="000D345E">
        <w:rPr>
          <w:color w:val="000000" w:themeColor="text1"/>
          <w:kern w:val="0"/>
          <w:szCs w:val="21"/>
        </w:rPr>
        <w:t xml:space="preserve">and </w:t>
      </w:r>
      <w:proofErr w:type="spellStart"/>
      <w:r w:rsidR="000D345E" w:rsidRPr="000D345E">
        <w:rPr>
          <w:color w:val="000000" w:themeColor="text1"/>
          <w:kern w:val="0"/>
          <w:szCs w:val="21"/>
        </w:rPr>
        <w:t>T</w:t>
      </w:r>
      <w:r w:rsidR="007A0ECA">
        <w:rPr>
          <w:color w:val="000000" w:themeColor="text1"/>
          <w:kern w:val="0"/>
          <w:szCs w:val="21"/>
        </w:rPr>
        <w:t>ex</w:t>
      </w:r>
      <w:proofErr w:type="spellEnd"/>
      <w:r w:rsidR="00CC7FE4">
        <w:rPr>
          <w:color w:val="000000" w:themeColor="text1"/>
          <w:kern w:val="0"/>
          <w:szCs w:val="21"/>
        </w:rPr>
        <w:t>-</w:t>
      </w:r>
      <w:r w:rsidR="00734746">
        <w:rPr>
          <w:color w:val="000000" w:themeColor="text1"/>
          <w:kern w:val="0"/>
          <w:szCs w:val="21"/>
        </w:rPr>
        <w:t>R</w:t>
      </w:r>
      <w:r w:rsidR="007A0ECA">
        <w:rPr>
          <w:color w:val="000000" w:themeColor="text1"/>
          <w:kern w:val="0"/>
          <w:szCs w:val="21"/>
        </w:rPr>
        <w:t>ed</w:t>
      </w:r>
      <w:r w:rsidR="000D345E" w:rsidRPr="000D345E">
        <w:rPr>
          <w:color w:val="000000" w:themeColor="text1"/>
          <w:kern w:val="0"/>
          <w:szCs w:val="21"/>
        </w:rPr>
        <w:t>-conjugated secondary antibodies for 2 h</w:t>
      </w:r>
      <w:r w:rsidR="000D345E">
        <w:rPr>
          <w:color w:val="000000" w:themeColor="text1"/>
          <w:kern w:val="0"/>
          <w:szCs w:val="21"/>
        </w:rPr>
        <w:t>ours</w:t>
      </w:r>
      <w:r w:rsidR="000D345E" w:rsidRPr="000D345E">
        <w:rPr>
          <w:color w:val="000000" w:themeColor="text1"/>
          <w:kern w:val="0"/>
          <w:szCs w:val="21"/>
        </w:rPr>
        <w:t xml:space="preserve"> at</w:t>
      </w:r>
      <w:r w:rsidR="000D345E">
        <w:rPr>
          <w:rFonts w:hint="eastAsia"/>
          <w:color w:val="000000" w:themeColor="text1"/>
          <w:kern w:val="0"/>
          <w:szCs w:val="21"/>
        </w:rPr>
        <w:t xml:space="preserve"> </w:t>
      </w:r>
      <w:r w:rsidR="000D345E" w:rsidRPr="000D345E">
        <w:rPr>
          <w:color w:val="000000" w:themeColor="text1"/>
          <w:kern w:val="0"/>
          <w:szCs w:val="21"/>
        </w:rPr>
        <w:t>37 °C.</w:t>
      </w:r>
      <w:r w:rsidRPr="009474DE">
        <w:rPr>
          <w:color w:val="000000" w:themeColor="text1"/>
          <w:kern w:val="0"/>
          <w:szCs w:val="21"/>
        </w:rPr>
        <w:t xml:space="preserve"> Immunohistochemical staining </w:t>
      </w:r>
      <w:r w:rsidR="000D345E">
        <w:rPr>
          <w:color w:val="000000" w:themeColor="text1"/>
          <w:kern w:val="0"/>
          <w:szCs w:val="21"/>
        </w:rPr>
        <w:t>and</w:t>
      </w:r>
      <w:bookmarkStart w:id="1" w:name="_Hlk65997812"/>
      <w:r w:rsidR="000D345E">
        <w:rPr>
          <w:color w:val="000000" w:themeColor="text1"/>
          <w:kern w:val="0"/>
          <w:szCs w:val="21"/>
        </w:rPr>
        <w:t xml:space="preserve"> </w:t>
      </w:r>
      <w:bookmarkStart w:id="2" w:name="_Hlk65998331"/>
      <w:r w:rsidR="000D345E" w:rsidRPr="000D345E">
        <w:rPr>
          <w:color w:val="000000" w:themeColor="text1"/>
          <w:kern w:val="0"/>
          <w:szCs w:val="21"/>
        </w:rPr>
        <w:t>immunofluorescence</w:t>
      </w:r>
      <w:r w:rsidR="000D345E">
        <w:rPr>
          <w:color w:val="000000" w:themeColor="text1"/>
          <w:kern w:val="0"/>
          <w:szCs w:val="21"/>
        </w:rPr>
        <w:t xml:space="preserve"> staining</w:t>
      </w:r>
      <w:bookmarkEnd w:id="1"/>
      <w:bookmarkEnd w:id="2"/>
      <w:r w:rsidR="000D345E" w:rsidRPr="000D345E">
        <w:rPr>
          <w:color w:val="000000" w:themeColor="text1"/>
          <w:kern w:val="0"/>
          <w:szCs w:val="21"/>
        </w:rPr>
        <w:t xml:space="preserve"> </w:t>
      </w:r>
      <w:r w:rsidRPr="009474DE">
        <w:rPr>
          <w:color w:val="000000" w:themeColor="text1"/>
          <w:kern w:val="0"/>
          <w:szCs w:val="21"/>
        </w:rPr>
        <w:t>w</w:t>
      </w:r>
      <w:r w:rsidR="000D345E">
        <w:rPr>
          <w:color w:val="000000" w:themeColor="text1"/>
          <w:kern w:val="0"/>
          <w:szCs w:val="21"/>
        </w:rPr>
        <w:t>ere</w:t>
      </w:r>
      <w:r w:rsidRPr="009474DE">
        <w:rPr>
          <w:color w:val="000000" w:themeColor="text1"/>
          <w:kern w:val="0"/>
          <w:szCs w:val="21"/>
        </w:rPr>
        <w:t xml:space="preserve"> assessed by 3 independent investigators who were blinded to tumors characteristics, and discrepancies were resolved by consensus. </w:t>
      </w:r>
      <w:r w:rsidR="00E81AFC">
        <w:rPr>
          <w:color w:val="000000" w:themeColor="text1"/>
          <w:kern w:val="0"/>
          <w:szCs w:val="21"/>
        </w:rPr>
        <w:t>P</w:t>
      </w:r>
      <w:r w:rsidR="00E81AFC" w:rsidRPr="00E81AFC">
        <w:rPr>
          <w:color w:val="000000" w:themeColor="text1"/>
          <w:kern w:val="0"/>
          <w:szCs w:val="21"/>
        </w:rPr>
        <w:t xml:space="preserve">hotographs of five representative fields were captured under high-power magnification (400×/200×) by the Leica </w:t>
      </w:r>
      <w:proofErr w:type="spellStart"/>
      <w:r w:rsidR="00E81AFC" w:rsidRPr="00E81AFC">
        <w:rPr>
          <w:color w:val="000000" w:themeColor="text1"/>
          <w:kern w:val="0"/>
          <w:szCs w:val="21"/>
        </w:rPr>
        <w:t>QWin</w:t>
      </w:r>
      <w:proofErr w:type="spellEnd"/>
      <w:r w:rsidR="00E81AFC" w:rsidRPr="00E81AFC">
        <w:rPr>
          <w:color w:val="000000" w:themeColor="text1"/>
          <w:kern w:val="0"/>
          <w:szCs w:val="21"/>
        </w:rPr>
        <w:t xml:space="preserve"> Plus v3 software; identical settings were used for each photograph.</w:t>
      </w:r>
      <w:bookmarkStart w:id="3" w:name="_Hlk53258035"/>
      <w:r w:rsidR="00E81AFC">
        <w:rPr>
          <w:rFonts w:hint="eastAsia"/>
          <w:color w:val="000000" w:themeColor="text1"/>
          <w:kern w:val="0"/>
          <w:szCs w:val="21"/>
        </w:rPr>
        <w:t xml:space="preserve"> </w:t>
      </w:r>
      <w:r w:rsidR="00E81AFC" w:rsidRPr="009474DE">
        <w:rPr>
          <w:color w:val="000000" w:themeColor="text1"/>
          <w:kern w:val="0"/>
          <w:szCs w:val="21"/>
        </w:rPr>
        <w:t xml:space="preserve">Negative controls were obtained by omitting the primary antibody. </w:t>
      </w:r>
      <w:r w:rsidR="008B5A74">
        <w:rPr>
          <w:color w:val="000000" w:themeColor="text1"/>
          <w:kern w:val="0"/>
          <w:szCs w:val="21"/>
        </w:rPr>
        <w:t>For analyzing PD-L1 expression</w:t>
      </w:r>
      <w:r w:rsidR="002D382C" w:rsidRPr="002D382C">
        <w:rPr>
          <w:color w:val="000000" w:themeColor="text1"/>
          <w:kern w:val="0"/>
          <w:szCs w:val="21"/>
        </w:rPr>
        <w:t xml:space="preserve">, </w:t>
      </w:r>
      <w:bookmarkEnd w:id="3"/>
      <w:r w:rsidR="00E81AFC">
        <w:rPr>
          <w:color w:val="000000" w:themeColor="text1"/>
          <w:kern w:val="0"/>
          <w:szCs w:val="21"/>
        </w:rPr>
        <w:t>t</w:t>
      </w:r>
      <w:r w:rsidR="0001360E" w:rsidRPr="004F0D3C">
        <w:rPr>
          <w:color w:val="000000" w:themeColor="text1"/>
          <w:kern w:val="0"/>
          <w:szCs w:val="21"/>
        </w:rPr>
        <w:t xml:space="preserve">he </w:t>
      </w:r>
      <w:r w:rsidRPr="009474DE">
        <w:rPr>
          <w:color w:val="000000" w:themeColor="text1"/>
          <w:kern w:val="0"/>
          <w:szCs w:val="21"/>
        </w:rPr>
        <w:t>staining intensity was scored as 0=no staining, 1=weak staining, 2=moderate staining, and 3=strong staining</w:t>
      </w:r>
      <w:r w:rsidR="00E81AFC">
        <w:rPr>
          <w:color w:val="000000" w:themeColor="text1"/>
          <w:kern w:val="0"/>
          <w:szCs w:val="21"/>
        </w:rPr>
        <w:t>; t</w:t>
      </w:r>
      <w:r w:rsidRPr="009474DE">
        <w:rPr>
          <w:color w:val="000000" w:themeColor="text1"/>
          <w:kern w:val="0"/>
          <w:szCs w:val="21"/>
        </w:rPr>
        <w:t>he percentage of positively stained cells were scored as 0=no staining, 1=0-25% staining, 2=25%-50% staining, 3=50%-75% staining and 4= 75%-100% staining</w:t>
      </w:r>
      <w:r w:rsidR="00E81AFC">
        <w:rPr>
          <w:color w:val="000000" w:themeColor="text1"/>
          <w:kern w:val="0"/>
          <w:szCs w:val="21"/>
        </w:rPr>
        <w:t>; t</w:t>
      </w:r>
      <w:r w:rsidRPr="009474DE">
        <w:rPr>
          <w:color w:val="000000" w:themeColor="text1"/>
          <w:kern w:val="0"/>
          <w:szCs w:val="21"/>
        </w:rPr>
        <w:t>he final IHC score was calculated by multiplying the intensity score with the percentage score. Quantification of CD3</w:t>
      </w:r>
      <w:r w:rsidR="00CE6CEE">
        <w:rPr>
          <w:color w:val="000000" w:themeColor="text1"/>
          <w:kern w:val="0"/>
          <w:szCs w:val="21"/>
        </w:rPr>
        <w:t>1 and MECA-79</w:t>
      </w:r>
      <w:r w:rsidRPr="009474DE">
        <w:rPr>
          <w:color w:val="000000" w:themeColor="text1"/>
          <w:kern w:val="0"/>
          <w:szCs w:val="21"/>
        </w:rPr>
        <w:t xml:space="preserve"> staining in tumor tissues of xenografts was calculated as the number of CD34-positive vessels/</w:t>
      </w:r>
      <w:r w:rsidR="0001360E">
        <w:rPr>
          <w:color w:val="000000" w:themeColor="text1"/>
          <w:kern w:val="0"/>
          <w:szCs w:val="21"/>
        </w:rPr>
        <w:t>field</w:t>
      </w:r>
      <w:r w:rsidRPr="009474DE">
        <w:rPr>
          <w:color w:val="000000" w:themeColor="text1"/>
          <w:kern w:val="0"/>
          <w:szCs w:val="21"/>
        </w:rPr>
        <w:t xml:space="preserve"> or </w:t>
      </w:r>
      <w:r w:rsidR="00CE6CEE">
        <w:rPr>
          <w:color w:val="000000" w:themeColor="text1"/>
          <w:kern w:val="0"/>
          <w:szCs w:val="21"/>
        </w:rPr>
        <w:t>MECA-79</w:t>
      </w:r>
      <w:r w:rsidR="00CE6CEE" w:rsidRPr="009474DE">
        <w:rPr>
          <w:color w:val="000000" w:themeColor="text1"/>
          <w:kern w:val="0"/>
          <w:szCs w:val="21"/>
        </w:rPr>
        <w:t xml:space="preserve">-positive vessels </w:t>
      </w:r>
      <w:r w:rsidRPr="009474DE">
        <w:rPr>
          <w:color w:val="000000" w:themeColor="text1"/>
          <w:kern w:val="0"/>
          <w:szCs w:val="21"/>
        </w:rPr>
        <w:t>/field.</w:t>
      </w:r>
      <w:r w:rsidR="0001360E" w:rsidRPr="0001360E">
        <w:rPr>
          <w:color w:val="000000" w:themeColor="text1"/>
          <w:kern w:val="0"/>
          <w:szCs w:val="21"/>
        </w:rPr>
        <w:t xml:space="preserve"> </w:t>
      </w:r>
      <w:r w:rsidR="0001360E" w:rsidRPr="009474DE">
        <w:rPr>
          <w:color w:val="000000" w:themeColor="text1"/>
          <w:kern w:val="0"/>
          <w:szCs w:val="21"/>
        </w:rPr>
        <w:t xml:space="preserve">For </w:t>
      </w:r>
      <w:r w:rsidR="00412277">
        <w:rPr>
          <w:color w:val="000000" w:themeColor="text1"/>
          <w:kern w:val="0"/>
          <w:szCs w:val="21"/>
        </w:rPr>
        <w:t>q</w:t>
      </w:r>
      <w:r w:rsidR="00412277" w:rsidRPr="0001360E">
        <w:rPr>
          <w:color w:val="000000" w:themeColor="text1"/>
          <w:kern w:val="0"/>
          <w:szCs w:val="21"/>
        </w:rPr>
        <w:t xml:space="preserve">uantification of </w:t>
      </w:r>
      <w:r w:rsidR="0001360E" w:rsidRPr="009474DE">
        <w:rPr>
          <w:color w:val="000000" w:themeColor="text1"/>
          <w:kern w:val="0"/>
          <w:szCs w:val="21"/>
        </w:rPr>
        <w:t>Ki-67 and HIF-1α</w:t>
      </w:r>
      <w:r w:rsidR="00412277">
        <w:rPr>
          <w:color w:val="000000" w:themeColor="text1"/>
          <w:kern w:val="0"/>
          <w:szCs w:val="21"/>
        </w:rPr>
        <w:t xml:space="preserve"> staining</w:t>
      </w:r>
      <w:r w:rsidR="0001360E" w:rsidRPr="009474DE">
        <w:rPr>
          <w:color w:val="000000" w:themeColor="text1"/>
          <w:kern w:val="0"/>
          <w:szCs w:val="21"/>
        </w:rPr>
        <w:t>, only nuclear immunoreactivity was considered positive</w:t>
      </w:r>
      <w:r w:rsidR="00E81AFC">
        <w:rPr>
          <w:color w:val="000000" w:themeColor="text1"/>
          <w:kern w:val="0"/>
          <w:szCs w:val="21"/>
        </w:rPr>
        <w:t>; t</w:t>
      </w:r>
      <w:r w:rsidRPr="009474DE">
        <w:rPr>
          <w:color w:val="000000" w:themeColor="text1"/>
          <w:kern w:val="0"/>
          <w:szCs w:val="21"/>
        </w:rPr>
        <w:t>he</w:t>
      </w:r>
      <w:r w:rsidR="004F3AA8">
        <w:rPr>
          <w:color w:val="000000" w:themeColor="text1"/>
          <w:kern w:val="0"/>
          <w:szCs w:val="21"/>
        </w:rPr>
        <w:t xml:space="preserve"> Ki-67</w:t>
      </w:r>
      <w:r w:rsidRPr="009474DE">
        <w:rPr>
          <w:color w:val="000000" w:themeColor="text1"/>
          <w:kern w:val="0"/>
          <w:szCs w:val="21"/>
        </w:rPr>
        <w:t xml:space="preserve"> and HIF-1α score were corresponded to the number of labeled Ki-67 or HIF-1α </w:t>
      </w:r>
      <w:r w:rsidR="004F3AA8">
        <w:rPr>
          <w:color w:val="000000" w:themeColor="text1"/>
          <w:kern w:val="0"/>
          <w:szCs w:val="21"/>
        </w:rPr>
        <w:t xml:space="preserve">cells </w:t>
      </w:r>
      <w:r w:rsidRPr="009474DE">
        <w:rPr>
          <w:color w:val="000000" w:themeColor="text1"/>
          <w:kern w:val="0"/>
          <w:szCs w:val="21"/>
        </w:rPr>
        <w:t>among at least 500 cells per region and were expressed as percentages.</w:t>
      </w:r>
      <w:bookmarkStart w:id="4" w:name="_Hlk37424525"/>
      <w:r w:rsidR="00E81AFC">
        <w:rPr>
          <w:rFonts w:hint="eastAsia"/>
          <w:color w:val="000000" w:themeColor="text1"/>
          <w:kern w:val="0"/>
          <w:szCs w:val="21"/>
        </w:rPr>
        <w:t xml:space="preserve"> </w:t>
      </w:r>
      <w:r w:rsidR="00412277" w:rsidRPr="00412277">
        <w:rPr>
          <w:color w:val="000000" w:themeColor="text1"/>
          <w:kern w:val="0"/>
          <w:szCs w:val="21"/>
        </w:rPr>
        <w:t xml:space="preserve">Quantification of </w:t>
      </w:r>
      <w:r w:rsidR="00412277">
        <w:rPr>
          <w:color w:val="000000" w:themeColor="text1"/>
          <w:kern w:val="0"/>
          <w:szCs w:val="21"/>
        </w:rPr>
        <w:t>CD8</w:t>
      </w:r>
      <w:r w:rsidR="00412277" w:rsidRPr="00412277">
        <w:rPr>
          <w:color w:val="000000" w:themeColor="text1"/>
          <w:kern w:val="0"/>
          <w:szCs w:val="21"/>
          <w:vertAlign w:val="superscript"/>
        </w:rPr>
        <w:t>+</w:t>
      </w:r>
      <w:r w:rsidR="00412277">
        <w:rPr>
          <w:color w:val="000000" w:themeColor="text1"/>
          <w:kern w:val="0"/>
          <w:szCs w:val="21"/>
        </w:rPr>
        <w:t>T cells, CD4</w:t>
      </w:r>
      <w:r w:rsidR="00412277" w:rsidRPr="00412277">
        <w:rPr>
          <w:color w:val="000000" w:themeColor="text1"/>
          <w:kern w:val="0"/>
          <w:szCs w:val="21"/>
          <w:vertAlign w:val="superscript"/>
        </w:rPr>
        <w:t>+</w:t>
      </w:r>
      <w:r w:rsidR="00412277">
        <w:rPr>
          <w:color w:val="000000" w:themeColor="text1"/>
          <w:kern w:val="0"/>
          <w:szCs w:val="21"/>
        </w:rPr>
        <w:t xml:space="preserve"> T cells, CD11c</w:t>
      </w:r>
      <w:r w:rsidR="00412277" w:rsidRPr="00412277">
        <w:rPr>
          <w:color w:val="000000" w:themeColor="text1"/>
          <w:kern w:val="0"/>
          <w:szCs w:val="21"/>
          <w:vertAlign w:val="superscript"/>
        </w:rPr>
        <w:t>+</w:t>
      </w:r>
      <w:r w:rsidR="00412277" w:rsidRPr="009474DE">
        <w:rPr>
          <w:color w:val="000000" w:themeColor="text1"/>
          <w:kern w:val="0"/>
          <w:szCs w:val="21"/>
        </w:rPr>
        <w:t xml:space="preserve"> </w:t>
      </w:r>
      <w:r w:rsidR="00412277">
        <w:rPr>
          <w:color w:val="000000" w:themeColor="text1"/>
          <w:kern w:val="0"/>
          <w:szCs w:val="21"/>
        </w:rPr>
        <w:t xml:space="preserve">DC cells, </w:t>
      </w:r>
      <w:r w:rsidR="002B232B">
        <w:rPr>
          <w:color w:val="000000" w:themeColor="text1"/>
          <w:kern w:val="0"/>
          <w:szCs w:val="21"/>
        </w:rPr>
        <w:t>DC-LAMP(L</w:t>
      </w:r>
      <w:r w:rsidR="002B232B">
        <w:rPr>
          <w:rFonts w:hint="eastAsia"/>
          <w:color w:val="000000" w:themeColor="text1"/>
          <w:kern w:val="0"/>
          <w:szCs w:val="21"/>
        </w:rPr>
        <w:t>AMP3)</w:t>
      </w:r>
      <w:r w:rsidR="00412277">
        <w:rPr>
          <w:color w:val="000000" w:themeColor="text1"/>
          <w:kern w:val="0"/>
          <w:szCs w:val="21"/>
        </w:rPr>
        <w:t xml:space="preserve"> </w:t>
      </w:r>
      <w:r w:rsidR="00412277" w:rsidRPr="009474DE">
        <w:rPr>
          <w:color w:val="000000" w:themeColor="text1"/>
          <w:kern w:val="0"/>
          <w:szCs w:val="21"/>
        </w:rPr>
        <w:t xml:space="preserve">and </w:t>
      </w:r>
      <w:r w:rsidR="00412277">
        <w:rPr>
          <w:color w:val="000000" w:themeColor="text1"/>
          <w:kern w:val="0"/>
          <w:szCs w:val="21"/>
        </w:rPr>
        <w:t>CD20</w:t>
      </w:r>
      <w:r w:rsidR="00412277" w:rsidRPr="00412277">
        <w:rPr>
          <w:color w:val="000000" w:themeColor="text1"/>
          <w:kern w:val="0"/>
          <w:szCs w:val="21"/>
          <w:vertAlign w:val="superscript"/>
        </w:rPr>
        <w:t>+</w:t>
      </w:r>
      <w:r w:rsidR="00412277">
        <w:rPr>
          <w:color w:val="000000" w:themeColor="text1"/>
          <w:kern w:val="0"/>
          <w:szCs w:val="21"/>
        </w:rPr>
        <w:t>B</w:t>
      </w:r>
      <w:r w:rsidR="00412277" w:rsidRPr="00412277">
        <w:rPr>
          <w:color w:val="000000" w:themeColor="text1"/>
          <w:kern w:val="0"/>
          <w:szCs w:val="21"/>
        </w:rPr>
        <w:t xml:space="preserve"> in tumor tissues of xenografts was calculated as the number of </w:t>
      </w:r>
      <w:r w:rsidR="00412277">
        <w:rPr>
          <w:color w:val="000000" w:themeColor="text1"/>
          <w:kern w:val="0"/>
          <w:szCs w:val="21"/>
        </w:rPr>
        <w:t>CD8</w:t>
      </w:r>
      <w:r w:rsidR="00412277" w:rsidRPr="00412277">
        <w:rPr>
          <w:color w:val="000000" w:themeColor="text1"/>
          <w:kern w:val="0"/>
          <w:szCs w:val="21"/>
          <w:vertAlign w:val="superscript"/>
        </w:rPr>
        <w:t>+</w:t>
      </w:r>
      <w:r w:rsidR="00412277">
        <w:rPr>
          <w:color w:val="000000" w:themeColor="text1"/>
          <w:kern w:val="0"/>
          <w:szCs w:val="21"/>
        </w:rPr>
        <w:t>T cells, CD4</w:t>
      </w:r>
      <w:r w:rsidR="00412277" w:rsidRPr="00412277">
        <w:rPr>
          <w:color w:val="000000" w:themeColor="text1"/>
          <w:kern w:val="0"/>
          <w:szCs w:val="21"/>
          <w:vertAlign w:val="superscript"/>
        </w:rPr>
        <w:t>+</w:t>
      </w:r>
      <w:r w:rsidR="00412277">
        <w:rPr>
          <w:color w:val="000000" w:themeColor="text1"/>
          <w:kern w:val="0"/>
          <w:szCs w:val="21"/>
        </w:rPr>
        <w:t xml:space="preserve"> T cells, CD11c</w:t>
      </w:r>
      <w:r w:rsidR="00412277" w:rsidRPr="00412277">
        <w:rPr>
          <w:color w:val="000000" w:themeColor="text1"/>
          <w:kern w:val="0"/>
          <w:szCs w:val="21"/>
          <w:vertAlign w:val="superscript"/>
        </w:rPr>
        <w:t>+</w:t>
      </w:r>
      <w:r w:rsidR="00412277" w:rsidRPr="009474DE">
        <w:rPr>
          <w:color w:val="000000" w:themeColor="text1"/>
          <w:kern w:val="0"/>
          <w:szCs w:val="21"/>
        </w:rPr>
        <w:t xml:space="preserve"> </w:t>
      </w:r>
      <w:r w:rsidR="00412277">
        <w:rPr>
          <w:color w:val="000000" w:themeColor="text1"/>
          <w:kern w:val="0"/>
          <w:szCs w:val="21"/>
        </w:rPr>
        <w:t>DC cells,</w:t>
      </w:r>
      <w:r w:rsidR="002B232B" w:rsidRPr="002B232B">
        <w:rPr>
          <w:color w:val="000000" w:themeColor="text1"/>
          <w:kern w:val="0"/>
          <w:szCs w:val="21"/>
        </w:rPr>
        <w:t xml:space="preserve"> </w:t>
      </w:r>
      <w:r w:rsidR="002B232B">
        <w:rPr>
          <w:color w:val="000000" w:themeColor="text1"/>
          <w:kern w:val="0"/>
          <w:szCs w:val="21"/>
        </w:rPr>
        <w:t>DC-LAMP(L</w:t>
      </w:r>
      <w:r w:rsidR="002B232B">
        <w:rPr>
          <w:rFonts w:hint="eastAsia"/>
          <w:color w:val="000000" w:themeColor="text1"/>
          <w:kern w:val="0"/>
          <w:szCs w:val="21"/>
        </w:rPr>
        <w:t>AMP3)</w:t>
      </w:r>
      <w:r w:rsidR="00412277">
        <w:rPr>
          <w:color w:val="000000" w:themeColor="text1"/>
          <w:kern w:val="0"/>
          <w:szCs w:val="21"/>
        </w:rPr>
        <w:t xml:space="preserve"> </w:t>
      </w:r>
      <w:r w:rsidR="00412277" w:rsidRPr="009474DE">
        <w:rPr>
          <w:color w:val="000000" w:themeColor="text1"/>
          <w:kern w:val="0"/>
          <w:szCs w:val="21"/>
        </w:rPr>
        <w:t xml:space="preserve">and </w:t>
      </w:r>
      <w:r w:rsidR="00412277">
        <w:rPr>
          <w:color w:val="000000" w:themeColor="text1"/>
          <w:kern w:val="0"/>
          <w:szCs w:val="21"/>
        </w:rPr>
        <w:t>CD20</w:t>
      </w:r>
      <w:r w:rsidR="00412277" w:rsidRPr="00412277">
        <w:rPr>
          <w:color w:val="000000" w:themeColor="text1"/>
          <w:kern w:val="0"/>
          <w:szCs w:val="21"/>
          <w:vertAlign w:val="superscript"/>
        </w:rPr>
        <w:t>+</w:t>
      </w:r>
      <w:r w:rsidR="00412277">
        <w:rPr>
          <w:color w:val="000000" w:themeColor="text1"/>
          <w:kern w:val="0"/>
          <w:szCs w:val="21"/>
        </w:rPr>
        <w:t>B</w:t>
      </w:r>
      <w:r w:rsidR="00412277" w:rsidRPr="00412277">
        <w:rPr>
          <w:color w:val="000000" w:themeColor="text1"/>
          <w:kern w:val="0"/>
          <w:szCs w:val="21"/>
        </w:rPr>
        <w:t xml:space="preserve"> /field.</w:t>
      </w:r>
    </w:p>
    <w:bookmarkEnd w:id="4"/>
    <w:p w14:paraId="553C1756" w14:textId="77777777" w:rsidR="00175E3C" w:rsidRDefault="00175E3C" w:rsidP="00175E3C">
      <w:pPr>
        <w:autoSpaceDE w:val="0"/>
        <w:autoSpaceDN w:val="0"/>
        <w:adjustRightInd w:val="0"/>
        <w:spacing w:line="480" w:lineRule="auto"/>
        <w:rPr>
          <w:color w:val="000000" w:themeColor="text1"/>
          <w:kern w:val="0"/>
          <w:szCs w:val="21"/>
        </w:rPr>
      </w:pPr>
    </w:p>
    <w:p w14:paraId="7D581B60" w14:textId="77777777" w:rsidR="006420FA" w:rsidRDefault="006420FA" w:rsidP="006420FA">
      <w:pPr>
        <w:autoSpaceDE w:val="0"/>
        <w:autoSpaceDN w:val="0"/>
        <w:adjustRightInd w:val="0"/>
        <w:spacing w:line="480" w:lineRule="auto"/>
        <w:rPr>
          <w:b/>
          <w:color w:val="000000" w:themeColor="text1"/>
          <w:kern w:val="0"/>
          <w:szCs w:val="21"/>
        </w:rPr>
      </w:pPr>
      <w:r w:rsidRPr="006420FA">
        <w:rPr>
          <w:b/>
          <w:color w:val="000000" w:themeColor="text1"/>
          <w:kern w:val="0"/>
          <w:szCs w:val="21"/>
        </w:rPr>
        <w:t>Xenograft tumor models</w:t>
      </w:r>
    </w:p>
    <w:p w14:paraId="381F299C" w14:textId="4314C6B4" w:rsidR="00CE1C94" w:rsidRDefault="00A505AC" w:rsidP="00052B5B">
      <w:pPr>
        <w:autoSpaceDE w:val="0"/>
        <w:autoSpaceDN w:val="0"/>
        <w:adjustRightInd w:val="0"/>
        <w:spacing w:line="480" w:lineRule="auto"/>
        <w:ind w:firstLineChars="200" w:firstLine="420"/>
      </w:pPr>
      <w:r>
        <w:t>To investigate</w:t>
      </w:r>
      <w:r>
        <w:rPr>
          <w:color w:val="000000" w:themeColor="text1"/>
          <w:kern w:val="0"/>
          <w:szCs w:val="21"/>
        </w:rPr>
        <w:t xml:space="preserve"> </w:t>
      </w:r>
      <w:r w:rsidR="005B2664">
        <w:rPr>
          <w:color w:val="000000" w:themeColor="text1"/>
          <w:kern w:val="0"/>
          <w:szCs w:val="21"/>
        </w:rPr>
        <w:t xml:space="preserve">the efficacy of dual </w:t>
      </w:r>
      <w:proofErr w:type="spellStart"/>
      <w:r w:rsidR="005B2664">
        <w:rPr>
          <w:color w:val="000000" w:themeColor="text1"/>
          <w:kern w:val="0"/>
          <w:szCs w:val="21"/>
        </w:rPr>
        <w:t>apatinib</w:t>
      </w:r>
      <w:proofErr w:type="spellEnd"/>
      <w:r w:rsidR="005B2664">
        <w:rPr>
          <w:color w:val="000000" w:themeColor="text1"/>
          <w:kern w:val="0"/>
          <w:szCs w:val="21"/>
        </w:rPr>
        <w:t xml:space="preserve">/aPD-L1 treatment in </w:t>
      </w:r>
      <w:r w:rsidR="00977AEA">
        <w:rPr>
          <w:color w:val="000000" w:themeColor="text1"/>
          <w:kern w:val="0"/>
          <w:szCs w:val="21"/>
        </w:rPr>
        <w:t>mouse GC models, MFC cells</w:t>
      </w:r>
      <w:r w:rsidR="000B6549" w:rsidRPr="000B6549">
        <w:t xml:space="preserve"> </w:t>
      </w:r>
      <w:r w:rsidR="000B6549" w:rsidRPr="000B6549">
        <w:rPr>
          <w:color w:val="000000" w:themeColor="text1"/>
          <w:kern w:val="0"/>
          <w:szCs w:val="21"/>
        </w:rPr>
        <w:t>(5×10</w:t>
      </w:r>
      <w:r w:rsidR="000B6549" w:rsidRPr="000B6549">
        <w:rPr>
          <w:color w:val="000000" w:themeColor="text1"/>
          <w:kern w:val="0"/>
          <w:szCs w:val="21"/>
          <w:vertAlign w:val="superscript"/>
        </w:rPr>
        <w:t>6</w:t>
      </w:r>
      <w:r w:rsidR="000B6549" w:rsidRPr="000B6549">
        <w:rPr>
          <w:color w:val="000000" w:themeColor="text1"/>
          <w:kern w:val="0"/>
          <w:szCs w:val="21"/>
        </w:rPr>
        <w:t xml:space="preserve"> cells in 100 </w:t>
      </w:r>
      <w:proofErr w:type="spellStart"/>
      <w:r w:rsidR="000B6549" w:rsidRPr="000B6549">
        <w:rPr>
          <w:color w:val="000000" w:themeColor="text1"/>
          <w:kern w:val="0"/>
          <w:szCs w:val="21"/>
        </w:rPr>
        <w:t>μL</w:t>
      </w:r>
      <w:proofErr w:type="spellEnd"/>
      <w:r w:rsidR="000B6549" w:rsidRPr="000B6549">
        <w:rPr>
          <w:color w:val="000000" w:themeColor="text1"/>
          <w:kern w:val="0"/>
          <w:szCs w:val="21"/>
        </w:rPr>
        <w:t xml:space="preserve"> of PBS)</w:t>
      </w:r>
      <w:r w:rsidR="00977AEA">
        <w:rPr>
          <w:color w:val="000000" w:themeColor="text1"/>
          <w:kern w:val="0"/>
          <w:szCs w:val="21"/>
        </w:rPr>
        <w:t xml:space="preserve"> were </w:t>
      </w:r>
      <w:r w:rsidR="000B6549">
        <w:rPr>
          <w:color w:val="000000" w:themeColor="text1"/>
          <w:kern w:val="0"/>
          <w:szCs w:val="21"/>
        </w:rPr>
        <w:t xml:space="preserve">subcutaneously </w:t>
      </w:r>
      <w:r w:rsidR="00977AEA">
        <w:rPr>
          <w:color w:val="000000" w:themeColor="text1"/>
          <w:kern w:val="0"/>
          <w:szCs w:val="21"/>
        </w:rPr>
        <w:t xml:space="preserve">injected into the </w:t>
      </w:r>
      <w:r w:rsidR="005B2664">
        <w:rPr>
          <w:color w:val="000000" w:themeColor="text1"/>
          <w:kern w:val="0"/>
          <w:szCs w:val="21"/>
        </w:rPr>
        <w:t>right</w:t>
      </w:r>
      <w:r w:rsidR="00977AEA" w:rsidRPr="00977AEA">
        <w:rPr>
          <w:color w:val="000000" w:themeColor="text1"/>
          <w:kern w:val="0"/>
          <w:szCs w:val="21"/>
        </w:rPr>
        <w:t xml:space="preserve"> flank </w:t>
      </w:r>
      <w:r w:rsidR="00977AEA">
        <w:rPr>
          <w:color w:val="000000" w:themeColor="text1"/>
          <w:kern w:val="0"/>
          <w:szCs w:val="21"/>
        </w:rPr>
        <w:t>region of 615</w:t>
      </w:r>
      <w:r w:rsidR="00CA042C" w:rsidRPr="00F94707">
        <w:rPr>
          <w:color w:val="000000" w:themeColor="text1"/>
          <w:kern w:val="0"/>
          <w:szCs w:val="21"/>
        </w:rPr>
        <w:t xml:space="preserve"> mice</w:t>
      </w:r>
      <w:r w:rsidR="00557080">
        <w:rPr>
          <w:color w:val="000000" w:themeColor="text1"/>
          <w:kern w:val="0"/>
          <w:szCs w:val="21"/>
        </w:rPr>
        <w:t>.</w:t>
      </w:r>
      <w:r w:rsidR="00CA042C" w:rsidRPr="00F94707">
        <w:rPr>
          <w:color w:val="000000" w:themeColor="text1"/>
          <w:kern w:val="0"/>
          <w:szCs w:val="21"/>
        </w:rPr>
        <w:t xml:space="preserve"> </w:t>
      </w:r>
      <w:r w:rsidR="00557080" w:rsidRPr="00557080">
        <w:rPr>
          <w:color w:val="000000" w:themeColor="text1"/>
          <w:kern w:val="0"/>
          <w:szCs w:val="21"/>
        </w:rPr>
        <w:t xml:space="preserve">Once tumors were palpable, </w:t>
      </w:r>
      <w:r w:rsidR="00557080">
        <w:rPr>
          <w:color w:val="000000" w:themeColor="text1"/>
          <w:kern w:val="0"/>
          <w:szCs w:val="21"/>
        </w:rPr>
        <w:t>t</w:t>
      </w:r>
      <w:r w:rsidR="00CA042C" w:rsidRPr="00F94707">
        <w:rPr>
          <w:color w:val="000000" w:themeColor="text1"/>
          <w:kern w:val="0"/>
          <w:szCs w:val="21"/>
        </w:rPr>
        <w:t xml:space="preserve">he mice were then randomly assigned into </w:t>
      </w:r>
      <w:r w:rsidR="004A166E">
        <w:rPr>
          <w:color w:val="000000" w:themeColor="text1"/>
          <w:kern w:val="0"/>
          <w:szCs w:val="21"/>
        </w:rPr>
        <w:t>4</w:t>
      </w:r>
      <w:r w:rsidR="00CA042C" w:rsidRPr="00F94707">
        <w:rPr>
          <w:color w:val="000000" w:themeColor="text1"/>
          <w:kern w:val="0"/>
          <w:szCs w:val="21"/>
        </w:rPr>
        <w:t xml:space="preserve"> groups: </w:t>
      </w:r>
      <w:r w:rsidR="004A166E">
        <w:rPr>
          <w:color w:val="000000" w:themeColor="text1"/>
          <w:kern w:val="0"/>
          <w:szCs w:val="21"/>
        </w:rPr>
        <w:t xml:space="preserve">(1) </w:t>
      </w:r>
      <w:r w:rsidR="00CA042C" w:rsidRPr="00F94707">
        <w:rPr>
          <w:color w:val="000000" w:themeColor="text1"/>
          <w:kern w:val="0"/>
          <w:szCs w:val="21"/>
        </w:rPr>
        <w:t>solvent control (ddH</w:t>
      </w:r>
      <w:r w:rsidR="00CA042C" w:rsidRPr="00F94707">
        <w:rPr>
          <w:color w:val="000000" w:themeColor="text1"/>
          <w:kern w:val="0"/>
          <w:szCs w:val="21"/>
          <w:vertAlign w:val="subscript"/>
        </w:rPr>
        <w:t>2</w:t>
      </w:r>
      <w:r w:rsidR="00CA042C" w:rsidRPr="00F94707">
        <w:rPr>
          <w:color w:val="000000" w:themeColor="text1"/>
          <w:kern w:val="0"/>
          <w:szCs w:val="21"/>
        </w:rPr>
        <w:t>O, orally)</w:t>
      </w:r>
      <w:r w:rsidR="004A166E">
        <w:rPr>
          <w:color w:val="000000" w:themeColor="text1"/>
          <w:kern w:val="0"/>
          <w:szCs w:val="21"/>
        </w:rPr>
        <w:t>; (2) anti-PD-L1 antibody</w:t>
      </w:r>
      <w:r w:rsidR="005B2664">
        <w:rPr>
          <w:color w:val="000000" w:themeColor="text1"/>
          <w:kern w:val="0"/>
          <w:szCs w:val="21"/>
        </w:rPr>
        <w:t xml:space="preserve"> </w:t>
      </w:r>
      <w:r w:rsidR="004A166E">
        <w:rPr>
          <w:color w:val="000000" w:themeColor="text1"/>
          <w:kern w:val="0"/>
          <w:szCs w:val="21"/>
        </w:rPr>
        <w:t>(aPD-L1,</w:t>
      </w:r>
      <w:r w:rsidR="004A166E" w:rsidRPr="004A166E">
        <w:t xml:space="preserve"> </w:t>
      </w:r>
      <w:r w:rsidR="005B5962">
        <w:rPr>
          <w:color w:val="000000" w:themeColor="text1"/>
          <w:kern w:val="0"/>
          <w:szCs w:val="21"/>
        </w:rPr>
        <w:t>1</w:t>
      </w:r>
      <w:r w:rsidR="004A166E" w:rsidRPr="004A166E">
        <w:rPr>
          <w:color w:val="000000" w:themeColor="text1"/>
          <w:kern w:val="0"/>
          <w:szCs w:val="21"/>
        </w:rPr>
        <w:t>0</w:t>
      </w:r>
      <w:r w:rsidR="007A7FAA">
        <w:rPr>
          <w:color w:val="000000" w:themeColor="text1"/>
          <w:kern w:val="0"/>
          <w:szCs w:val="21"/>
        </w:rPr>
        <w:t>mg</w:t>
      </w:r>
      <w:r w:rsidR="007A7FAA">
        <w:rPr>
          <w:rFonts w:hint="eastAsia"/>
          <w:color w:val="000000" w:themeColor="text1"/>
          <w:kern w:val="0"/>
          <w:szCs w:val="21"/>
        </w:rPr>
        <w:t>/kg</w:t>
      </w:r>
      <w:r w:rsidR="007A7FAA">
        <w:rPr>
          <w:color w:val="000000" w:themeColor="text1"/>
          <w:kern w:val="0"/>
          <w:szCs w:val="21"/>
        </w:rPr>
        <w:t>/</w:t>
      </w:r>
      <w:proofErr w:type="spellStart"/>
      <w:r w:rsidR="005B2664">
        <w:rPr>
          <w:color w:val="000000" w:themeColor="text1"/>
          <w:kern w:val="0"/>
          <w:szCs w:val="21"/>
        </w:rPr>
        <w:t>tiw</w:t>
      </w:r>
      <w:proofErr w:type="spellEnd"/>
      <w:r w:rsidR="005B2664">
        <w:rPr>
          <w:color w:val="000000" w:themeColor="text1"/>
          <w:kern w:val="0"/>
          <w:szCs w:val="21"/>
        </w:rPr>
        <w:t xml:space="preserve">, </w:t>
      </w:r>
      <w:proofErr w:type="spellStart"/>
      <w:r w:rsidR="005B2664">
        <w:rPr>
          <w:color w:val="000000" w:themeColor="text1"/>
          <w:kern w:val="0"/>
          <w:szCs w:val="21"/>
        </w:rPr>
        <w:t>i.p.</w:t>
      </w:r>
      <w:proofErr w:type="spellEnd"/>
      <w:r w:rsidR="005B2664">
        <w:rPr>
          <w:color w:val="000000" w:themeColor="text1"/>
          <w:kern w:val="0"/>
          <w:szCs w:val="21"/>
        </w:rPr>
        <w:t xml:space="preserve">); (3) </w:t>
      </w:r>
      <w:proofErr w:type="spellStart"/>
      <w:r w:rsidR="005B2664">
        <w:rPr>
          <w:color w:val="000000" w:themeColor="text1"/>
          <w:kern w:val="0"/>
          <w:szCs w:val="21"/>
        </w:rPr>
        <w:t>Apatinib</w:t>
      </w:r>
      <w:proofErr w:type="spellEnd"/>
      <w:r w:rsidR="00CA042C" w:rsidRPr="00F94707">
        <w:rPr>
          <w:color w:val="000000" w:themeColor="text1"/>
          <w:kern w:val="0"/>
          <w:szCs w:val="21"/>
        </w:rPr>
        <w:t xml:space="preserve"> (</w:t>
      </w:r>
      <w:r w:rsidR="005B2664">
        <w:rPr>
          <w:color w:val="000000" w:themeColor="text1"/>
          <w:kern w:val="0"/>
          <w:szCs w:val="21"/>
        </w:rPr>
        <w:t>15</w:t>
      </w:r>
      <w:r w:rsidR="00CA042C" w:rsidRPr="00F94707">
        <w:rPr>
          <w:color w:val="000000" w:themeColor="text1"/>
          <w:kern w:val="0"/>
          <w:szCs w:val="21"/>
        </w:rPr>
        <w:t>0 mg/kg/d, orally)</w:t>
      </w:r>
      <w:r w:rsidR="005B2664">
        <w:rPr>
          <w:color w:val="000000" w:themeColor="text1"/>
          <w:kern w:val="0"/>
          <w:szCs w:val="21"/>
        </w:rPr>
        <w:t xml:space="preserve">; (4) combined </w:t>
      </w:r>
      <w:proofErr w:type="spellStart"/>
      <w:r w:rsidR="005B2664">
        <w:rPr>
          <w:color w:val="000000" w:themeColor="text1"/>
          <w:kern w:val="0"/>
          <w:szCs w:val="21"/>
        </w:rPr>
        <w:t>apatinib</w:t>
      </w:r>
      <w:proofErr w:type="spellEnd"/>
      <w:r w:rsidR="005B2664">
        <w:rPr>
          <w:rFonts w:hint="eastAsia"/>
          <w:color w:val="000000" w:themeColor="text1"/>
          <w:kern w:val="0"/>
          <w:szCs w:val="21"/>
        </w:rPr>
        <w:t>/a</w:t>
      </w:r>
      <w:r w:rsidR="005B2664">
        <w:rPr>
          <w:color w:val="000000" w:themeColor="text1"/>
          <w:kern w:val="0"/>
          <w:szCs w:val="21"/>
        </w:rPr>
        <w:t>PD-L1</w:t>
      </w:r>
      <w:r w:rsidR="005B2664" w:rsidRPr="00F94707">
        <w:rPr>
          <w:color w:val="000000" w:themeColor="text1"/>
          <w:kern w:val="0"/>
          <w:szCs w:val="21"/>
        </w:rPr>
        <w:t xml:space="preserve"> (</w:t>
      </w:r>
      <w:r>
        <w:rPr>
          <w:color w:val="000000" w:themeColor="text1"/>
          <w:kern w:val="0"/>
          <w:szCs w:val="21"/>
        </w:rPr>
        <w:t>apatinib,</w:t>
      </w:r>
      <w:r w:rsidR="005B2664">
        <w:rPr>
          <w:color w:val="000000" w:themeColor="text1"/>
          <w:kern w:val="0"/>
          <w:szCs w:val="21"/>
        </w:rPr>
        <w:t>15</w:t>
      </w:r>
      <w:r w:rsidR="005B2664" w:rsidRPr="00F94707">
        <w:rPr>
          <w:color w:val="000000" w:themeColor="text1"/>
          <w:kern w:val="0"/>
          <w:szCs w:val="21"/>
        </w:rPr>
        <w:t>0 mg/kg/d, orally</w:t>
      </w:r>
      <w:r w:rsidR="000545D3">
        <w:rPr>
          <w:color w:val="000000" w:themeColor="text1"/>
          <w:kern w:val="0"/>
          <w:szCs w:val="21"/>
        </w:rPr>
        <w:t xml:space="preserve"> </w:t>
      </w:r>
      <w:r w:rsidR="005B2664">
        <w:rPr>
          <w:rFonts w:hint="eastAsia"/>
          <w:color w:val="000000" w:themeColor="text1"/>
          <w:kern w:val="0"/>
          <w:szCs w:val="21"/>
        </w:rPr>
        <w:t>+</w:t>
      </w:r>
      <w:r w:rsidR="000545D3">
        <w:rPr>
          <w:color w:val="000000" w:themeColor="text1"/>
          <w:kern w:val="0"/>
          <w:szCs w:val="21"/>
        </w:rPr>
        <w:t xml:space="preserve"> </w:t>
      </w:r>
      <w:r w:rsidR="005B2664">
        <w:rPr>
          <w:color w:val="000000" w:themeColor="text1"/>
          <w:kern w:val="0"/>
          <w:szCs w:val="21"/>
        </w:rPr>
        <w:t>aPD-L1,</w:t>
      </w:r>
      <w:r w:rsidR="005B2664" w:rsidRPr="004A166E">
        <w:t xml:space="preserve"> </w:t>
      </w:r>
      <w:r w:rsidR="00AB6C4B">
        <w:rPr>
          <w:color w:val="000000" w:themeColor="text1"/>
          <w:kern w:val="0"/>
          <w:szCs w:val="21"/>
        </w:rPr>
        <w:t>1</w:t>
      </w:r>
      <w:r w:rsidR="005B2664" w:rsidRPr="004A166E">
        <w:rPr>
          <w:color w:val="000000" w:themeColor="text1"/>
          <w:kern w:val="0"/>
          <w:szCs w:val="21"/>
        </w:rPr>
        <w:t>0</w:t>
      </w:r>
      <w:r w:rsidR="005B2664">
        <w:rPr>
          <w:color w:val="000000" w:themeColor="text1"/>
          <w:kern w:val="0"/>
          <w:szCs w:val="21"/>
        </w:rPr>
        <w:t>mg</w:t>
      </w:r>
      <w:r w:rsidR="005B2664">
        <w:rPr>
          <w:rFonts w:hint="eastAsia"/>
          <w:color w:val="000000" w:themeColor="text1"/>
          <w:kern w:val="0"/>
          <w:szCs w:val="21"/>
        </w:rPr>
        <w:t>/kg</w:t>
      </w:r>
      <w:r w:rsidR="005B2664">
        <w:rPr>
          <w:color w:val="000000" w:themeColor="text1"/>
          <w:kern w:val="0"/>
          <w:szCs w:val="21"/>
        </w:rPr>
        <w:t>/</w:t>
      </w:r>
      <w:proofErr w:type="spellStart"/>
      <w:r w:rsidR="005B2664">
        <w:rPr>
          <w:color w:val="000000" w:themeColor="text1"/>
          <w:kern w:val="0"/>
          <w:szCs w:val="21"/>
        </w:rPr>
        <w:t>tiw</w:t>
      </w:r>
      <w:proofErr w:type="spellEnd"/>
      <w:r w:rsidR="005B2664">
        <w:rPr>
          <w:color w:val="000000" w:themeColor="text1"/>
          <w:kern w:val="0"/>
          <w:szCs w:val="21"/>
        </w:rPr>
        <w:t xml:space="preserve">, </w:t>
      </w:r>
      <w:proofErr w:type="spellStart"/>
      <w:r w:rsidR="005B2664">
        <w:rPr>
          <w:color w:val="000000" w:themeColor="text1"/>
          <w:kern w:val="0"/>
          <w:szCs w:val="21"/>
        </w:rPr>
        <w:t>i.p.</w:t>
      </w:r>
      <w:proofErr w:type="spellEnd"/>
      <w:r w:rsidR="005B2664" w:rsidRPr="00F94707">
        <w:rPr>
          <w:color w:val="000000" w:themeColor="text1"/>
          <w:kern w:val="0"/>
          <w:szCs w:val="21"/>
        </w:rPr>
        <w:t>)</w:t>
      </w:r>
      <w:r w:rsidR="005B2664">
        <w:rPr>
          <w:rFonts w:hint="eastAsia"/>
          <w:color w:val="000000" w:themeColor="text1"/>
          <w:kern w:val="0"/>
          <w:szCs w:val="21"/>
        </w:rPr>
        <w:t>.</w:t>
      </w:r>
      <w:r w:rsidR="005247E4">
        <w:rPr>
          <w:color w:val="000000" w:themeColor="text1"/>
          <w:kern w:val="0"/>
          <w:szCs w:val="21"/>
        </w:rPr>
        <w:t xml:space="preserve"> </w:t>
      </w:r>
      <w:r w:rsidR="00CA042C" w:rsidRPr="00F94707">
        <w:rPr>
          <w:color w:val="000000" w:themeColor="text1"/>
          <w:kern w:val="0"/>
          <w:szCs w:val="21"/>
        </w:rPr>
        <w:t>Th</w:t>
      </w:r>
      <w:r w:rsidR="005247E4">
        <w:rPr>
          <w:rFonts w:hint="eastAsia"/>
          <w:color w:val="000000" w:themeColor="text1"/>
          <w:kern w:val="0"/>
          <w:szCs w:val="21"/>
        </w:rPr>
        <w:t>e</w:t>
      </w:r>
      <w:r w:rsidR="00CA042C" w:rsidRPr="00F94707">
        <w:rPr>
          <w:color w:val="000000" w:themeColor="text1"/>
          <w:kern w:val="0"/>
          <w:szCs w:val="21"/>
        </w:rPr>
        <w:t xml:space="preserve"> survival was recorded daily until a time-defined endpoint.</w:t>
      </w:r>
      <w:r w:rsidR="009B117A" w:rsidRPr="009B117A">
        <w:t xml:space="preserve"> </w:t>
      </w:r>
    </w:p>
    <w:p w14:paraId="1E8C29B4" w14:textId="5C197B5F" w:rsidR="00CE1C94" w:rsidRPr="00ED4662" w:rsidRDefault="00CE1C94" w:rsidP="00A90194">
      <w:pPr>
        <w:autoSpaceDE w:val="0"/>
        <w:autoSpaceDN w:val="0"/>
        <w:adjustRightInd w:val="0"/>
        <w:spacing w:line="480" w:lineRule="auto"/>
        <w:ind w:firstLineChars="200" w:firstLine="420"/>
        <w:rPr>
          <w:color w:val="FF0000"/>
        </w:rPr>
      </w:pPr>
      <w:r w:rsidRPr="00ED4662">
        <w:rPr>
          <w:color w:val="FF0000"/>
        </w:rPr>
        <w:t xml:space="preserve">To investigate whether the combination of </w:t>
      </w:r>
      <w:proofErr w:type="spellStart"/>
      <w:r w:rsidRPr="00ED4662">
        <w:rPr>
          <w:color w:val="FF0000"/>
        </w:rPr>
        <w:t>apatinib</w:t>
      </w:r>
      <w:proofErr w:type="spellEnd"/>
      <w:r w:rsidRPr="00ED4662">
        <w:rPr>
          <w:color w:val="FF0000"/>
        </w:rPr>
        <w:t xml:space="preserve"> and anti-PD-L1 </w:t>
      </w:r>
      <w:r w:rsidRPr="00ED4662">
        <w:rPr>
          <w:color w:val="FF0000"/>
          <w:kern w:val="0"/>
          <w:szCs w:val="21"/>
        </w:rPr>
        <w:t xml:space="preserve">antibody had a synergistic impact on survival, we calculated the expected additive curve as described by </w:t>
      </w:r>
      <w:r w:rsidRPr="00ED4662">
        <w:rPr>
          <w:color w:val="FF0000"/>
        </w:rPr>
        <w:t xml:space="preserve">Lydia </w:t>
      </w:r>
      <w:proofErr w:type="spellStart"/>
      <w:r w:rsidRPr="00ED4662">
        <w:rPr>
          <w:color w:val="FF0000"/>
        </w:rPr>
        <w:t>Meder</w:t>
      </w:r>
      <w:proofErr w:type="spellEnd"/>
      <w:r w:rsidRPr="00ED4662">
        <w:rPr>
          <w:color w:val="FF0000"/>
        </w:rPr>
        <w:t xml:space="preserve"> and colleagues in recent published paper</w:t>
      </w:r>
      <w:r w:rsidR="00942A8F" w:rsidRPr="00ED4662">
        <w:rPr>
          <w:color w:val="FF0000"/>
        </w:rPr>
        <w:t xml:space="preserve"> (</w:t>
      </w:r>
      <w:proofErr w:type="spellStart"/>
      <w:r w:rsidR="00942A8F" w:rsidRPr="00ED4662">
        <w:rPr>
          <w:color w:val="FF0000"/>
          <w:kern w:val="0"/>
          <w:szCs w:val="21"/>
        </w:rPr>
        <w:t>Meder</w:t>
      </w:r>
      <w:proofErr w:type="spellEnd"/>
      <w:r w:rsidR="00942A8F" w:rsidRPr="00ED4662">
        <w:rPr>
          <w:color w:val="FF0000"/>
          <w:kern w:val="0"/>
          <w:szCs w:val="21"/>
        </w:rPr>
        <w:t xml:space="preserve"> L et al. 2018)</w:t>
      </w:r>
      <w:r w:rsidRPr="00ED4662">
        <w:rPr>
          <w:color w:val="FF0000"/>
        </w:rPr>
        <w:t xml:space="preserve">. </w:t>
      </w:r>
      <w:r w:rsidR="00E163CA" w:rsidRPr="00ED4662">
        <w:rPr>
          <w:rFonts w:hint="eastAsia"/>
          <w:color w:val="FF0000"/>
        </w:rPr>
        <w:t>Let</w:t>
      </w:r>
      <w:r w:rsidR="00A90194" w:rsidRPr="00ED4662">
        <w:rPr>
          <w:i/>
          <w:iCs/>
          <w:color w:val="FF0000"/>
        </w:rPr>
        <w:t xml:space="preserve"> </w:t>
      </w:r>
      <w:bookmarkStart w:id="5" w:name="_Hlk37710330"/>
      <w:r w:rsidR="00A90194" w:rsidRPr="00ED4662">
        <w:rPr>
          <w:i/>
          <w:iCs/>
          <w:color w:val="FF0000"/>
        </w:rPr>
        <w:t>P</w:t>
      </w:r>
      <w:r w:rsidR="00A90194" w:rsidRPr="00ED4662">
        <w:rPr>
          <w:color w:val="FF0000"/>
          <w:vertAlign w:val="subscript"/>
        </w:rPr>
        <w:t>A</w:t>
      </w:r>
      <w:r w:rsidR="00A90194" w:rsidRPr="00ED4662">
        <w:rPr>
          <w:color w:val="FF0000"/>
        </w:rPr>
        <w:t xml:space="preserve"> (t)</w:t>
      </w:r>
      <w:bookmarkEnd w:id="5"/>
      <w:r w:rsidR="00E163CA" w:rsidRPr="00ED4662">
        <w:rPr>
          <w:rFonts w:hint="eastAsia"/>
          <w:color w:val="FF0000"/>
        </w:rPr>
        <w:t xml:space="preserve">, </w:t>
      </w:r>
      <w:r w:rsidR="00A90194" w:rsidRPr="00ED4662">
        <w:rPr>
          <w:i/>
          <w:iCs/>
          <w:color w:val="FF0000"/>
        </w:rPr>
        <w:t>P</w:t>
      </w:r>
      <w:r w:rsidR="00A90194" w:rsidRPr="00ED4662">
        <w:rPr>
          <w:rFonts w:ascii="Cambria Math" w:hAnsi="Cambria Math" w:cs="Cambria Math"/>
          <w:color w:val="FF0000"/>
          <w:vertAlign w:val="subscript"/>
        </w:rPr>
        <w:t>B</w:t>
      </w:r>
      <w:r w:rsidR="00A90194" w:rsidRPr="00ED4662">
        <w:rPr>
          <w:color w:val="FF0000"/>
        </w:rPr>
        <w:t xml:space="preserve"> (t)</w:t>
      </w:r>
      <w:r w:rsidR="00E163CA" w:rsidRPr="00ED4662">
        <w:rPr>
          <w:rFonts w:hint="eastAsia"/>
          <w:color w:val="FF0000"/>
        </w:rPr>
        <w:t xml:space="preserve">, </w:t>
      </w:r>
      <w:r w:rsidR="00A90194" w:rsidRPr="00ED4662">
        <w:rPr>
          <w:i/>
          <w:iCs/>
          <w:color w:val="FF0000"/>
        </w:rPr>
        <w:t>P</w:t>
      </w:r>
      <w:r w:rsidR="00A90194" w:rsidRPr="00ED4662">
        <w:rPr>
          <w:color w:val="FF0000"/>
          <w:vertAlign w:val="subscript"/>
        </w:rPr>
        <w:t>A,B</w:t>
      </w:r>
      <w:r w:rsidR="00A90194" w:rsidRPr="00ED4662">
        <w:rPr>
          <w:color w:val="FF0000"/>
        </w:rPr>
        <w:t xml:space="preserve"> (t)</w:t>
      </w:r>
      <w:r w:rsidR="00E163CA" w:rsidRPr="00ED4662">
        <w:rPr>
          <w:rFonts w:hint="eastAsia"/>
          <w:color w:val="FF0000"/>
        </w:rPr>
        <w:t xml:space="preserve"> and </w:t>
      </w:r>
      <w:proofErr w:type="spellStart"/>
      <w:r w:rsidR="00A90194" w:rsidRPr="00ED4662">
        <w:rPr>
          <w:i/>
          <w:iCs/>
          <w:color w:val="FF0000"/>
        </w:rPr>
        <w:t>P</w:t>
      </w:r>
      <w:r w:rsidR="00A90194" w:rsidRPr="00ED4662">
        <w:rPr>
          <w:color w:val="FF0000"/>
          <w:vertAlign w:val="subscript"/>
        </w:rPr>
        <w:t>Cntrl</w:t>
      </w:r>
      <w:proofErr w:type="spellEnd"/>
      <w:r w:rsidR="00A90194" w:rsidRPr="00ED4662">
        <w:rPr>
          <w:color w:val="FF0000"/>
        </w:rPr>
        <w:t>(t)</w:t>
      </w:r>
      <w:r w:rsidR="00E163CA" w:rsidRPr="00ED4662">
        <w:rPr>
          <w:rFonts w:hint="eastAsia"/>
          <w:color w:val="FF0000"/>
        </w:rPr>
        <w:t xml:space="preserve"> </w:t>
      </w:r>
      <w:r w:rsidR="00E163CA" w:rsidRPr="00ED4662">
        <w:rPr>
          <w:color w:val="FF0000"/>
        </w:rPr>
        <w:t>denote</w:t>
      </w:r>
      <w:r w:rsidR="00E163CA" w:rsidRPr="00ED4662">
        <w:rPr>
          <w:rFonts w:hint="eastAsia"/>
          <w:color w:val="FF0000"/>
        </w:rPr>
        <w:t xml:space="preserve"> the probability of survival for</w:t>
      </w:r>
      <w:r w:rsidR="00A90194" w:rsidRPr="00ED4662">
        <w:rPr>
          <w:color w:val="FF0000"/>
        </w:rPr>
        <w:t xml:space="preserve"> t</w:t>
      </w:r>
      <w:r w:rsidR="00E163CA" w:rsidRPr="00ED4662">
        <w:rPr>
          <w:rFonts w:hint="eastAsia"/>
          <w:color w:val="FF0000"/>
        </w:rPr>
        <w:t>∈</w:t>
      </w:r>
      <w:r w:rsidR="00E163CA" w:rsidRPr="00ED4662">
        <w:rPr>
          <w:rFonts w:hint="eastAsia"/>
          <w:color w:val="FF0000"/>
        </w:rPr>
        <w:t xml:space="preserve"> </w:t>
      </w:r>
      <w:r w:rsidR="00E163CA" w:rsidRPr="00ED4662">
        <w:rPr>
          <w:color w:val="FF0000"/>
        </w:rPr>
        <w:t xml:space="preserve">[0; ∞) </w:t>
      </w:r>
      <w:r w:rsidR="00E163CA" w:rsidRPr="00ED4662">
        <w:rPr>
          <w:rFonts w:hint="eastAsia"/>
          <w:color w:val="FF0000"/>
        </w:rPr>
        <w:t xml:space="preserve">under therapy with compound </w:t>
      </w:r>
      <w:r w:rsidR="00E163CA" w:rsidRPr="00ED4662">
        <w:rPr>
          <w:rFonts w:ascii="Cambria Math" w:hAnsi="Cambria Math" w:cs="Cambria Math"/>
          <w:color w:val="FF0000"/>
        </w:rPr>
        <w:t>𝐴</w:t>
      </w:r>
      <w:r w:rsidR="00E163CA" w:rsidRPr="00ED4662">
        <w:rPr>
          <w:rFonts w:hint="eastAsia"/>
          <w:color w:val="FF0000"/>
        </w:rPr>
        <w:t xml:space="preserve">, </w:t>
      </w:r>
      <w:r w:rsidR="00E163CA" w:rsidRPr="00ED4662">
        <w:rPr>
          <w:rFonts w:ascii="Cambria Math" w:hAnsi="Cambria Math" w:cs="Cambria Math"/>
          <w:color w:val="FF0000"/>
        </w:rPr>
        <w:t>𝐵</w:t>
      </w:r>
      <w:r w:rsidR="00E163CA" w:rsidRPr="00ED4662">
        <w:rPr>
          <w:rFonts w:hint="eastAsia"/>
          <w:color w:val="FF0000"/>
        </w:rPr>
        <w:t>, their combination or vehicle solution, respectively</w:t>
      </w:r>
      <w:r w:rsidR="00E163CA" w:rsidRPr="00ED4662">
        <w:rPr>
          <w:color w:val="FF0000"/>
        </w:rPr>
        <w:t>. The</w:t>
      </w:r>
      <w:r w:rsidRPr="00ED4662">
        <w:rPr>
          <w:color w:val="FF0000"/>
        </w:rPr>
        <w:t xml:space="preserve"> expected additive curve was calculated as </w:t>
      </w:r>
    </w:p>
    <w:p w14:paraId="0228A4AD" w14:textId="77777777" w:rsidR="00CE1C94" w:rsidRPr="00ED4662" w:rsidRDefault="00E163CA" w:rsidP="00052B5B">
      <w:pPr>
        <w:autoSpaceDE w:val="0"/>
        <w:autoSpaceDN w:val="0"/>
        <w:adjustRightInd w:val="0"/>
        <w:spacing w:line="480" w:lineRule="auto"/>
        <w:ind w:firstLineChars="200" w:firstLine="420"/>
        <w:rPr>
          <w:color w:val="FF0000"/>
        </w:rPr>
      </w:pPr>
      <w:r w:rsidRPr="00ED4662">
        <w:rPr>
          <w:rFonts w:ascii="Cambria Math" w:hAnsi="Cambria Math" w:cs="Cambria Math"/>
          <w:i/>
          <w:iCs/>
          <w:color w:val="FF0000"/>
        </w:rPr>
        <w:t>P</w:t>
      </w:r>
      <w:r w:rsidR="00CE1C94" w:rsidRPr="00ED4662">
        <w:rPr>
          <w:rFonts w:ascii="Cambria Math" w:hAnsi="Cambria Math" w:cs="Cambria Math"/>
          <w:color w:val="FF0000"/>
          <w:vertAlign w:val="subscript"/>
        </w:rPr>
        <w:t>𝐴</w:t>
      </w:r>
      <w:r w:rsidR="00CE1C94" w:rsidRPr="00ED4662">
        <w:rPr>
          <w:color w:val="FF0000"/>
          <w:vertAlign w:val="subscript"/>
        </w:rPr>
        <w:t>+</w:t>
      </w:r>
      <w:r w:rsidR="00CE1C94" w:rsidRPr="00ED4662">
        <w:rPr>
          <w:rFonts w:ascii="Cambria Math" w:hAnsi="Cambria Math" w:cs="Cambria Math"/>
          <w:color w:val="FF0000"/>
          <w:vertAlign w:val="subscript"/>
        </w:rPr>
        <w:t>𝐵</w:t>
      </w:r>
      <w:r w:rsidR="00CE1C94" w:rsidRPr="00ED4662">
        <w:rPr>
          <w:color w:val="FF0000"/>
        </w:rPr>
        <w:t xml:space="preserve"> (</w:t>
      </w:r>
      <w:r w:rsidR="00A90194" w:rsidRPr="00ED4662">
        <w:rPr>
          <w:color w:val="FF0000"/>
        </w:rPr>
        <w:t>t</w:t>
      </w:r>
      <w:proofErr w:type="gramStart"/>
      <w:r w:rsidR="00CE1C94" w:rsidRPr="00ED4662">
        <w:rPr>
          <w:color w:val="FF0000"/>
        </w:rPr>
        <w:t>)</w:t>
      </w:r>
      <w:r w:rsidR="00A90194" w:rsidRPr="00ED4662">
        <w:rPr>
          <w:color w:val="FF0000"/>
        </w:rPr>
        <w:t>:=</w:t>
      </w:r>
      <w:proofErr w:type="gramEnd"/>
      <w:r w:rsidR="00CE1C94" w:rsidRPr="00ED4662">
        <w:rPr>
          <w:color w:val="FF0000"/>
        </w:rPr>
        <w:t>min</w:t>
      </w:r>
      <w:r w:rsidRPr="00ED4662">
        <w:rPr>
          <w:color w:val="FF0000"/>
        </w:rPr>
        <w:t>(</w:t>
      </w:r>
      <w:r w:rsidR="00CE1C94" w:rsidRPr="00ED4662">
        <w:rPr>
          <w:color w:val="FF0000"/>
        </w:rPr>
        <w:t xml:space="preserve">1, </w:t>
      </w:r>
      <w:bookmarkStart w:id="6" w:name="_Hlk37710040"/>
      <w:proofErr w:type="spellStart"/>
      <w:r w:rsidRPr="00ED4662">
        <w:rPr>
          <w:i/>
          <w:iCs/>
          <w:color w:val="FF0000"/>
        </w:rPr>
        <w:t>P</w:t>
      </w:r>
      <w:r w:rsidR="00CE1C94" w:rsidRPr="00ED4662">
        <w:rPr>
          <w:color w:val="FF0000"/>
          <w:vertAlign w:val="subscript"/>
        </w:rPr>
        <w:t>Cntrl</w:t>
      </w:r>
      <w:proofErr w:type="spellEnd"/>
      <w:r w:rsidR="00CE1C94" w:rsidRPr="00ED4662">
        <w:rPr>
          <w:color w:val="FF0000"/>
        </w:rPr>
        <w:t>(</w:t>
      </w:r>
      <w:r w:rsidR="00A90194" w:rsidRPr="00ED4662">
        <w:rPr>
          <w:color w:val="FF0000"/>
        </w:rPr>
        <w:t>t</w:t>
      </w:r>
      <w:r w:rsidR="00CE1C94" w:rsidRPr="00ED4662">
        <w:rPr>
          <w:color w:val="FF0000"/>
        </w:rPr>
        <w:t>)</w:t>
      </w:r>
      <w:bookmarkEnd w:id="6"/>
      <w:r w:rsidR="00CE1C94" w:rsidRPr="00ED4662">
        <w:rPr>
          <w:color w:val="FF0000"/>
        </w:rPr>
        <w:t xml:space="preserve"> </w:t>
      </w:r>
      <w:r w:rsidRPr="00ED4662">
        <w:rPr>
          <w:color w:val="FF0000"/>
        </w:rPr>
        <w:t>+</w:t>
      </w:r>
      <w:r w:rsidR="00CE1C94" w:rsidRPr="00ED4662">
        <w:rPr>
          <w:color w:val="FF0000"/>
        </w:rPr>
        <w:t xml:space="preserve"> |</w:t>
      </w:r>
      <w:bookmarkStart w:id="7" w:name="_Hlk37710298"/>
      <w:r w:rsidRPr="00ED4662">
        <w:rPr>
          <w:i/>
          <w:iCs/>
          <w:color w:val="FF0000"/>
        </w:rPr>
        <w:t>P</w:t>
      </w:r>
      <w:r w:rsidRPr="00ED4662">
        <w:rPr>
          <w:color w:val="FF0000"/>
          <w:vertAlign w:val="subscript"/>
        </w:rPr>
        <w:t>A</w:t>
      </w:r>
      <w:r w:rsidRPr="00ED4662">
        <w:rPr>
          <w:color w:val="FF0000"/>
        </w:rPr>
        <w:t xml:space="preserve"> </w:t>
      </w:r>
      <w:r w:rsidR="00CE1C94" w:rsidRPr="00ED4662">
        <w:rPr>
          <w:color w:val="FF0000"/>
        </w:rPr>
        <w:t>(</w:t>
      </w:r>
      <w:r w:rsidR="00A90194" w:rsidRPr="00ED4662">
        <w:rPr>
          <w:color w:val="FF0000"/>
        </w:rPr>
        <w:t>t</w:t>
      </w:r>
      <w:r w:rsidR="00CE1C94" w:rsidRPr="00ED4662">
        <w:rPr>
          <w:color w:val="FF0000"/>
        </w:rPr>
        <w:t>)</w:t>
      </w:r>
      <w:bookmarkEnd w:id="7"/>
      <w:r w:rsidRPr="00ED4662">
        <w:rPr>
          <w:color w:val="FF0000"/>
        </w:rPr>
        <w:t xml:space="preserve"> -</w:t>
      </w:r>
      <w:r w:rsidR="00CE1C94" w:rsidRPr="00ED4662">
        <w:rPr>
          <w:color w:val="FF0000"/>
        </w:rPr>
        <w:t xml:space="preserve"> </w:t>
      </w:r>
      <w:proofErr w:type="spellStart"/>
      <w:r w:rsidRPr="00ED4662">
        <w:rPr>
          <w:i/>
          <w:iCs/>
          <w:color w:val="FF0000"/>
        </w:rPr>
        <w:t>P</w:t>
      </w:r>
      <w:r w:rsidRPr="00ED4662">
        <w:rPr>
          <w:color w:val="FF0000"/>
          <w:vertAlign w:val="subscript"/>
        </w:rPr>
        <w:t>Cntrl</w:t>
      </w:r>
      <w:proofErr w:type="spellEnd"/>
      <w:r w:rsidRPr="00ED4662">
        <w:rPr>
          <w:color w:val="FF0000"/>
        </w:rPr>
        <w:t>(</w:t>
      </w:r>
      <w:r w:rsidR="00A90194" w:rsidRPr="00ED4662">
        <w:rPr>
          <w:color w:val="FF0000"/>
        </w:rPr>
        <w:t>t</w:t>
      </w:r>
      <w:r w:rsidRPr="00ED4662">
        <w:rPr>
          <w:color w:val="FF0000"/>
        </w:rPr>
        <w:t>)</w:t>
      </w:r>
      <w:r w:rsidR="00CE1C94" w:rsidRPr="00ED4662">
        <w:rPr>
          <w:color w:val="FF0000"/>
        </w:rPr>
        <w:t>|</w:t>
      </w:r>
      <w:r w:rsidR="00CE1C94" w:rsidRPr="00ED4662">
        <w:rPr>
          <w:color w:val="FF0000"/>
          <w:vertAlign w:val="subscript"/>
        </w:rPr>
        <w:t>≥0</w:t>
      </w:r>
      <w:r w:rsidR="00CE1C94" w:rsidRPr="00ED4662">
        <w:rPr>
          <w:color w:val="FF0000"/>
        </w:rPr>
        <w:t xml:space="preserve"> + |</w:t>
      </w:r>
      <w:r w:rsidRPr="00ED4662">
        <w:rPr>
          <w:i/>
          <w:iCs/>
          <w:color w:val="FF0000"/>
        </w:rPr>
        <w:t>P</w:t>
      </w:r>
      <w:r w:rsidRPr="00ED4662">
        <w:rPr>
          <w:rFonts w:ascii="Cambria Math" w:hAnsi="Cambria Math" w:cs="Cambria Math"/>
          <w:color w:val="FF0000"/>
          <w:vertAlign w:val="subscript"/>
        </w:rPr>
        <w:t>B</w:t>
      </w:r>
      <w:r w:rsidR="00CE1C94" w:rsidRPr="00ED4662">
        <w:rPr>
          <w:color w:val="FF0000"/>
        </w:rPr>
        <w:t xml:space="preserve"> (</w:t>
      </w:r>
      <w:r w:rsidR="00A90194" w:rsidRPr="00ED4662">
        <w:rPr>
          <w:color w:val="FF0000"/>
        </w:rPr>
        <w:t>t</w:t>
      </w:r>
      <w:r w:rsidR="00CE1C94" w:rsidRPr="00ED4662">
        <w:rPr>
          <w:color w:val="FF0000"/>
        </w:rPr>
        <w:t>)</w:t>
      </w:r>
      <w:r w:rsidRPr="00ED4662">
        <w:rPr>
          <w:color w:val="FF0000"/>
        </w:rPr>
        <w:t xml:space="preserve"> - </w:t>
      </w:r>
      <w:proofErr w:type="spellStart"/>
      <w:r w:rsidRPr="00ED4662">
        <w:rPr>
          <w:i/>
          <w:iCs/>
          <w:color w:val="FF0000"/>
        </w:rPr>
        <w:t>P</w:t>
      </w:r>
      <w:r w:rsidRPr="00ED4662">
        <w:rPr>
          <w:color w:val="FF0000"/>
          <w:vertAlign w:val="subscript"/>
        </w:rPr>
        <w:t>Cntrl</w:t>
      </w:r>
      <w:proofErr w:type="spellEnd"/>
      <w:r w:rsidRPr="00ED4662">
        <w:rPr>
          <w:color w:val="FF0000"/>
        </w:rPr>
        <w:t>(</w:t>
      </w:r>
      <w:r w:rsidR="00A90194" w:rsidRPr="00ED4662">
        <w:rPr>
          <w:color w:val="FF0000"/>
        </w:rPr>
        <w:t>t</w:t>
      </w:r>
      <w:r w:rsidRPr="00ED4662">
        <w:rPr>
          <w:color w:val="FF0000"/>
        </w:rPr>
        <w:t>)</w:t>
      </w:r>
      <w:r w:rsidR="00CE1C94" w:rsidRPr="00ED4662">
        <w:rPr>
          <w:color w:val="FF0000"/>
        </w:rPr>
        <w:t>|</w:t>
      </w:r>
      <w:r w:rsidR="00CE1C94" w:rsidRPr="00ED4662">
        <w:rPr>
          <w:color w:val="FF0000"/>
          <w:vertAlign w:val="subscript"/>
        </w:rPr>
        <w:t>≥0</w:t>
      </w:r>
      <w:r w:rsidR="00CE1C94" w:rsidRPr="00ED4662">
        <w:rPr>
          <w:color w:val="FF0000"/>
        </w:rPr>
        <w:t xml:space="preserve">) </w:t>
      </w:r>
    </w:p>
    <w:p w14:paraId="6C4242DB" w14:textId="77777777" w:rsidR="00CE1C94" w:rsidRPr="00ED4662" w:rsidRDefault="00CE1C94" w:rsidP="00CE1C94">
      <w:pPr>
        <w:autoSpaceDE w:val="0"/>
        <w:autoSpaceDN w:val="0"/>
        <w:adjustRightInd w:val="0"/>
        <w:spacing w:line="480" w:lineRule="auto"/>
        <w:rPr>
          <w:color w:val="FF0000"/>
        </w:rPr>
      </w:pPr>
      <w:r w:rsidRPr="00ED4662">
        <w:rPr>
          <w:color w:val="FF0000"/>
        </w:rPr>
        <w:t>where</w:t>
      </w:r>
      <w:r w:rsidR="00A90194" w:rsidRPr="00ED4662">
        <w:rPr>
          <w:i/>
          <w:iCs/>
          <w:color w:val="FF0000"/>
        </w:rPr>
        <w:t xml:space="preserve"> P</w:t>
      </w:r>
      <w:r w:rsidR="00A90194" w:rsidRPr="00ED4662">
        <w:rPr>
          <w:color w:val="FF0000"/>
          <w:vertAlign w:val="subscript"/>
        </w:rPr>
        <w:t>A+B</w:t>
      </w:r>
      <w:r w:rsidR="00A90194" w:rsidRPr="00ED4662">
        <w:rPr>
          <w:color w:val="FF0000"/>
        </w:rPr>
        <w:t xml:space="preserve"> (t)</w:t>
      </w:r>
      <w:r w:rsidRPr="00ED4662">
        <w:rPr>
          <w:color w:val="FF0000"/>
        </w:rPr>
        <w:t xml:space="preserve"> denotes the expected probability of survival, assuming the combination effect of drugs</w:t>
      </w:r>
      <w:r w:rsidR="00A90194" w:rsidRPr="00ED4662">
        <w:rPr>
          <w:color w:val="FF0000"/>
        </w:rPr>
        <w:t xml:space="preserve"> </w:t>
      </w:r>
      <w:r w:rsidR="00A90194" w:rsidRPr="00ED4662">
        <w:rPr>
          <w:rFonts w:ascii="Cambria Math" w:hAnsi="Cambria Math" w:cs="Cambria Math"/>
          <w:color w:val="FF0000"/>
        </w:rPr>
        <w:t xml:space="preserve">A </w:t>
      </w:r>
      <w:r w:rsidRPr="00ED4662">
        <w:rPr>
          <w:color w:val="FF0000"/>
        </w:rPr>
        <w:t xml:space="preserve">and </w:t>
      </w:r>
      <w:r w:rsidR="00A90194" w:rsidRPr="00ED4662">
        <w:rPr>
          <w:rFonts w:ascii="Cambria Math" w:hAnsi="Cambria Math" w:cs="Cambria Math"/>
          <w:color w:val="FF0000"/>
        </w:rPr>
        <w:t>B</w:t>
      </w:r>
      <w:r w:rsidRPr="00ED4662">
        <w:rPr>
          <w:color w:val="FF0000"/>
        </w:rPr>
        <w:t xml:space="preserve"> is additive, and |</w:t>
      </w:r>
      <w:r w:rsidR="00A90194" w:rsidRPr="00ED4662">
        <w:rPr>
          <w:color w:val="FF0000"/>
        </w:rPr>
        <w:t>a</w:t>
      </w:r>
      <w:r w:rsidRPr="00ED4662">
        <w:rPr>
          <w:color w:val="FF0000"/>
        </w:rPr>
        <w:t>|</w:t>
      </w:r>
      <w:r w:rsidRPr="00ED4662">
        <w:rPr>
          <w:color w:val="FF0000"/>
          <w:vertAlign w:val="subscript"/>
        </w:rPr>
        <w:t>≥</w:t>
      </w:r>
      <w:proofErr w:type="gramStart"/>
      <w:r w:rsidRPr="00ED4662">
        <w:rPr>
          <w:color w:val="FF0000"/>
          <w:vertAlign w:val="subscript"/>
        </w:rPr>
        <w:t>0</w:t>
      </w:r>
      <w:r w:rsidR="00E163CA" w:rsidRPr="00ED4662">
        <w:rPr>
          <w:color w:val="FF0000"/>
          <w:vertAlign w:val="subscript"/>
        </w:rPr>
        <w:t xml:space="preserve"> </w:t>
      </w:r>
      <w:r w:rsidR="00E163CA" w:rsidRPr="00ED4662">
        <w:rPr>
          <w:rFonts w:eastAsia="宋体"/>
          <w:color w:val="FF0000"/>
        </w:rPr>
        <w:t>:</w:t>
      </w:r>
      <w:proofErr w:type="gramEnd"/>
      <w:r w:rsidR="00E163CA" w:rsidRPr="00ED4662">
        <w:rPr>
          <w:rFonts w:eastAsia="宋体"/>
          <w:color w:val="FF0000"/>
        </w:rPr>
        <w:t>=</w:t>
      </w:r>
      <w:r w:rsidRPr="00ED4662">
        <w:rPr>
          <w:color w:val="FF0000"/>
        </w:rPr>
        <w:t xml:space="preserve">max (0, </w:t>
      </w:r>
      <w:r w:rsidR="00A90194" w:rsidRPr="00ED4662">
        <w:rPr>
          <w:color w:val="FF0000"/>
        </w:rPr>
        <w:t>a</w:t>
      </w:r>
      <w:r w:rsidRPr="00ED4662">
        <w:rPr>
          <w:color w:val="FF0000"/>
        </w:rPr>
        <w:t xml:space="preserve">). </w:t>
      </w:r>
      <w:r w:rsidR="00A505AC" w:rsidRPr="00ED4662">
        <w:rPr>
          <w:color w:val="FF0000"/>
        </w:rPr>
        <w:t>T</w:t>
      </w:r>
      <w:r w:rsidRPr="00ED4662">
        <w:rPr>
          <w:color w:val="FF0000"/>
        </w:rPr>
        <w:t xml:space="preserve">he expected number of events at each time point of </w:t>
      </w:r>
      <w:r w:rsidR="00A90194" w:rsidRPr="00ED4662">
        <w:rPr>
          <w:i/>
          <w:iCs/>
          <w:color w:val="FF0000"/>
        </w:rPr>
        <w:t>P</w:t>
      </w:r>
      <w:r w:rsidR="00A90194" w:rsidRPr="00ED4662">
        <w:rPr>
          <w:color w:val="FF0000"/>
          <w:vertAlign w:val="subscript"/>
        </w:rPr>
        <w:t>A+B</w:t>
      </w:r>
      <w:r w:rsidR="00A90194" w:rsidRPr="00ED4662">
        <w:rPr>
          <w:color w:val="FF0000"/>
        </w:rPr>
        <w:t xml:space="preserve"> (t) </w:t>
      </w:r>
      <w:r w:rsidR="00A505AC" w:rsidRPr="00ED4662">
        <w:rPr>
          <w:color w:val="FF0000"/>
        </w:rPr>
        <w:t>was calculated</w:t>
      </w:r>
      <w:r w:rsidRPr="00ED4662">
        <w:rPr>
          <w:color w:val="FF0000"/>
        </w:rPr>
        <w:t xml:space="preserve"> by inverting the Kaplan-Meier statistics, assuming equal cohort sizes between combination and </w:t>
      </w:r>
      <w:r w:rsidR="00A505AC" w:rsidRPr="00ED4662">
        <w:rPr>
          <w:color w:val="FF0000"/>
        </w:rPr>
        <w:t>monotherapy</w:t>
      </w:r>
      <w:r w:rsidRPr="00ED4662">
        <w:rPr>
          <w:color w:val="FF0000"/>
        </w:rPr>
        <w:t xml:space="preserve"> cohorts. </w:t>
      </w:r>
      <w:r w:rsidR="00A90194" w:rsidRPr="00ED4662">
        <w:rPr>
          <w:color w:val="FF0000"/>
        </w:rPr>
        <w:t>Finally, we</w:t>
      </w:r>
      <w:r w:rsidRPr="00ED4662">
        <w:rPr>
          <w:color w:val="FF0000"/>
        </w:rPr>
        <w:t xml:space="preserve"> compared the expected additive survival rate</w:t>
      </w:r>
      <w:r w:rsidR="00A90194" w:rsidRPr="00ED4662">
        <w:rPr>
          <w:i/>
          <w:iCs/>
          <w:color w:val="FF0000"/>
        </w:rPr>
        <w:t xml:space="preserve"> P</w:t>
      </w:r>
      <w:r w:rsidR="00A90194" w:rsidRPr="00ED4662">
        <w:rPr>
          <w:color w:val="FF0000"/>
          <w:vertAlign w:val="subscript"/>
        </w:rPr>
        <w:t>A+B</w:t>
      </w:r>
      <w:r w:rsidR="00A90194" w:rsidRPr="00ED4662">
        <w:rPr>
          <w:color w:val="FF0000"/>
        </w:rPr>
        <w:t xml:space="preserve"> (t)</w:t>
      </w:r>
      <w:r w:rsidRPr="00ED4662">
        <w:rPr>
          <w:color w:val="FF0000"/>
        </w:rPr>
        <w:t xml:space="preserve"> </w:t>
      </w:r>
      <w:r w:rsidR="00A90194" w:rsidRPr="00ED4662">
        <w:rPr>
          <w:color w:val="FF0000"/>
        </w:rPr>
        <w:t>with</w:t>
      </w:r>
      <w:r w:rsidRPr="00ED4662">
        <w:rPr>
          <w:color w:val="FF0000"/>
        </w:rPr>
        <w:t xml:space="preserve"> the observed survival rate </w:t>
      </w:r>
      <w:proofErr w:type="gramStart"/>
      <w:r w:rsidR="00A90194" w:rsidRPr="00ED4662">
        <w:rPr>
          <w:i/>
          <w:iCs/>
          <w:color w:val="FF0000"/>
        </w:rPr>
        <w:t>P</w:t>
      </w:r>
      <w:r w:rsidR="00A90194" w:rsidRPr="00ED4662">
        <w:rPr>
          <w:color w:val="FF0000"/>
          <w:vertAlign w:val="subscript"/>
        </w:rPr>
        <w:t>A,B</w:t>
      </w:r>
      <w:proofErr w:type="gramEnd"/>
      <w:r w:rsidR="00A90194" w:rsidRPr="00ED4662">
        <w:rPr>
          <w:color w:val="FF0000"/>
        </w:rPr>
        <w:t xml:space="preserve"> (t)</w:t>
      </w:r>
      <w:r w:rsidRPr="00ED4662">
        <w:rPr>
          <w:color w:val="FF0000"/>
        </w:rPr>
        <w:t xml:space="preserve"> under drugs </w:t>
      </w:r>
      <w:r w:rsidRPr="00ED4662">
        <w:rPr>
          <w:rFonts w:ascii="Cambria Math" w:hAnsi="Cambria Math" w:cs="Cambria Math"/>
          <w:color w:val="FF0000"/>
        </w:rPr>
        <w:t>𝐴</w:t>
      </w:r>
      <w:r w:rsidRPr="00ED4662">
        <w:rPr>
          <w:color w:val="FF0000"/>
        </w:rPr>
        <w:t xml:space="preserve"> and </w:t>
      </w:r>
      <w:r w:rsidRPr="00ED4662">
        <w:rPr>
          <w:rFonts w:ascii="Cambria Math" w:hAnsi="Cambria Math" w:cs="Cambria Math"/>
          <w:color w:val="FF0000"/>
        </w:rPr>
        <w:t>𝐵</w:t>
      </w:r>
      <w:r w:rsidRPr="00ED4662">
        <w:rPr>
          <w:color w:val="FF0000"/>
        </w:rPr>
        <w:t xml:space="preserve"> in combination, using a Mantel-Cox test.</w:t>
      </w:r>
    </w:p>
    <w:p w14:paraId="450BCCBD" w14:textId="77777777" w:rsidR="00956EB1" w:rsidRPr="00956EB1" w:rsidRDefault="00A505AC" w:rsidP="00956EB1">
      <w:pPr>
        <w:widowControl/>
        <w:spacing w:line="480" w:lineRule="auto"/>
        <w:ind w:firstLineChars="200" w:firstLine="420"/>
        <w:rPr>
          <w:color w:val="000000" w:themeColor="text1"/>
          <w:kern w:val="0"/>
          <w:szCs w:val="21"/>
        </w:rPr>
      </w:pPr>
      <w:r>
        <w:t>To investigate</w:t>
      </w:r>
      <w:r>
        <w:rPr>
          <w:color w:val="000000" w:themeColor="text1"/>
          <w:kern w:val="0"/>
          <w:szCs w:val="21"/>
        </w:rPr>
        <w:t xml:space="preserve"> the role of LT</w:t>
      </w:r>
      <w:r>
        <w:rPr>
          <w:rFonts w:hint="eastAsia"/>
          <w:color w:val="000000" w:themeColor="text1"/>
          <w:kern w:val="0"/>
          <w:szCs w:val="21"/>
        </w:rPr>
        <w:t>β</w:t>
      </w:r>
      <w:r>
        <w:rPr>
          <w:rFonts w:hint="eastAsia"/>
          <w:color w:val="000000" w:themeColor="text1"/>
          <w:kern w:val="0"/>
          <w:szCs w:val="21"/>
        </w:rPr>
        <w:t>R</w:t>
      </w:r>
      <w:r>
        <w:rPr>
          <w:color w:val="000000" w:themeColor="text1"/>
          <w:kern w:val="0"/>
          <w:szCs w:val="21"/>
        </w:rPr>
        <w:t xml:space="preserve"> </w:t>
      </w:r>
      <w:r>
        <w:rPr>
          <w:rFonts w:hint="eastAsia"/>
          <w:color w:val="000000" w:themeColor="text1"/>
          <w:kern w:val="0"/>
          <w:szCs w:val="21"/>
        </w:rPr>
        <w:t>signaling</w:t>
      </w:r>
      <w:r>
        <w:rPr>
          <w:color w:val="000000" w:themeColor="text1"/>
          <w:kern w:val="0"/>
          <w:szCs w:val="21"/>
        </w:rPr>
        <w:t xml:space="preserve"> </w:t>
      </w:r>
      <w:r>
        <w:rPr>
          <w:rFonts w:hint="eastAsia"/>
          <w:color w:val="000000" w:themeColor="text1"/>
          <w:kern w:val="0"/>
          <w:szCs w:val="21"/>
        </w:rPr>
        <w:t>in</w:t>
      </w:r>
      <w:r>
        <w:rPr>
          <w:color w:val="000000" w:themeColor="text1"/>
          <w:kern w:val="0"/>
          <w:szCs w:val="21"/>
        </w:rPr>
        <w:t xml:space="preserve"> the efficacy of dual </w:t>
      </w:r>
      <w:proofErr w:type="spellStart"/>
      <w:r>
        <w:rPr>
          <w:color w:val="000000" w:themeColor="text1"/>
          <w:kern w:val="0"/>
          <w:szCs w:val="21"/>
        </w:rPr>
        <w:t>apatinib</w:t>
      </w:r>
      <w:proofErr w:type="spellEnd"/>
      <w:r>
        <w:rPr>
          <w:color w:val="000000" w:themeColor="text1"/>
          <w:kern w:val="0"/>
          <w:szCs w:val="21"/>
        </w:rPr>
        <w:t>/aPD-L1 treatment in mouse GC models, MFC cells</w:t>
      </w:r>
      <w:r w:rsidRPr="000B6549">
        <w:t xml:space="preserve"> </w:t>
      </w:r>
      <w:r w:rsidRPr="000B6549">
        <w:rPr>
          <w:color w:val="000000" w:themeColor="text1"/>
          <w:kern w:val="0"/>
          <w:szCs w:val="21"/>
        </w:rPr>
        <w:t>(5×10</w:t>
      </w:r>
      <w:r w:rsidRPr="000B6549">
        <w:rPr>
          <w:color w:val="000000" w:themeColor="text1"/>
          <w:kern w:val="0"/>
          <w:szCs w:val="21"/>
          <w:vertAlign w:val="superscript"/>
        </w:rPr>
        <w:t>6</w:t>
      </w:r>
      <w:r w:rsidRPr="000B6549">
        <w:rPr>
          <w:color w:val="000000" w:themeColor="text1"/>
          <w:kern w:val="0"/>
          <w:szCs w:val="21"/>
        </w:rPr>
        <w:t xml:space="preserve"> cells in 100 </w:t>
      </w:r>
      <w:proofErr w:type="spellStart"/>
      <w:r w:rsidRPr="000B6549">
        <w:rPr>
          <w:color w:val="000000" w:themeColor="text1"/>
          <w:kern w:val="0"/>
          <w:szCs w:val="21"/>
        </w:rPr>
        <w:t>μL</w:t>
      </w:r>
      <w:proofErr w:type="spellEnd"/>
      <w:r w:rsidRPr="000B6549">
        <w:rPr>
          <w:color w:val="000000" w:themeColor="text1"/>
          <w:kern w:val="0"/>
          <w:szCs w:val="21"/>
        </w:rPr>
        <w:t xml:space="preserve"> of PBS)</w:t>
      </w:r>
      <w:r>
        <w:rPr>
          <w:color w:val="000000" w:themeColor="text1"/>
          <w:kern w:val="0"/>
          <w:szCs w:val="21"/>
        </w:rPr>
        <w:t xml:space="preserve"> were subcutaneously injected into </w:t>
      </w:r>
      <w:r>
        <w:rPr>
          <w:color w:val="000000" w:themeColor="text1"/>
          <w:kern w:val="0"/>
          <w:szCs w:val="21"/>
        </w:rPr>
        <w:lastRenderedPageBreak/>
        <w:t>the right</w:t>
      </w:r>
      <w:r w:rsidRPr="00977AEA">
        <w:rPr>
          <w:color w:val="000000" w:themeColor="text1"/>
          <w:kern w:val="0"/>
          <w:szCs w:val="21"/>
        </w:rPr>
        <w:t xml:space="preserve"> flank </w:t>
      </w:r>
      <w:r>
        <w:rPr>
          <w:color w:val="000000" w:themeColor="text1"/>
          <w:kern w:val="0"/>
          <w:szCs w:val="21"/>
        </w:rPr>
        <w:t>region of 615</w:t>
      </w:r>
      <w:r w:rsidRPr="00F94707">
        <w:rPr>
          <w:color w:val="000000" w:themeColor="text1"/>
          <w:kern w:val="0"/>
          <w:szCs w:val="21"/>
        </w:rPr>
        <w:t xml:space="preserve"> mice</w:t>
      </w:r>
      <w:r w:rsidR="001017A4">
        <w:rPr>
          <w:color w:val="000000" w:themeColor="text1"/>
          <w:kern w:val="0"/>
          <w:szCs w:val="21"/>
        </w:rPr>
        <w:t>.</w:t>
      </w:r>
      <w:r w:rsidRPr="00F94707">
        <w:rPr>
          <w:color w:val="000000" w:themeColor="text1"/>
          <w:kern w:val="0"/>
          <w:szCs w:val="21"/>
        </w:rPr>
        <w:t xml:space="preserve"> </w:t>
      </w:r>
      <w:r w:rsidR="001017A4" w:rsidRPr="00557080">
        <w:rPr>
          <w:color w:val="000000" w:themeColor="text1"/>
          <w:kern w:val="0"/>
          <w:szCs w:val="21"/>
        </w:rPr>
        <w:t>Once tumors were palpable,</w:t>
      </w:r>
      <w:r w:rsidR="001017A4">
        <w:rPr>
          <w:color w:val="000000" w:themeColor="text1"/>
          <w:kern w:val="0"/>
          <w:szCs w:val="21"/>
        </w:rPr>
        <w:t xml:space="preserve"> t</w:t>
      </w:r>
      <w:r w:rsidRPr="00F94707">
        <w:rPr>
          <w:color w:val="000000" w:themeColor="text1"/>
          <w:kern w:val="0"/>
          <w:szCs w:val="21"/>
        </w:rPr>
        <w:t xml:space="preserve">he mice were then randomly assigned into </w:t>
      </w:r>
      <w:r>
        <w:rPr>
          <w:color w:val="000000" w:themeColor="text1"/>
          <w:kern w:val="0"/>
          <w:szCs w:val="21"/>
        </w:rPr>
        <w:t>4</w:t>
      </w:r>
      <w:r w:rsidRPr="00F94707">
        <w:rPr>
          <w:color w:val="000000" w:themeColor="text1"/>
          <w:kern w:val="0"/>
          <w:szCs w:val="21"/>
        </w:rPr>
        <w:t xml:space="preserve"> groups: </w:t>
      </w:r>
      <w:r>
        <w:rPr>
          <w:color w:val="000000" w:themeColor="text1"/>
          <w:kern w:val="0"/>
          <w:szCs w:val="21"/>
        </w:rPr>
        <w:t xml:space="preserve">(1) </w:t>
      </w:r>
      <w:r w:rsidRPr="00F94707">
        <w:rPr>
          <w:color w:val="000000" w:themeColor="text1"/>
          <w:kern w:val="0"/>
          <w:szCs w:val="21"/>
        </w:rPr>
        <w:t>solvent control (ddH</w:t>
      </w:r>
      <w:r w:rsidRPr="00F94707">
        <w:rPr>
          <w:color w:val="000000" w:themeColor="text1"/>
          <w:kern w:val="0"/>
          <w:szCs w:val="21"/>
          <w:vertAlign w:val="subscript"/>
        </w:rPr>
        <w:t>2</w:t>
      </w:r>
      <w:r w:rsidRPr="00F94707">
        <w:rPr>
          <w:color w:val="000000" w:themeColor="text1"/>
          <w:kern w:val="0"/>
          <w:szCs w:val="21"/>
        </w:rPr>
        <w:t>O, orally)</w:t>
      </w:r>
      <w:r>
        <w:rPr>
          <w:color w:val="000000" w:themeColor="text1"/>
          <w:kern w:val="0"/>
          <w:szCs w:val="21"/>
        </w:rPr>
        <w:t>; (2) LT</w:t>
      </w:r>
      <w:r>
        <w:rPr>
          <w:rFonts w:hint="eastAsia"/>
          <w:color w:val="000000" w:themeColor="text1"/>
          <w:kern w:val="0"/>
          <w:szCs w:val="21"/>
        </w:rPr>
        <w:t>β</w:t>
      </w:r>
      <w:r>
        <w:rPr>
          <w:rFonts w:hint="eastAsia"/>
          <w:color w:val="000000" w:themeColor="text1"/>
          <w:kern w:val="0"/>
          <w:szCs w:val="21"/>
        </w:rPr>
        <w:t>R</w:t>
      </w:r>
      <w:r>
        <w:rPr>
          <w:color w:val="000000" w:themeColor="text1"/>
          <w:kern w:val="0"/>
          <w:szCs w:val="21"/>
        </w:rPr>
        <w:t xml:space="preserve"> antagonist (2mg</w:t>
      </w:r>
      <w:r>
        <w:rPr>
          <w:rFonts w:hint="eastAsia"/>
          <w:color w:val="000000" w:themeColor="text1"/>
          <w:kern w:val="0"/>
          <w:szCs w:val="21"/>
        </w:rPr>
        <w:t>/kg</w:t>
      </w:r>
      <w:r>
        <w:rPr>
          <w:color w:val="000000" w:themeColor="text1"/>
          <w:kern w:val="0"/>
          <w:szCs w:val="21"/>
        </w:rPr>
        <w:t>/</w:t>
      </w:r>
      <w:proofErr w:type="spellStart"/>
      <w:r>
        <w:rPr>
          <w:color w:val="000000" w:themeColor="text1"/>
          <w:kern w:val="0"/>
          <w:szCs w:val="21"/>
        </w:rPr>
        <w:t>tiw</w:t>
      </w:r>
      <w:proofErr w:type="spellEnd"/>
      <w:r>
        <w:rPr>
          <w:color w:val="000000" w:themeColor="text1"/>
          <w:kern w:val="0"/>
          <w:szCs w:val="21"/>
        </w:rPr>
        <w:t xml:space="preserve">, </w:t>
      </w:r>
      <w:proofErr w:type="spellStart"/>
      <w:r>
        <w:rPr>
          <w:color w:val="000000" w:themeColor="text1"/>
          <w:kern w:val="0"/>
          <w:szCs w:val="21"/>
        </w:rPr>
        <w:t>i.p.</w:t>
      </w:r>
      <w:proofErr w:type="spellEnd"/>
      <w:r>
        <w:rPr>
          <w:color w:val="000000" w:themeColor="text1"/>
          <w:kern w:val="0"/>
          <w:szCs w:val="21"/>
        </w:rPr>
        <w:t xml:space="preserve">); (3) combined </w:t>
      </w:r>
      <w:proofErr w:type="spellStart"/>
      <w:r>
        <w:rPr>
          <w:color w:val="000000" w:themeColor="text1"/>
          <w:kern w:val="0"/>
          <w:szCs w:val="21"/>
        </w:rPr>
        <w:t>apatinib</w:t>
      </w:r>
      <w:proofErr w:type="spellEnd"/>
      <w:r>
        <w:rPr>
          <w:rFonts w:hint="eastAsia"/>
          <w:color w:val="000000" w:themeColor="text1"/>
          <w:kern w:val="0"/>
          <w:szCs w:val="21"/>
        </w:rPr>
        <w:t>/a</w:t>
      </w:r>
      <w:r>
        <w:rPr>
          <w:color w:val="000000" w:themeColor="text1"/>
          <w:kern w:val="0"/>
          <w:szCs w:val="21"/>
        </w:rPr>
        <w:t>PD-L1</w:t>
      </w:r>
      <w:r w:rsidRPr="00F94707">
        <w:rPr>
          <w:color w:val="000000" w:themeColor="text1"/>
          <w:kern w:val="0"/>
          <w:szCs w:val="21"/>
        </w:rPr>
        <w:t xml:space="preserve"> (</w:t>
      </w:r>
      <w:r>
        <w:rPr>
          <w:color w:val="000000" w:themeColor="text1"/>
          <w:kern w:val="0"/>
          <w:szCs w:val="21"/>
        </w:rPr>
        <w:t>apatinib,15</w:t>
      </w:r>
      <w:r w:rsidRPr="00F94707">
        <w:rPr>
          <w:color w:val="000000" w:themeColor="text1"/>
          <w:kern w:val="0"/>
          <w:szCs w:val="21"/>
        </w:rPr>
        <w:t>0 mg/kg/d, orally</w:t>
      </w:r>
      <w:r>
        <w:rPr>
          <w:rFonts w:hint="eastAsia"/>
          <w:color w:val="000000" w:themeColor="text1"/>
          <w:kern w:val="0"/>
          <w:szCs w:val="21"/>
        </w:rPr>
        <w:t>+</w:t>
      </w:r>
      <w:r w:rsidRPr="005B2664">
        <w:rPr>
          <w:color w:val="000000" w:themeColor="text1"/>
          <w:kern w:val="0"/>
          <w:szCs w:val="21"/>
        </w:rPr>
        <w:t xml:space="preserve"> </w:t>
      </w:r>
      <w:r>
        <w:rPr>
          <w:color w:val="000000" w:themeColor="text1"/>
          <w:kern w:val="0"/>
          <w:szCs w:val="21"/>
        </w:rPr>
        <w:t>aPD-L1,</w:t>
      </w:r>
      <w:r w:rsidRPr="004A166E">
        <w:t xml:space="preserve"> </w:t>
      </w:r>
      <w:r w:rsidRPr="004A166E">
        <w:rPr>
          <w:color w:val="000000" w:themeColor="text1"/>
          <w:kern w:val="0"/>
          <w:szCs w:val="21"/>
        </w:rPr>
        <w:t>20</w:t>
      </w:r>
      <w:r>
        <w:rPr>
          <w:color w:val="000000" w:themeColor="text1"/>
          <w:kern w:val="0"/>
          <w:szCs w:val="21"/>
        </w:rPr>
        <w:t>mg</w:t>
      </w:r>
      <w:r>
        <w:rPr>
          <w:rFonts w:hint="eastAsia"/>
          <w:color w:val="000000" w:themeColor="text1"/>
          <w:kern w:val="0"/>
          <w:szCs w:val="21"/>
        </w:rPr>
        <w:t>/kg</w:t>
      </w:r>
      <w:r>
        <w:rPr>
          <w:color w:val="000000" w:themeColor="text1"/>
          <w:kern w:val="0"/>
          <w:szCs w:val="21"/>
        </w:rPr>
        <w:t>/</w:t>
      </w:r>
      <w:proofErr w:type="spellStart"/>
      <w:r>
        <w:rPr>
          <w:color w:val="000000" w:themeColor="text1"/>
          <w:kern w:val="0"/>
          <w:szCs w:val="21"/>
        </w:rPr>
        <w:t>tiw</w:t>
      </w:r>
      <w:proofErr w:type="spellEnd"/>
      <w:r>
        <w:rPr>
          <w:color w:val="000000" w:themeColor="text1"/>
          <w:kern w:val="0"/>
          <w:szCs w:val="21"/>
        </w:rPr>
        <w:t xml:space="preserve">, </w:t>
      </w:r>
      <w:proofErr w:type="spellStart"/>
      <w:r>
        <w:rPr>
          <w:color w:val="000000" w:themeColor="text1"/>
          <w:kern w:val="0"/>
          <w:szCs w:val="21"/>
        </w:rPr>
        <w:t>i.p.</w:t>
      </w:r>
      <w:proofErr w:type="spellEnd"/>
      <w:r w:rsidRPr="00F94707">
        <w:rPr>
          <w:color w:val="000000" w:themeColor="text1"/>
          <w:kern w:val="0"/>
          <w:szCs w:val="21"/>
        </w:rPr>
        <w:t>)</w:t>
      </w:r>
      <w:r>
        <w:rPr>
          <w:color w:val="000000" w:themeColor="text1"/>
          <w:kern w:val="0"/>
          <w:szCs w:val="21"/>
        </w:rPr>
        <w:t xml:space="preserve">; (4) combined </w:t>
      </w:r>
      <w:proofErr w:type="spellStart"/>
      <w:r>
        <w:rPr>
          <w:color w:val="000000" w:themeColor="text1"/>
          <w:kern w:val="0"/>
          <w:szCs w:val="21"/>
        </w:rPr>
        <w:t>apatinib</w:t>
      </w:r>
      <w:proofErr w:type="spellEnd"/>
      <w:r>
        <w:rPr>
          <w:rFonts w:hint="eastAsia"/>
          <w:color w:val="000000" w:themeColor="text1"/>
          <w:kern w:val="0"/>
          <w:szCs w:val="21"/>
        </w:rPr>
        <w:t>/a</w:t>
      </w:r>
      <w:r>
        <w:rPr>
          <w:color w:val="000000" w:themeColor="text1"/>
          <w:kern w:val="0"/>
          <w:szCs w:val="21"/>
        </w:rPr>
        <w:t>PD-L1</w:t>
      </w:r>
      <w:r>
        <w:rPr>
          <w:rFonts w:hint="eastAsia"/>
          <w:color w:val="000000" w:themeColor="text1"/>
          <w:kern w:val="0"/>
          <w:szCs w:val="21"/>
        </w:rPr>
        <w:t>/</w:t>
      </w:r>
      <w:r w:rsidRPr="00A505AC">
        <w:t xml:space="preserve"> </w:t>
      </w:r>
      <w:r w:rsidRPr="00A505AC">
        <w:rPr>
          <w:color w:val="000000" w:themeColor="text1"/>
          <w:kern w:val="0"/>
          <w:szCs w:val="21"/>
        </w:rPr>
        <w:t>LTβR antagonist</w:t>
      </w:r>
      <w:r w:rsidRPr="00F94707">
        <w:rPr>
          <w:color w:val="000000" w:themeColor="text1"/>
          <w:kern w:val="0"/>
          <w:szCs w:val="21"/>
        </w:rPr>
        <w:t xml:space="preserve"> (</w:t>
      </w:r>
      <w:r>
        <w:rPr>
          <w:color w:val="000000" w:themeColor="text1"/>
          <w:kern w:val="0"/>
          <w:szCs w:val="21"/>
        </w:rPr>
        <w:t>apatinib,15</w:t>
      </w:r>
      <w:r w:rsidRPr="00F94707">
        <w:rPr>
          <w:color w:val="000000" w:themeColor="text1"/>
          <w:kern w:val="0"/>
          <w:szCs w:val="21"/>
        </w:rPr>
        <w:t>0 mg/kg/d, orally</w:t>
      </w:r>
      <w:r w:rsidR="000545D3">
        <w:rPr>
          <w:color w:val="000000" w:themeColor="text1"/>
          <w:kern w:val="0"/>
          <w:szCs w:val="21"/>
        </w:rPr>
        <w:t xml:space="preserve"> </w:t>
      </w:r>
      <w:r>
        <w:rPr>
          <w:rFonts w:hint="eastAsia"/>
          <w:color w:val="000000" w:themeColor="text1"/>
          <w:kern w:val="0"/>
          <w:szCs w:val="21"/>
        </w:rPr>
        <w:t>+</w:t>
      </w:r>
      <w:r w:rsidR="000545D3">
        <w:rPr>
          <w:color w:val="000000" w:themeColor="text1"/>
          <w:kern w:val="0"/>
          <w:szCs w:val="21"/>
        </w:rPr>
        <w:t xml:space="preserve"> </w:t>
      </w:r>
      <w:r>
        <w:rPr>
          <w:color w:val="000000" w:themeColor="text1"/>
          <w:kern w:val="0"/>
          <w:szCs w:val="21"/>
        </w:rPr>
        <w:t>aPD-L1,</w:t>
      </w:r>
      <w:r w:rsidR="00AB6C4B">
        <w:rPr>
          <w:color w:val="000000" w:themeColor="text1"/>
          <w:kern w:val="0"/>
          <w:szCs w:val="21"/>
        </w:rPr>
        <w:t>1</w:t>
      </w:r>
      <w:r w:rsidRPr="004A166E">
        <w:rPr>
          <w:color w:val="000000" w:themeColor="text1"/>
          <w:kern w:val="0"/>
          <w:szCs w:val="21"/>
        </w:rPr>
        <w:t>0</w:t>
      </w:r>
      <w:r>
        <w:rPr>
          <w:color w:val="000000" w:themeColor="text1"/>
          <w:kern w:val="0"/>
          <w:szCs w:val="21"/>
        </w:rPr>
        <w:t>mg</w:t>
      </w:r>
      <w:r>
        <w:rPr>
          <w:rFonts w:hint="eastAsia"/>
          <w:color w:val="000000" w:themeColor="text1"/>
          <w:kern w:val="0"/>
          <w:szCs w:val="21"/>
        </w:rPr>
        <w:t>/kg</w:t>
      </w:r>
      <w:r>
        <w:rPr>
          <w:color w:val="000000" w:themeColor="text1"/>
          <w:kern w:val="0"/>
          <w:szCs w:val="21"/>
        </w:rPr>
        <w:t>/</w:t>
      </w:r>
      <w:proofErr w:type="spellStart"/>
      <w:r>
        <w:rPr>
          <w:color w:val="000000" w:themeColor="text1"/>
          <w:kern w:val="0"/>
          <w:szCs w:val="21"/>
        </w:rPr>
        <w:t>tiw</w:t>
      </w:r>
      <w:proofErr w:type="spellEnd"/>
      <w:r>
        <w:rPr>
          <w:color w:val="000000" w:themeColor="text1"/>
          <w:kern w:val="0"/>
          <w:szCs w:val="21"/>
        </w:rPr>
        <w:t xml:space="preserve">, </w:t>
      </w:r>
      <w:proofErr w:type="spellStart"/>
      <w:r>
        <w:rPr>
          <w:color w:val="000000" w:themeColor="text1"/>
          <w:kern w:val="0"/>
          <w:szCs w:val="21"/>
        </w:rPr>
        <w:t>i.p.</w:t>
      </w:r>
      <w:proofErr w:type="spellEnd"/>
      <w:r w:rsidR="000545D3">
        <w:rPr>
          <w:color w:val="000000" w:themeColor="text1"/>
          <w:kern w:val="0"/>
          <w:szCs w:val="21"/>
        </w:rPr>
        <w:t xml:space="preserve"> </w:t>
      </w:r>
      <w:r>
        <w:rPr>
          <w:color w:val="000000" w:themeColor="text1"/>
          <w:kern w:val="0"/>
          <w:szCs w:val="21"/>
        </w:rPr>
        <w:t>+</w:t>
      </w:r>
      <w:r w:rsidR="000545D3">
        <w:rPr>
          <w:color w:val="000000" w:themeColor="text1"/>
          <w:kern w:val="0"/>
          <w:szCs w:val="21"/>
        </w:rPr>
        <w:t xml:space="preserve"> </w:t>
      </w:r>
      <w:r>
        <w:rPr>
          <w:color w:val="000000" w:themeColor="text1"/>
          <w:kern w:val="0"/>
          <w:szCs w:val="21"/>
        </w:rPr>
        <w:t>LT</w:t>
      </w:r>
      <w:r>
        <w:rPr>
          <w:rFonts w:hint="eastAsia"/>
          <w:color w:val="000000" w:themeColor="text1"/>
          <w:kern w:val="0"/>
          <w:szCs w:val="21"/>
        </w:rPr>
        <w:t>β</w:t>
      </w:r>
      <w:r>
        <w:rPr>
          <w:rFonts w:hint="eastAsia"/>
          <w:color w:val="000000" w:themeColor="text1"/>
          <w:kern w:val="0"/>
          <w:szCs w:val="21"/>
        </w:rPr>
        <w:t>R</w:t>
      </w:r>
      <w:r>
        <w:rPr>
          <w:color w:val="000000" w:themeColor="text1"/>
          <w:kern w:val="0"/>
          <w:szCs w:val="21"/>
        </w:rPr>
        <w:t xml:space="preserve"> antagonist,2mg</w:t>
      </w:r>
      <w:r>
        <w:rPr>
          <w:rFonts w:hint="eastAsia"/>
          <w:color w:val="000000" w:themeColor="text1"/>
          <w:kern w:val="0"/>
          <w:szCs w:val="21"/>
        </w:rPr>
        <w:t>/kg</w:t>
      </w:r>
      <w:r>
        <w:rPr>
          <w:color w:val="000000" w:themeColor="text1"/>
          <w:kern w:val="0"/>
          <w:szCs w:val="21"/>
        </w:rPr>
        <w:t>/</w:t>
      </w:r>
      <w:proofErr w:type="spellStart"/>
      <w:r>
        <w:rPr>
          <w:color w:val="000000" w:themeColor="text1"/>
          <w:kern w:val="0"/>
          <w:szCs w:val="21"/>
        </w:rPr>
        <w:t>tiw</w:t>
      </w:r>
      <w:proofErr w:type="spellEnd"/>
      <w:r>
        <w:rPr>
          <w:color w:val="000000" w:themeColor="text1"/>
          <w:kern w:val="0"/>
          <w:szCs w:val="21"/>
        </w:rPr>
        <w:t xml:space="preserve">, </w:t>
      </w:r>
      <w:proofErr w:type="spellStart"/>
      <w:r>
        <w:rPr>
          <w:color w:val="000000" w:themeColor="text1"/>
          <w:kern w:val="0"/>
          <w:szCs w:val="21"/>
        </w:rPr>
        <w:t>i.p.</w:t>
      </w:r>
      <w:proofErr w:type="spellEnd"/>
      <w:proofErr w:type="gramStart"/>
      <w:r w:rsidRPr="00F94707">
        <w:rPr>
          <w:color w:val="000000" w:themeColor="text1"/>
          <w:kern w:val="0"/>
          <w:szCs w:val="21"/>
        </w:rPr>
        <w:t xml:space="preserve">) </w:t>
      </w:r>
      <w:r>
        <w:rPr>
          <w:rFonts w:hint="eastAsia"/>
          <w:color w:val="000000" w:themeColor="text1"/>
          <w:kern w:val="0"/>
          <w:szCs w:val="21"/>
        </w:rPr>
        <w:t>.</w:t>
      </w:r>
      <w:bookmarkStart w:id="8" w:name="_Hlk40360642"/>
      <w:proofErr w:type="gramEnd"/>
    </w:p>
    <w:bookmarkEnd w:id="8"/>
    <w:p w14:paraId="75E4C4BF" w14:textId="77777777" w:rsidR="000B465F" w:rsidRPr="000B465F" w:rsidRDefault="00E732FC" w:rsidP="000B465F">
      <w:pPr>
        <w:autoSpaceDE w:val="0"/>
        <w:autoSpaceDN w:val="0"/>
        <w:adjustRightInd w:val="0"/>
        <w:spacing w:line="480" w:lineRule="auto"/>
        <w:jc w:val="left"/>
        <w:rPr>
          <w:kern w:val="0"/>
          <w:szCs w:val="21"/>
        </w:rPr>
      </w:pPr>
      <w:r w:rsidRPr="001017A4">
        <w:rPr>
          <w:color w:val="000000" w:themeColor="text1"/>
          <w:kern w:val="0"/>
          <w:szCs w:val="21"/>
        </w:rPr>
        <w:fldChar w:fldCharType="begin"/>
      </w:r>
      <w:r w:rsidRPr="001017A4">
        <w:rPr>
          <w:color w:val="000000" w:themeColor="text1"/>
          <w:kern w:val="0"/>
          <w:szCs w:val="21"/>
        </w:rPr>
        <w:instrText xml:space="preserve"> ADDIN NE.Bib</w:instrText>
      </w:r>
      <w:r w:rsidRPr="001017A4">
        <w:rPr>
          <w:color w:val="000000" w:themeColor="text1"/>
          <w:kern w:val="0"/>
          <w:szCs w:val="21"/>
        </w:rPr>
        <w:fldChar w:fldCharType="separate"/>
      </w:r>
    </w:p>
    <w:p w14:paraId="2F1CA84D" w14:textId="7180CED4" w:rsidR="00FB1308" w:rsidRPr="00FB1308" w:rsidRDefault="000B465F" w:rsidP="00FB1308">
      <w:pPr>
        <w:autoSpaceDE w:val="0"/>
        <w:autoSpaceDN w:val="0"/>
        <w:adjustRightInd w:val="0"/>
        <w:spacing w:line="480" w:lineRule="auto"/>
        <w:rPr>
          <w:b/>
          <w:bCs/>
          <w:kern w:val="0"/>
          <w:szCs w:val="21"/>
        </w:rPr>
      </w:pPr>
      <w:r w:rsidRPr="00FB1308">
        <w:rPr>
          <w:b/>
          <w:bCs/>
          <w:color w:val="000000"/>
          <w:kern w:val="0"/>
          <w:szCs w:val="21"/>
        </w:rPr>
        <w:t>References:</w:t>
      </w:r>
    </w:p>
    <w:p w14:paraId="0E17EE50" w14:textId="5250B73D" w:rsidR="00FB1308" w:rsidRPr="00BF35CF" w:rsidRDefault="00FB1308" w:rsidP="00BF35CF">
      <w:pPr>
        <w:autoSpaceDE w:val="0"/>
        <w:autoSpaceDN w:val="0"/>
        <w:adjustRightInd w:val="0"/>
        <w:spacing w:line="480" w:lineRule="auto"/>
        <w:ind w:left="318" w:hanging="318"/>
        <w:rPr>
          <w:color w:val="000000"/>
          <w:kern w:val="0"/>
          <w:szCs w:val="21"/>
        </w:rPr>
      </w:pPr>
      <w:bookmarkStart w:id="9" w:name="_neb6895481F_03D7_4E99_BFA1_E5E3DBCA4A4A"/>
      <w:r w:rsidRPr="00033AC8">
        <w:rPr>
          <w:color w:val="000000"/>
          <w:kern w:val="0"/>
          <w:szCs w:val="21"/>
        </w:rPr>
        <w:t>Meder L, Schuldt P, Thelen M</w:t>
      </w:r>
      <w:r w:rsidR="00942A8F">
        <w:rPr>
          <w:color w:val="000000"/>
          <w:kern w:val="0"/>
          <w:szCs w:val="21"/>
        </w:rPr>
        <w:t xml:space="preserve"> et al (2018)</w:t>
      </w:r>
      <w:r w:rsidRPr="00033AC8">
        <w:rPr>
          <w:color w:val="000000"/>
          <w:kern w:val="0"/>
          <w:szCs w:val="21"/>
        </w:rPr>
        <w:t xml:space="preserve"> Combined VEGF and PD-L1 Blockade Displays Synergistic Treatment Effects in an Autochthonous Mouse Model of Small Cell Lung Cancer. Cancer Res 78</w:t>
      </w:r>
      <w:r>
        <w:rPr>
          <w:rFonts w:eastAsia="宋体" w:hint="eastAsia"/>
          <w:color w:val="000000"/>
          <w:kern w:val="0"/>
          <w:szCs w:val="21"/>
        </w:rPr>
        <w:t>:</w:t>
      </w:r>
      <w:r>
        <w:rPr>
          <w:rFonts w:eastAsia="宋体"/>
          <w:color w:val="000000"/>
          <w:kern w:val="0"/>
          <w:szCs w:val="21"/>
        </w:rPr>
        <w:t xml:space="preserve"> </w:t>
      </w:r>
      <w:r w:rsidRPr="00033AC8">
        <w:rPr>
          <w:color w:val="000000"/>
          <w:kern w:val="0"/>
          <w:szCs w:val="21"/>
        </w:rPr>
        <w:t>4270-4281.</w:t>
      </w:r>
      <w:bookmarkEnd w:id="9"/>
      <w:r w:rsidR="00942A8F" w:rsidRPr="00942A8F">
        <w:rPr>
          <w:rFonts w:eastAsia="宋体"/>
          <w:color w:val="000000"/>
          <w:kern w:val="0"/>
          <w:szCs w:val="21"/>
        </w:rPr>
        <w:t xml:space="preserve"> </w:t>
      </w:r>
      <w:r w:rsidR="00942A8F">
        <w:rPr>
          <w:rFonts w:eastAsia="宋体"/>
          <w:color w:val="000000"/>
          <w:kern w:val="0"/>
          <w:szCs w:val="21"/>
        </w:rPr>
        <w:t>https ://doi.org/</w:t>
      </w:r>
      <w:r w:rsidR="00942A8F">
        <w:rPr>
          <w:color w:val="000000"/>
          <w:kern w:val="0"/>
          <w:sz w:val="20"/>
          <w:szCs w:val="20"/>
        </w:rPr>
        <w:t>10.1158/0008-5472.CAN-17-2176</w:t>
      </w:r>
    </w:p>
    <w:p w14:paraId="7770C9B9" w14:textId="358C39A7" w:rsidR="000B465F" w:rsidRDefault="000B465F" w:rsidP="00FB1308">
      <w:pPr>
        <w:autoSpaceDE w:val="0"/>
        <w:autoSpaceDN w:val="0"/>
        <w:adjustRightInd w:val="0"/>
        <w:spacing w:line="480" w:lineRule="auto"/>
        <w:rPr>
          <w:kern w:val="0"/>
          <w:sz w:val="24"/>
          <w:szCs w:val="24"/>
        </w:rPr>
      </w:pPr>
    </w:p>
    <w:p w14:paraId="77B623BF" w14:textId="5D6528A4" w:rsidR="00CF007B" w:rsidRPr="00CF007B" w:rsidRDefault="00E732FC" w:rsidP="000B465F">
      <w:pPr>
        <w:autoSpaceDE w:val="0"/>
        <w:autoSpaceDN w:val="0"/>
        <w:adjustRightInd w:val="0"/>
        <w:spacing w:line="480" w:lineRule="auto"/>
        <w:jc w:val="left"/>
        <w:rPr>
          <w:color w:val="000000" w:themeColor="text1"/>
          <w:kern w:val="0"/>
          <w:szCs w:val="21"/>
        </w:rPr>
      </w:pPr>
      <w:r w:rsidRPr="001017A4">
        <w:rPr>
          <w:color w:val="000000" w:themeColor="text1"/>
          <w:kern w:val="0"/>
          <w:szCs w:val="21"/>
        </w:rPr>
        <w:fldChar w:fldCharType="end"/>
      </w:r>
    </w:p>
    <w:sectPr w:rsidR="00CF007B" w:rsidRPr="00CF007B" w:rsidSect="00F12F75">
      <w:footerReference w:type="default" r:id="rId7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732D3" w14:textId="77777777" w:rsidR="00CB5BCC" w:rsidRDefault="00CB5BCC" w:rsidP="00434DAA">
      <w:r>
        <w:separator/>
      </w:r>
    </w:p>
  </w:endnote>
  <w:endnote w:type="continuationSeparator" w:id="0">
    <w:p w14:paraId="135007B4" w14:textId="77777777" w:rsidR="00CB5BCC" w:rsidRDefault="00CB5BCC" w:rsidP="0043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3964167"/>
      <w:docPartObj>
        <w:docPartGallery w:val="Page Numbers (Bottom of Page)"/>
        <w:docPartUnique/>
      </w:docPartObj>
    </w:sdtPr>
    <w:sdtEndPr/>
    <w:sdtContent>
      <w:p w14:paraId="58680E89" w14:textId="77777777" w:rsidR="00E163CA" w:rsidRDefault="00E163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6955">
          <w:rPr>
            <w:noProof/>
            <w:lang w:val="zh-CN"/>
          </w:rPr>
          <w:t>9</w:t>
        </w:r>
        <w:r>
          <w:fldChar w:fldCharType="end"/>
        </w:r>
      </w:p>
    </w:sdtContent>
  </w:sdt>
  <w:p w14:paraId="2B029090" w14:textId="77777777" w:rsidR="00E163CA" w:rsidRDefault="00E163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2AC45" w14:textId="77777777" w:rsidR="00CB5BCC" w:rsidRDefault="00CB5BCC" w:rsidP="00434DAA">
      <w:r>
        <w:separator/>
      </w:r>
    </w:p>
  </w:footnote>
  <w:footnote w:type="continuationSeparator" w:id="0">
    <w:p w14:paraId="3ADFEDB0" w14:textId="77777777" w:rsidR="00CB5BCC" w:rsidRDefault="00CB5BCC" w:rsidP="00434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E.Ref{BF3007C4-FCBE-49A5-BACB-8ADDE9C3DFCE}" w:val=" ADDIN NE.Ref.{BF3007C4-FCBE-49A5-BACB-8ADDE9C3DFCE}&lt;Citation&gt;&lt;Group&gt;&lt;References&gt;&lt;Item&gt;&lt;ID&gt;18&lt;/ID&gt;&lt;UID&gt;{6895481F-03D7-4E99-BFA1-E5E3DBCA4A4A}&lt;/UID&gt;&lt;Title&gt;Combined VEGF and PD-L1 Blockade Displays Synergistic Treatment Effects in an Autochthonous Mouse Model of Small Cell Lung Cancer&lt;/Title&gt;&lt;Template&gt;Journal Article&lt;/Template&gt;&lt;Star&gt;0&lt;/Star&gt;&lt;Tag&gt;0&lt;/Tag&gt;&lt;Author&gt;Meder, L; Schuldt, P; Thelen, M; Schmitt, A; Dietlein, F; Klein, S; Borchmann, S; Wennhold, K; Vlasic, I; Oberbeck, S; Riedel, R; Florin, A; Golfmann, K; Schlosser, H A; Odenthal, M; Buettner, R; Wolf, J; Hallek, M; Herling, M; von Bergwelt-Baildon, M; Reinhardt, H C; Ullrich, R T&lt;/Author&gt;&lt;Year&gt;2018&lt;/Year&gt;&lt;Details&gt;&lt;_accession_num&gt;29776963&lt;/_accession_num&gt;&lt;_author_adr&gt;Department I of Internal Medicine, University Hospital Cologne, Cologne, Germany.; Center for Molecular Medicine Cologne, University of Cologne, Cologne, Germany.; Department I of Internal Medicine, University Hospital Cologne, Cologne, Germany.; Center for Molecular Medicine Cologne, University of Cologne, Cologne, Germany.; Department I of Internal Medicine, University Hospital Cologne, Cologne, Germany.; Cologne Interventional Immunology, University Hospital Cologne, Cologne, Germany.; Department I of Internal Medicine, University Hospital Cologne, Cologne, Germany.; Department of Medical Oncology, Dana-Faber Cancer Institute, Boston, Massachusetts.; Cancer Program, Broad Institute of MIT and Harvard, Cambridge, Massachusetts; US  Institute for Pathology, University Hospital Cologne, Cologne, Germany.; Institute for Pathology, University Hospital Cologne, Cologne, Germany.; Else Kroner Forschungskolleg Clonal Evolution in Cancer, University Hospital Cologne, Cologne, Germany.; Department I of Internal Medicine, University Hospital Cologne, Cologne, Germany.; Center for Molecular Medicine Cologne, University of Cologne, Cologne, Germany.; Else Kroner Forschungskolleg Clonal Evolution in Cancer, University Hospital Cologne, Cologne, Germany.; German Hodgkin Study Group, Department I of Internal Medicine, University Hospital Cologne, Cologne, Germany.; Department I of Internal Medicine, University Hospital Cologne, Cologne, Germany.; Cologne Interventional Immunology, University Hospital Cologne, Cologne, Germany.; Department I of Internal Medicine, University Hospital Cologne, Cologne, Germany.; Department I of Internal Medicine, University Hospital Cologne, Cologne, Germany.; Department I of Internal Medicine, University Hospital Cologne, Cologne, Germany.; Institute for Pathology, University Hospital Cologne, Cologne, Germany.; Department I of Internal Medicine, University Hospital Cologne, Cologne, Germany.; Center for Molecular Medicine Cologne, University of Cologne, Cologne, Germany.; Cologne Interventional Immunology, University Hospital Cologne, Cologne, Germany.; Department of General, Visceral and Cancer Surgery, University Hospital Cologne,  Cologne, Germany.; Center for Molecular Medicine Cologne, University of Cologne, Cologne, Germany.; Institute for Pathology, University Hospital Cologne, Cologne, Germany.; Center for Molecular Medicine Cologne, University of Cologne, Cologne, Germany.; Institute for Pathology, University Hospital Cologne, Cologne, Germany.; Center for Integrated Oncology Cologne/Bonn, University Hospital Cologne, Cologne; University Hospital Bonn, Bonn, Germany.; Department I of Internal Medicine, University Hospital Cologne, Cologne, Germany.; Center for Integrated Oncology Cologne/Bonn, University Hospital Cologne, Cologne; University Hospital Bonn, Bonn, Germany.; Department I of Internal Medicine, University Hospital Cologne, Cologne, Germany.; Center for Integrated Oncology Cologne/Bonn, University Hospital Cologne, Cologne; University Hospital Bonn, Bonn, Germany.; Cologne Excellence Cluster in Cellular Stress Responses and Aging-associated Disorders (CECAD), Cologne, Germany.; Department I of Internal Medicine, University Hospital Cologne, Cologne, Germany.; Center for Molecular Medicine Cologne, University of Cologne, Cologne, Germany.; Center for Integrated Oncology Cologne/Bonn, University Hospital Cologne, Cologne; University Hospital Bonn, Bonn, Germany.; Cologne Excellence Cluster in Cellular Stress Responses and Aging-associated Disorders (CECAD), Cologne, Germany.; Department I of Internal Medicine, University Hospital Cologne, Cologne, Germany.; Cologne Interventional Immunology, University Hospital Cologne, Cologne, Germany.; Center for Integrated Oncology Cologne/Bonn, University Hospital Cologne, Cologne; University Hospital Bonn, Bonn, Germany.; Department I of Internal Medicine, University Hospital Cologne, Cologne, Germany.; Center for Integrated Oncology Cologne/Bonn, University Hospital Cologne, Cologne; University Hospital Bonn, Bonn, Germany.; Cologne Excellence Cluster in Cellular Stress Responses and Aging-associated Disorders (CECAD), Cologne, Germany.; Department I of Internal Medicine, University Hospital Cologne, Cologne, Germany. roland.ullrich@uk-koeln.de.; Center for Molecular Medicine Cologne, University of Cologne, Cologne, Germany.; Center for Integrated Oncology Cologne/Bonn, University Hospital Cologne, Cologne; University Hospital Bonn, Bonn, Germany.&lt;/_author_adr&gt;&lt;_date_display&gt;2018 Aug 1&lt;/_date_display&gt;&lt;_date&gt;2018-08-01&lt;/_date&gt;&lt;_doi&gt;10.1158/0008-5472.CAN-17-2176&lt;/_doi&gt;&lt;_isbn&gt;1538-7445 (Electronic); 0008-5472 (Linking)&lt;/_isbn&gt;&lt;_issue&gt;15&lt;/_issue&gt;&lt;_journal&gt;Cancer Res&lt;/_journal&gt;&lt;_keywords&gt;Animals; Antineoplastic Agents/*pharmacology; B7-H1 Antigen/*antagonists &amp;amp; inhibitors; Cell Line, Tumor; Disease Models, Animal; Female; Lung Neoplasms/*drug therapy/*metabolism; Lymphocytes, Tumor-Infiltrating/drug effects/metabolism; Male; Mice; Mice, Inbred C57BL; Small Cell Lung Carcinoma/*drug therapy/*metabolism; T-Lymphocytes/drug effects/metabolism; Vascular Endothelial Growth Factor A/*antagonists &amp;amp; inhibitors&lt;/_keywords&gt;&lt;_language&gt;eng&lt;/_language&gt;&lt;_ori_publication&gt;(c)2018 American Association for Cancer Research.&lt;/_ori_publication&gt;&lt;_pages&gt;4270-4281&lt;/_pages&gt;&lt;_tertiary_title&gt;Cancer research&lt;/_tertiary_title&gt;&lt;_type_work&gt;Journal Article; Research Support, Non-U.S. Gov&amp;apos;t&lt;/_type_work&gt;&lt;_url&gt;http://www.ncbi.nlm.nih.gov/entrez/query.fcgi?cmd=Retrieve&amp;amp;db=pubmed&amp;amp;dopt=Abstract&amp;amp;list_uids=29776963&amp;amp;query_hl=1&lt;/_url&gt;&lt;_volume&gt;78&lt;/_volume&gt;&lt;_created&gt;63285001&lt;/_created&gt;&lt;_modified&gt;63285001&lt;/_modified&gt;&lt;_impact_factor&gt;   8.378&lt;/_impact_factor&gt;&lt;_collection_scope&gt;SCI;SCIE&lt;/_collection_scope&gt;&lt;/Details&gt;&lt;Extra&gt;&lt;DBUID&gt;{9F79E88C-CA67-4FA5-B322-C11AA476D334}&lt;/DBUID&gt;&lt;/Extra&gt;&lt;/Item&gt;&lt;/References&gt;&lt;/Group&gt;&lt;/Citation&gt;_x000a_"/>
    <w:docVar w:name="NE.Ref{FE337A22-DD9F-4ACF-86A7-9FAA32EF11C9}" w:val=" ADDIN NE.Ref.{FE337A22-DD9F-4ACF-86A7-9FAA32EF11C9}&lt;Citation&gt;&lt;Group&gt;&lt;References&gt;&lt;Item&gt;&lt;ID&gt;59&lt;/ID&gt;&lt;UID&gt;{B9483606-B163-4D51-8847-2FC7D7797A9E}&lt;/UID&gt;&lt;Title&gt;The dual blockade of MET and VEGFR2 signaling demonstrates pronounced inhibition on  tumor growth and metastasis of hepatocellular carcinoma&lt;/Title&gt;&lt;Template&gt;Journal Article&lt;/Template&gt;&lt;Star&gt;0&lt;/Star&gt;&lt;Tag&gt;0&lt;/Tag&gt;&lt;Author&gt;Zhang, Y; Gao, X; Zhu, Y; Kadel, D; Sun, H; Chen, J; Luo, Q; Sun, H; Yang, L; Yang, J; Sheng, Y; Zheng, Y; Zhu, K; Dong, Q; Qin, L&lt;/Author&gt;&lt;Year&gt;2018&lt;/Year&gt;&lt;Details&gt;&lt;_accession_num&gt;29712569&lt;/_accession_num&gt;&lt;_author_adr&gt;Department of General Surgery, Huashan Hospital, Cancer Metastasis Institute and  Institutes of Biomedical Sciences, Fudan University, 12 Urumqi Road (M), Shanghai,  200040, China.; Department of General Surgery, Huashan Hospital, Cancer Metastasis Institute and  Institutes of Biomedical Sciences, Fudan University, 12 Urumqi Road (M), Shanghai,  200040, China.; Department of General Surgery, Huashan Hospital, Cancer Metastasis Institute and  Institutes of Biomedical Sciences, Fudan University, 12 Urumqi Road (M), Shanghai,  200040, China.; Department of General Surgery, Huashan Hospital, Cancer Metastasis Institute and  Institutes of Biomedical Sciences, Fudan University, 12 Urumqi Road (M), Shanghai,  200040, China.; Department of General Surgery, Huashan Hospital, Cancer Metastasis Institute and  Institutes of Biomedical Sciences, Fudan University, 12 Urumqi Road (M), Shanghai,  200040, China.; Department of Pharmacology and Cancer Biology, Duke University School of Medicine,  Duke University, Durham, NC, USA.; Duke Cancer Institute, Duke University, Durham, NC, USA.; Department of General Surgery, Huashan Hospital, Cancer Metastasis Institute and  Institutes of Biomedical Sciences, Fudan University, 12 Urumqi Road (M), Shanghai,  200040, China.; Department of General Surgery, Huashan Hospital, Cancer Metastasis Institute and  Institutes of Biomedical Sciences, Fudan University, 12 Urumqi Road (M), Shanghai,  200040, China.; Department of General Surgery, Huashan Hospital, Cancer Metastasis Institute and  Institutes of Biomedical Sciences, Fudan University, 12 Urumqi Road (M), Shanghai,  200040, China.; Department of General Surgery, Huashan Hospital, Cancer Metastasis Institute and  Institutes of Biomedical Sciences, Fudan University, 12 Urumqi Road (M), Shanghai,  200040, China.; Department of General Surgery, Huashan Hospital, Cancer Metastasis Institute and  Institutes of Biomedical Sciences, Fudan University, 12 Urumqi Road (M), Shanghai,  200040, China.; Department of General Surgery, Huashan Hospital, Cancer Metastasis Institute and  Institutes of Biomedical Sciences, Fudan University, 12 Urumqi Road (M), Shanghai,  200040, China.; Kanion Research Institute, 58 Kangyuan Road, Lianyungang, 222002, Jiangsu, China.  kjzkanion@hotmail.com.; Department of General Surgery, Huashan Hospital, Cancer Metastasis Institute and  Institutes of Biomedical Sciences, Fudan University, 12 Urumqi Road (M), Shanghai,  200040, China. qzhdong@fudan.edu.cn.; Department of General Surgery, Huashan Hospital, Cancer Metastasis Institute and  Institutes of Biomedical Sciences, Fudan University, 12 Urumqi Road (M), Shanghai,  200040, China. qinlx@fudan.edu.cn.&lt;/_author_adr&gt;&lt;_date_display&gt;2018 Apr 30&lt;/_date_display&gt;&lt;_date&gt;2018-04-30&lt;/_date&gt;&lt;_doi&gt;10.1186/s13046-018-0750-2&lt;/_doi&gt;&lt;_isbn&gt;1756-9966 (Electronic); 0392-9078 (Print); 0392-9078 (Linking)&lt;/_isbn&gt;&lt;_issue&gt;1&lt;/_issue&gt;&lt;_journal&gt;J Exp Clin Cancer Res&lt;/_journal&gt;&lt;_keywords&gt;Hepatocellular carcinoma; MET; Metastasis; Molecular targeted blockade; VEGFR2&lt;/_keywords&gt;&lt;_language&gt;eng&lt;/_language&gt;&lt;_pages&gt;93&lt;/_pages&gt;&lt;_subject_headings&gt;Animals; Carcinoma, Hepatocellular/*genetics/pathology; Disease Models, Animal; Humans; Liver Neoplasms/*genetics/pathology; Mice; Neoplasm Metastasis; Proto-Oncogene Proteins c-met/*metabolism; Signal Transduction; Vascular Endothelial Growth Factor Receptor-2/*metabolism&lt;/_subject_headings&gt;&lt;_tertiary_title&gt;Journal of experimental &amp;amp; clinical cancer research : CR&lt;/_tertiary_title&gt;&lt;_type_work&gt;Journal Article&lt;/_type_work&gt;&lt;_url&gt;http://www.ncbi.nlm.nih.gov/entrez/query.fcgi?cmd=Retrieve&amp;amp;db=pubmed&amp;amp;dopt=Abstract&amp;amp;list_uids=29712569&amp;amp;query_hl=1&lt;/_url&gt;&lt;_volume&gt;37&lt;/_volume&gt;&lt;_created&gt;63327860&lt;/_created&gt;&lt;_modified&gt;63327860&lt;/_modified&gt;&lt;_impact_factor&gt;   5.646&lt;/_impact_factor&gt;&lt;/Details&gt;&lt;Extra&gt;&lt;DBUID&gt;{9F79E88C-CA67-4FA5-B322-C11AA476D334}&lt;/DBUID&gt;&lt;/Extra&gt;&lt;/Item&gt;&lt;/References&gt;&lt;/Group&gt;&lt;/Citation&gt;_x000a_"/>
    <w:docVar w:name="ne_docsoft" w:val="MSWord"/>
    <w:docVar w:name="ne_docversion" w:val="NoteExpress 2.0"/>
    <w:docVar w:name="ne_stylename" w:val="BMC Cancer"/>
  </w:docVars>
  <w:rsids>
    <w:rsidRoot w:val="00975185"/>
    <w:rsid w:val="00001692"/>
    <w:rsid w:val="000021D1"/>
    <w:rsid w:val="0001360E"/>
    <w:rsid w:val="00022C91"/>
    <w:rsid w:val="00033099"/>
    <w:rsid w:val="000462D8"/>
    <w:rsid w:val="00052B5B"/>
    <w:rsid w:val="000534FB"/>
    <w:rsid w:val="000545D3"/>
    <w:rsid w:val="00077C69"/>
    <w:rsid w:val="000A5B92"/>
    <w:rsid w:val="000A6D93"/>
    <w:rsid w:val="000B465F"/>
    <w:rsid w:val="000B6549"/>
    <w:rsid w:val="000B7577"/>
    <w:rsid w:val="000D129B"/>
    <w:rsid w:val="000D345E"/>
    <w:rsid w:val="000D3C4E"/>
    <w:rsid w:val="000D7F94"/>
    <w:rsid w:val="000E3980"/>
    <w:rsid w:val="001017A4"/>
    <w:rsid w:val="00104401"/>
    <w:rsid w:val="001138F2"/>
    <w:rsid w:val="001143B7"/>
    <w:rsid w:val="001153FE"/>
    <w:rsid w:val="001172D0"/>
    <w:rsid w:val="00132E20"/>
    <w:rsid w:val="00133A36"/>
    <w:rsid w:val="00134520"/>
    <w:rsid w:val="001423EF"/>
    <w:rsid w:val="00153F01"/>
    <w:rsid w:val="00161159"/>
    <w:rsid w:val="00167C77"/>
    <w:rsid w:val="00172D8B"/>
    <w:rsid w:val="00175E3C"/>
    <w:rsid w:val="001921A2"/>
    <w:rsid w:val="0019304F"/>
    <w:rsid w:val="0019576C"/>
    <w:rsid w:val="001B41B1"/>
    <w:rsid w:val="001B648B"/>
    <w:rsid w:val="001C3370"/>
    <w:rsid w:val="001C3DD6"/>
    <w:rsid w:val="001D7CEF"/>
    <w:rsid w:val="001E6382"/>
    <w:rsid w:val="001F556E"/>
    <w:rsid w:val="0020349F"/>
    <w:rsid w:val="00203658"/>
    <w:rsid w:val="00205D94"/>
    <w:rsid w:val="00216EED"/>
    <w:rsid w:val="0022094A"/>
    <w:rsid w:val="00224D6F"/>
    <w:rsid w:val="002358F1"/>
    <w:rsid w:val="0026199F"/>
    <w:rsid w:val="002722A8"/>
    <w:rsid w:val="002777CF"/>
    <w:rsid w:val="002814A7"/>
    <w:rsid w:val="00296408"/>
    <w:rsid w:val="002A5D55"/>
    <w:rsid w:val="002B232B"/>
    <w:rsid w:val="002B2414"/>
    <w:rsid w:val="002B3D86"/>
    <w:rsid w:val="002B5A6F"/>
    <w:rsid w:val="002C2BA6"/>
    <w:rsid w:val="002D382C"/>
    <w:rsid w:val="002E098A"/>
    <w:rsid w:val="002E381F"/>
    <w:rsid w:val="002F2883"/>
    <w:rsid w:val="002F6FFA"/>
    <w:rsid w:val="00310625"/>
    <w:rsid w:val="00321D87"/>
    <w:rsid w:val="00331B19"/>
    <w:rsid w:val="00344D13"/>
    <w:rsid w:val="00354939"/>
    <w:rsid w:val="00383D1B"/>
    <w:rsid w:val="003956D3"/>
    <w:rsid w:val="003A54B3"/>
    <w:rsid w:val="003B1791"/>
    <w:rsid w:val="003C4BA2"/>
    <w:rsid w:val="003E43EB"/>
    <w:rsid w:val="00412277"/>
    <w:rsid w:val="00422BBB"/>
    <w:rsid w:val="00434DAA"/>
    <w:rsid w:val="004406B9"/>
    <w:rsid w:val="00443C9F"/>
    <w:rsid w:val="00470CAF"/>
    <w:rsid w:val="00477747"/>
    <w:rsid w:val="004A166E"/>
    <w:rsid w:val="004B1FEA"/>
    <w:rsid w:val="004E0461"/>
    <w:rsid w:val="004F0D3C"/>
    <w:rsid w:val="004F3AA8"/>
    <w:rsid w:val="005007DE"/>
    <w:rsid w:val="00502909"/>
    <w:rsid w:val="00523E15"/>
    <w:rsid w:val="005247E4"/>
    <w:rsid w:val="005363BE"/>
    <w:rsid w:val="00536808"/>
    <w:rsid w:val="00544460"/>
    <w:rsid w:val="00545CC0"/>
    <w:rsid w:val="005541C9"/>
    <w:rsid w:val="005543C7"/>
    <w:rsid w:val="00557080"/>
    <w:rsid w:val="00571D4E"/>
    <w:rsid w:val="005A0C55"/>
    <w:rsid w:val="005A1237"/>
    <w:rsid w:val="005B2664"/>
    <w:rsid w:val="005B2CC8"/>
    <w:rsid w:val="005B3226"/>
    <w:rsid w:val="005B5644"/>
    <w:rsid w:val="005B5962"/>
    <w:rsid w:val="005C2C73"/>
    <w:rsid w:val="005D0612"/>
    <w:rsid w:val="005D1FD1"/>
    <w:rsid w:val="005E2B9F"/>
    <w:rsid w:val="005E596E"/>
    <w:rsid w:val="005F4850"/>
    <w:rsid w:val="00601B3D"/>
    <w:rsid w:val="0061184C"/>
    <w:rsid w:val="00633753"/>
    <w:rsid w:val="00637771"/>
    <w:rsid w:val="006420FA"/>
    <w:rsid w:val="00670FF9"/>
    <w:rsid w:val="00680BDD"/>
    <w:rsid w:val="00684338"/>
    <w:rsid w:val="00685C0E"/>
    <w:rsid w:val="006878B0"/>
    <w:rsid w:val="006B3C9F"/>
    <w:rsid w:val="006D6419"/>
    <w:rsid w:val="006E7251"/>
    <w:rsid w:val="006F38B4"/>
    <w:rsid w:val="006F3FB5"/>
    <w:rsid w:val="006F4CEC"/>
    <w:rsid w:val="006F6372"/>
    <w:rsid w:val="00705D35"/>
    <w:rsid w:val="00717C2B"/>
    <w:rsid w:val="00722D7F"/>
    <w:rsid w:val="0073292B"/>
    <w:rsid w:val="00734746"/>
    <w:rsid w:val="00736E41"/>
    <w:rsid w:val="00737F7F"/>
    <w:rsid w:val="00751005"/>
    <w:rsid w:val="007519E7"/>
    <w:rsid w:val="00756966"/>
    <w:rsid w:val="00763E9D"/>
    <w:rsid w:val="00772C4C"/>
    <w:rsid w:val="0078013A"/>
    <w:rsid w:val="0078744C"/>
    <w:rsid w:val="0079021F"/>
    <w:rsid w:val="007A0BAC"/>
    <w:rsid w:val="007A0ECA"/>
    <w:rsid w:val="007A21DA"/>
    <w:rsid w:val="007A7B03"/>
    <w:rsid w:val="007A7FAA"/>
    <w:rsid w:val="007D4A6A"/>
    <w:rsid w:val="007F281B"/>
    <w:rsid w:val="008049E1"/>
    <w:rsid w:val="00814D45"/>
    <w:rsid w:val="0081509D"/>
    <w:rsid w:val="00823CE8"/>
    <w:rsid w:val="00840BA8"/>
    <w:rsid w:val="0086035A"/>
    <w:rsid w:val="008736F1"/>
    <w:rsid w:val="00875AC3"/>
    <w:rsid w:val="00886955"/>
    <w:rsid w:val="00893C71"/>
    <w:rsid w:val="00896765"/>
    <w:rsid w:val="008A6DEB"/>
    <w:rsid w:val="008A7024"/>
    <w:rsid w:val="008B2254"/>
    <w:rsid w:val="008B5A74"/>
    <w:rsid w:val="008C1151"/>
    <w:rsid w:val="008C30BD"/>
    <w:rsid w:val="008C32E0"/>
    <w:rsid w:val="008C56FE"/>
    <w:rsid w:val="008D16A5"/>
    <w:rsid w:val="008D2ABA"/>
    <w:rsid w:val="008D3A97"/>
    <w:rsid w:val="008F7A85"/>
    <w:rsid w:val="00933DE8"/>
    <w:rsid w:val="0093537F"/>
    <w:rsid w:val="00936436"/>
    <w:rsid w:val="00942A8F"/>
    <w:rsid w:val="009474DE"/>
    <w:rsid w:val="00951823"/>
    <w:rsid w:val="00954CE5"/>
    <w:rsid w:val="00956EB1"/>
    <w:rsid w:val="009622C1"/>
    <w:rsid w:val="00975185"/>
    <w:rsid w:val="00977AEA"/>
    <w:rsid w:val="00991AB1"/>
    <w:rsid w:val="009A6756"/>
    <w:rsid w:val="009B0EC3"/>
    <w:rsid w:val="009B117A"/>
    <w:rsid w:val="009B3538"/>
    <w:rsid w:val="009C3774"/>
    <w:rsid w:val="009C504E"/>
    <w:rsid w:val="009C51D1"/>
    <w:rsid w:val="009D15A5"/>
    <w:rsid w:val="009D7C3C"/>
    <w:rsid w:val="009F59B5"/>
    <w:rsid w:val="00A003A8"/>
    <w:rsid w:val="00A125E2"/>
    <w:rsid w:val="00A2058E"/>
    <w:rsid w:val="00A36C2B"/>
    <w:rsid w:val="00A3782C"/>
    <w:rsid w:val="00A43673"/>
    <w:rsid w:val="00A505AC"/>
    <w:rsid w:val="00A508BA"/>
    <w:rsid w:val="00A6372D"/>
    <w:rsid w:val="00A70DAB"/>
    <w:rsid w:val="00A744B5"/>
    <w:rsid w:val="00A81EF0"/>
    <w:rsid w:val="00A90194"/>
    <w:rsid w:val="00A91BDB"/>
    <w:rsid w:val="00A97701"/>
    <w:rsid w:val="00AB19C3"/>
    <w:rsid w:val="00AB6C4B"/>
    <w:rsid w:val="00AC51CB"/>
    <w:rsid w:val="00AD0670"/>
    <w:rsid w:val="00AD2952"/>
    <w:rsid w:val="00AD388A"/>
    <w:rsid w:val="00AD5797"/>
    <w:rsid w:val="00AD6B08"/>
    <w:rsid w:val="00B0193D"/>
    <w:rsid w:val="00B100A6"/>
    <w:rsid w:val="00B10A96"/>
    <w:rsid w:val="00B138C6"/>
    <w:rsid w:val="00B24F99"/>
    <w:rsid w:val="00B32BCC"/>
    <w:rsid w:val="00B41D2E"/>
    <w:rsid w:val="00B54DDB"/>
    <w:rsid w:val="00B91E81"/>
    <w:rsid w:val="00B94647"/>
    <w:rsid w:val="00B95DFA"/>
    <w:rsid w:val="00BA38E4"/>
    <w:rsid w:val="00BB08E1"/>
    <w:rsid w:val="00BF35CF"/>
    <w:rsid w:val="00C107B8"/>
    <w:rsid w:val="00C21CC7"/>
    <w:rsid w:val="00C21F30"/>
    <w:rsid w:val="00C22261"/>
    <w:rsid w:val="00C2474E"/>
    <w:rsid w:val="00C24A1E"/>
    <w:rsid w:val="00C5201B"/>
    <w:rsid w:val="00C669CB"/>
    <w:rsid w:val="00C763E4"/>
    <w:rsid w:val="00C859FC"/>
    <w:rsid w:val="00CA042C"/>
    <w:rsid w:val="00CB176B"/>
    <w:rsid w:val="00CB5BCC"/>
    <w:rsid w:val="00CB75A8"/>
    <w:rsid w:val="00CC7564"/>
    <w:rsid w:val="00CC7FE4"/>
    <w:rsid w:val="00CD4877"/>
    <w:rsid w:val="00CE1C94"/>
    <w:rsid w:val="00CE3022"/>
    <w:rsid w:val="00CE6CEE"/>
    <w:rsid w:val="00CF007B"/>
    <w:rsid w:val="00D11782"/>
    <w:rsid w:val="00D12A97"/>
    <w:rsid w:val="00D42D3A"/>
    <w:rsid w:val="00D440E6"/>
    <w:rsid w:val="00D44F31"/>
    <w:rsid w:val="00D6247A"/>
    <w:rsid w:val="00D80AD4"/>
    <w:rsid w:val="00DC3C83"/>
    <w:rsid w:val="00DC7610"/>
    <w:rsid w:val="00DD07A0"/>
    <w:rsid w:val="00DD1A1C"/>
    <w:rsid w:val="00DD3055"/>
    <w:rsid w:val="00DE52FA"/>
    <w:rsid w:val="00DE7F12"/>
    <w:rsid w:val="00DF1B3D"/>
    <w:rsid w:val="00DF7E5E"/>
    <w:rsid w:val="00E008E4"/>
    <w:rsid w:val="00E04510"/>
    <w:rsid w:val="00E1102F"/>
    <w:rsid w:val="00E15745"/>
    <w:rsid w:val="00E163CA"/>
    <w:rsid w:val="00E221EB"/>
    <w:rsid w:val="00E31F1A"/>
    <w:rsid w:val="00E32DEF"/>
    <w:rsid w:val="00E50066"/>
    <w:rsid w:val="00E61CC2"/>
    <w:rsid w:val="00E65C00"/>
    <w:rsid w:val="00E732FC"/>
    <w:rsid w:val="00E81AFC"/>
    <w:rsid w:val="00E85CD8"/>
    <w:rsid w:val="00EA4B8C"/>
    <w:rsid w:val="00ED38FB"/>
    <w:rsid w:val="00ED4662"/>
    <w:rsid w:val="00EE1BDB"/>
    <w:rsid w:val="00EE38B2"/>
    <w:rsid w:val="00EF4E7D"/>
    <w:rsid w:val="00EF73B9"/>
    <w:rsid w:val="00F0498F"/>
    <w:rsid w:val="00F12F75"/>
    <w:rsid w:val="00F208B0"/>
    <w:rsid w:val="00F35C87"/>
    <w:rsid w:val="00F656CC"/>
    <w:rsid w:val="00F70F92"/>
    <w:rsid w:val="00F805FE"/>
    <w:rsid w:val="00F93954"/>
    <w:rsid w:val="00FA7927"/>
    <w:rsid w:val="00FB1308"/>
    <w:rsid w:val="00FD0BC0"/>
    <w:rsid w:val="00FD7610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FDEEF"/>
  <w15:chartTrackingRefBased/>
  <w15:docId w15:val="{1BF144BA-5788-4A5F-A545-25A7C9FB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DAA"/>
    <w:pPr>
      <w:widowControl w:val="0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4D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4DAA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4DAA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F12F75"/>
  </w:style>
  <w:style w:type="paragraph" w:styleId="a8">
    <w:name w:val="Balloon Text"/>
    <w:basedOn w:val="a"/>
    <w:link w:val="a9"/>
    <w:uiPriority w:val="99"/>
    <w:semiHidden/>
    <w:unhideWhenUsed/>
    <w:rsid w:val="002358F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358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2FEF0-C359-4D08-A146-C160A08B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9975</TotalTime>
  <Pages>5</Pages>
  <Words>1156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</dc:creator>
  <cp:keywords/>
  <dc:description>NE.Rep</dc:description>
  <cp:lastModifiedBy>张 钰</cp:lastModifiedBy>
  <cp:revision>409</cp:revision>
  <cp:lastPrinted>2020-05-03T03:13:00Z</cp:lastPrinted>
  <dcterms:created xsi:type="dcterms:W3CDTF">2018-03-28T07:05:00Z</dcterms:created>
  <dcterms:modified xsi:type="dcterms:W3CDTF">2021-03-11T13:04:00Z</dcterms:modified>
</cp:coreProperties>
</file>