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F1C5" w14:textId="280E431F" w:rsidR="00BE6FBC" w:rsidRPr="00FD5D16" w:rsidRDefault="00BE6FBC" w:rsidP="00BE6FBC">
      <w:pPr>
        <w:rPr>
          <w:b/>
          <w:bCs/>
          <w:lang w:val="en-GB"/>
        </w:rPr>
      </w:pPr>
      <w:r w:rsidRPr="00FD5D16">
        <w:rPr>
          <w:b/>
          <w:bCs/>
          <w:lang w:val="en-GB"/>
        </w:rPr>
        <w:t xml:space="preserve">Additional file </w:t>
      </w:r>
      <w:r w:rsidR="001A2B53" w:rsidRPr="00FD5D16">
        <w:rPr>
          <w:b/>
          <w:bCs/>
          <w:lang w:val="en-GB"/>
        </w:rPr>
        <w:t>1</w:t>
      </w:r>
      <w:r w:rsidRPr="00FD5D16">
        <w:rPr>
          <w:b/>
          <w:bCs/>
          <w:lang w:val="en-GB"/>
        </w:rPr>
        <w:t>. Outcomes for pre-defined subgroups</w:t>
      </w:r>
    </w:p>
    <w:p w14:paraId="050A3DD5" w14:textId="77777777" w:rsidR="00BE6FBC" w:rsidRPr="00FD5D16" w:rsidRDefault="00BE6FBC" w:rsidP="00BE6FBC">
      <w:pPr>
        <w:rPr>
          <w:b/>
          <w:bCs/>
          <w:lang w:val="en-GB"/>
        </w:rPr>
      </w:pPr>
    </w:p>
    <w:p w14:paraId="678D1071" w14:textId="77777777" w:rsidR="00BE6FBC" w:rsidRPr="00FD5D16" w:rsidRDefault="00BE6FBC" w:rsidP="00BE6FBC">
      <w:pPr>
        <w:rPr>
          <w:b/>
          <w:bCs/>
          <w:lang w:val="en-GB"/>
        </w:rPr>
      </w:pPr>
    </w:p>
    <w:p w14:paraId="17837FCB" w14:textId="6FECB949" w:rsidR="00BE6FBC" w:rsidRPr="00FD5D16" w:rsidRDefault="00BE6FBC" w:rsidP="00BE6FBC">
      <w:pPr>
        <w:rPr>
          <w:b/>
          <w:bCs/>
          <w:lang w:val="en-GB"/>
        </w:rPr>
        <w:sectPr w:rsidR="00BE6FBC" w:rsidRPr="00FD5D16" w:rsidSect="00BE6FBC">
          <w:endnotePr>
            <w:numFmt w:val="lowerLetter"/>
          </w:endnotePr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nt"/>
        <w:tblW w:w="14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047"/>
        <w:gridCol w:w="2047"/>
        <w:gridCol w:w="2047"/>
        <w:gridCol w:w="1938"/>
        <w:gridCol w:w="3821"/>
      </w:tblGrid>
      <w:tr w:rsidR="0038181C" w:rsidRPr="00BA63DD" w14:paraId="2B4762CC" w14:textId="77777777" w:rsidTr="004A3BD3">
        <w:tc>
          <w:tcPr>
            <w:tcW w:w="14310" w:type="dxa"/>
            <w:gridSpan w:val="6"/>
          </w:tcPr>
          <w:p w14:paraId="2ACA3B08" w14:textId="58FCDCBE" w:rsidR="0038181C" w:rsidRPr="00FD5D16" w:rsidRDefault="0038181C" w:rsidP="0038181C">
            <w:pPr>
              <w:spacing w:after="160"/>
              <w:rPr>
                <w:b/>
                <w:bCs/>
                <w:lang w:val="en-GB"/>
              </w:rPr>
            </w:pPr>
            <w:r w:rsidRPr="00FD5D16">
              <w:rPr>
                <w:b/>
                <w:bCs/>
                <w:lang w:val="en-GB"/>
              </w:rPr>
              <w:t>Subgroup Sepsis, n= 3 016. Multivariable regression analyses with 95% confidence interval for odds or hazard ratio</w:t>
            </w:r>
            <w:r w:rsidRPr="00FD5D16">
              <w:rPr>
                <w:b/>
                <w:bCs/>
                <w:vertAlign w:val="superscript"/>
                <w:lang w:val="en-GB"/>
              </w:rPr>
              <w:endnoteReference w:id="1"/>
            </w:r>
          </w:p>
        </w:tc>
      </w:tr>
      <w:tr w:rsidR="0038181C" w:rsidRPr="00FD5D16" w14:paraId="491955AE" w14:textId="4C0C790F" w:rsidTr="004A3BD3">
        <w:trPr>
          <w:gridAfter w:val="1"/>
          <w:wAfter w:w="3821" w:type="dxa"/>
        </w:trPr>
        <w:tc>
          <w:tcPr>
            <w:tcW w:w="2410" w:type="dxa"/>
          </w:tcPr>
          <w:p w14:paraId="6CA5EB1F" w14:textId="77777777" w:rsidR="0038181C" w:rsidRPr="00FD5D16" w:rsidRDefault="0038181C" w:rsidP="00BE6FBC">
            <w:pPr>
              <w:rPr>
                <w:b/>
                <w:bCs/>
                <w:lang w:val="en-GB"/>
              </w:rPr>
            </w:pPr>
          </w:p>
        </w:tc>
        <w:tc>
          <w:tcPr>
            <w:tcW w:w="2047" w:type="dxa"/>
          </w:tcPr>
          <w:p w14:paraId="58A208C1" w14:textId="77777777" w:rsidR="0038181C" w:rsidRPr="00FD5D16" w:rsidRDefault="0038181C" w:rsidP="00BE6FBC">
            <w:pPr>
              <w:rPr>
                <w:b/>
                <w:bCs/>
                <w:lang w:val="en-GB"/>
              </w:rPr>
            </w:pPr>
            <w:proofErr w:type="spellStart"/>
            <w:r w:rsidRPr="00FD5D16">
              <w:rPr>
                <w:b/>
                <w:bCs/>
                <w:lang w:val="en-GB"/>
              </w:rPr>
              <w:t>Blgrp</w:t>
            </w:r>
            <w:proofErr w:type="spellEnd"/>
            <w:r w:rsidRPr="00FD5D16">
              <w:rPr>
                <w:b/>
                <w:bCs/>
                <w:lang w:val="en-GB"/>
              </w:rPr>
              <w:t xml:space="preserve"> A</w:t>
            </w:r>
          </w:p>
        </w:tc>
        <w:tc>
          <w:tcPr>
            <w:tcW w:w="2047" w:type="dxa"/>
          </w:tcPr>
          <w:p w14:paraId="5B36C0FC" w14:textId="77777777" w:rsidR="0038181C" w:rsidRPr="00FD5D16" w:rsidRDefault="0038181C" w:rsidP="00BE6FBC">
            <w:pPr>
              <w:rPr>
                <w:b/>
                <w:bCs/>
                <w:lang w:val="en-GB"/>
              </w:rPr>
            </w:pPr>
            <w:proofErr w:type="spellStart"/>
            <w:r w:rsidRPr="00FD5D16">
              <w:rPr>
                <w:b/>
                <w:bCs/>
                <w:lang w:val="en-GB"/>
              </w:rPr>
              <w:t>Blgrp</w:t>
            </w:r>
            <w:proofErr w:type="spellEnd"/>
            <w:r w:rsidRPr="00FD5D16">
              <w:rPr>
                <w:b/>
                <w:bCs/>
                <w:lang w:val="en-GB"/>
              </w:rPr>
              <w:t xml:space="preserve"> B</w:t>
            </w:r>
          </w:p>
        </w:tc>
        <w:tc>
          <w:tcPr>
            <w:tcW w:w="2047" w:type="dxa"/>
          </w:tcPr>
          <w:p w14:paraId="5E965A76" w14:textId="77777777" w:rsidR="0038181C" w:rsidRPr="00FD5D16" w:rsidRDefault="0038181C" w:rsidP="00BE6FBC">
            <w:pPr>
              <w:rPr>
                <w:b/>
                <w:bCs/>
                <w:lang w:val="en-GB"/>
              </w:rPr>
            </w:pPr>
            <w:proofErr w:type="spellStart"/>
            <w:r w:rsidRPr="00FD5D16">
              <w:rPr>
                <w:b/>
                <w:bCs/>
                <w:lang w:val="en-GB"/>
              </w:rPr>
              <w:t>Blgrp</w:t>
            </w:r>
            <w:proofErr w:type="spellEnd"/>
            <w:r w:rsidRPr="00FD5D16">
              <w:rPr>
                <w:b/>
                <w:bCs/>
                <w:lang w:val="en-GB"/>
              </w:rPr>
              <w:t xml:space="preserve"> AB</w:t>
            </w:r>
          </w:p>
        </w:tc>
        <w:tc>
          <w:tcPr>
            <w:tcW w:w="1938" w:type="dxa"/>
          </w:tcPr>
          <w:p w14:paraId="158D242C" w14:textId="5635BFD6" w:rsidR="0038181C" w:rsidRPr="00FD5D16" w:rsidRDefault="0038181C" w:rsidP="00BE6FBC">
            <w:pPr>
              <w:rPr>
                <w:b/>
                <w:bCs/>
                <w:lang w:val="en-GB"/>
              </w:rPr>
            </w:pPr>
            <w:proofErr w:type="spellStart"/>
            <w:r w:rsidRPr="00FD5D16">
              <w:rPr>
                <w:b/>
                <w:bCs/>
                <w:lang w:val="en-GB"/>
              </w:rPr>
              <w:t>Rh</w:t>
            </w:r>
            <w:r w:rsidR="004A3BD3" w:rsidRPr="00FD5D16">
              <w:rPr>
                <w:b/>
                <w:bCs/>
                <w:lang w:val="en-GB"/>
              </w:rPr>
              <w:t>D</w:t>
            </w:r>
            <w:proofErr w:type="spellEnd"/>
            <w:r w:rsidRPr="00FD5D16">
              <w:rPr>
                <w:b/>
                <w:bCs/>
                <w:lang w:val="en-GB"/>
              </w:rPr>
              <w:t xml:space="preserve"> positive</w:t>
            </w:r>
          </w:p>
        </w:tc>
      </w:tr>
      <w:tr w:rsidR="0038181C" w:rsidRPr="00FD5D16" w14:paraId="0E4EBCD0" w14:textId="62B158CA" w:rsidTr="004A3BD3">
        <w:trPr>
          <w:gridAfter w:val="1"/>
          <w:wAfter w:w="3821" w:type="dxa"/>
        </w:trPr>
        <w:tc>
          <w:tcPr>
            <w:tcW w:w="2410" w:type="dxa"/>
          </w:tcPr>
          <w:p w14:paraId="6BF8D4DE" w14:textId="77777777" w:rsidR="0038181C" w:rsidRPr="00FD5D16" w:rsidRDefault="0038181C" w:rsidP="00BE6FBC">
            <w:pPr>
              <w:rPr>
                <w:b/>
                <w:bCs/>
                <w:lang w:val="en-GB"/>
              </w:rPr>
            </w:pPr>
            <w:r w:rsidRPr="00FD5D16">
              <w:rPr>
                <w:b/>
                <w:bCs/>
                <w:lang w:val="en-GB"/>
              </w:rPr>
              <w:t>Mortality</w:t>
            </w:r>
          </w:p>
        </w:tc>
        <w:tc>
          <w:tcPr>
            <w:tcW w:w="2047" w:type="dxa"/>
          </w:tcPr>
          <w:p w14:paraId="6FDDCC2D" w14:textId="77777777" w:rsidR="0038181C" w:rsidRPr="00FD5D16" w:rsidRDefault="0038181C" w:rsidP="00BE6FBC">
            <w:pPr>
              <w:rPr>
                <w:lang w:val="en-GB"/>
              </w:rPr>
            </w:pPr>
          </w:p>
        </w:tc>
        <w:tc>
          <w:tcPr>
            <w:tcW w:w="2047" w:type="dxa"/>
          </w:tcPr>
          <w:p w14:paraId="2AEEBAC8" w14:textId="77777777" w:rsidR="0038181C" w:rsidRPr="00FD5D16" w:rsidRDefault="0038181C" w:rsidP="00BE6FBC">
            <w:pPr>
              <w:rPr>
                <w:lang w:val="en-GB"/>
              </w:rPr>
            </w:pPr>
          </w:p>
        </w:tc>
        <w:tc>
          <w:tcPr>
            <w:tcW w:w="2047" w:type="dxa"/>
          </w:tcPr>
          <w:p w14:paraId="23805BCE" w14:textId="77777777" w:rsidR="0038181C" w:rsidRPr="00FD5D16" w:rsidRDefault="0038181C" w:rsidP="00BE6FBC">
            <w:pPr>
              <w:rPr>
                <w:lang w:val="en-GB"/>
              </w:rPr>
            </w:pPr>
          </w:p>
        </w:tc>
        <w:tc>
          <w:tcPr>
            <w:tcW w:w="1938" w:type="dxa"/>
          </w:tcPr>
          <w:p w14:paraId="48A82F0C" w14:textId="77777777" w:rsidR="0038181C" w:rsidRPr="00FD5D16" w:rsidRDefault="0038181C" w:rsidP="00BE6FBC">
            <w:pPr>
              <w:rPr>
                <w:lang w:val="en-GB"/>
              </w:rPr>
            </w:pPr>
          </w:p>
        </w:tc>
      </w:tr>
      <w:tr w:rsidR="0038181C" w:rsidRPr="00FD5D16" w14:paraId="3A30D387" w14:textId="7721CE40" w:rsidTr="004A3BD3">
        <w:trPr>
          <w:gridAfter w:val="1"/>
          <w:wAfter w:w="3821" w:type="dxa"/>
        </w:trPr>
        <w:tc>
          <w:tcPr>
            <w:tcW w:w="2410" w:type="dxa"/>
          </w:tcPr>
          <w:p w14:paraId="7DAE3C45" w14:textId="77777777" w:rsidR="0038181C" w:rsidRPr="00FD5D16" w:rsidRDefault="0038181C" w:rsidP="003C706F">
            <w:pPr>
              <w:rPr>
                <w:lang w:val="en-GB"/>
              </w:rPr>
            </w:pPr>
            <w:r w:rsidRPr="00FD5D16">
              <w:rPr>
                <w:lang w:val="en-GB"/>
              </w:rPr>
              <w:t>28–day mortality</w:t>
            </w:r>
          </w:p>
        </w:tc>
        <w:tc>
          <w:tcPr>
            <w:tcW w:w="2047" w:type="dxa"/>
          </w:tcPr>
          <w:p w14:paraId="4401F16F" w14:textId="43A5F552" w:rsidR="0038181C" w:rsidRPr="00FD5D16" w:rsidRDefault="0038181C" w:rsidP="003C706F">
            <w:pPr>
              <w:rPr>
                <w:lang w:val="en-GB"/>
              </w:rPr>
            </w:pPr>
            <w:r w:rsidRPr="00FD5D16">
              <w:rPr>
                <w:lang w:val="en-GB"/>
              </w:rPr>
              <w:t>0.91</w:t>
            </w:r>
            <w:r w:rsidR="00F65F14" w:rsidRPr="00FD5D16">
              <w:rPr>
                <w:lang w:val="en-GB"/>
              </w:rPr>
              <w:t>3</w:t>
            </w:r>
            <w:r w:rsidRPr="00FD5D16">
              <w:rPr>
                <w:lang w:val="en-GB"/>
              </w:rPr>
              <w:t xml:space="preserve"> – 1.2</w:t>
            </w:r>
            <w:r w:rsidR="00F65F14" w:rsidRPr="00FD5D16">
              <w:rPr>
                <w:lang w:val="en-GB"/>
              </w:rPr>
              <w:t>78</w:t>
            </w:r>
          </w:p>
        </w:tc>
        <w:tc>
          <w:tcPr>
            <w:tcW w:w="2047" w:type="dxa"/>
          </w:tcPr>
          <w:p w14:paraId="1997F6E2" w14:textId="53F402CA" w:rsidR="0038181C" w:rsidRPr="00FD5D16" w:rsidRDefault="0038181C" w:rsidP="003C706F">
            <w:pPr>
              <w:rPr>
                <w:lang w:val="en-GB"/>
              </w:rPr>
            </w:pPr>
            <w:r w:rsidRPr="00FD5D16">
              <w:rPr>
                <w:lang w:val="en-GB"/>
              </w:rPr>
              <w:t>0.76</w:t>
            </w:r>
            <w:r w:rsidR="00F65F14" w:rsidRPr="00FD5D16">
              <w:rPr>
                <w:lang w:val="en-GB"/>
              </w:rPr>
              <w:t>5</w:t>
            </w:r>
            <w:r w:rsidRPr="00FD5D16">
              <w:rPr>
                <w:lang w:val="en-GB"/>
              </w:rPr>
              <w:t xml:space="preserve"> – 1.3</w:t>
            </w:r>
            <w:r w:rsidR="00F65F14" w:rsidRPr="00FD5D16">
              <w:rPr>
                <w:lang w:val="en-GB"/>
              </w:rPr>
              <w:t>09</w:t>
            </w:r>
          </w:p>
        </w:tc>
        <w:tc>
          <w:tcPr>
            <w:tcW w:w="2047" w:type="dxa"/>
          </w:tcPr>
          <w:p w14:paraId="75E7017B" w14:textId="106F0448" w:rsidR="0038181C" w:rsidRPr="00FD5D16" w:rsidRDefault="0038181C" w:rsidP="003C706F">
            <w:pPr>
              <w:rPr>
                <w:lang w:val="en-GB"/>
              </w:rPr>
            </w:pPr>
            <w:r w:rsidRPr="00FD5D16">
              <w:rPr>
                <w:lang w:val="en-GB"/>
              </w:rPr>
              <w:t>0.71</w:t>
            </w:r>
            <w:r w:rsidR="00F65F14" w:rsidRPr="00FD5D16">
              <w:rPr>
                <w:lang w:val="en-GB"/>
              </w:rPr>
              <w:t>7</w:t>
            </w:r>
            <w:r w:rsidRPr="00FD5D16">
              <w:rPr>
                <w:lang w:val="en-GB"/>
              </w:rPr>
              <w:t xml:space="preserve"> – 1.49</w:t>
            </w:r>
            <w:r w:rsidR="00F65F14" w:rsidRPr="00FD5D16">
              <w:rPr>
                <w:lang w:val="en-GB"/>
              </w:rPr>
              <w:t>9</w:t>
            </w:r>
          </w:p>
        </w:tc>
        <w:tc>
          <w:tcPr>
            <w:tcW w:w="1938" w:type="dxa"/>
          </w:tcPr>
          <w:p w14:paraId="66F266DB" w14:textId="6E7FB849" w:rsidR="0038181C" w:rsidRPr="00FD5D16" w:rsidRDefault="00F65F14" w:rsidP="003C706F">
            <w:pPr>
              <w:rPr>
                <w:lang w:val="en-GB"/>
              </w:rPr>
            </w:pPr>
            <w:r w:rsidRPr="00FD5D16">
              <w:rPr>
                <w:lang w:val="en-GB"/>
              </w:rPr>
              <w:t>0.975 – 1.496</w:t>
            </w:r>
          </w:p>
        </w:tc>
      </w:tr>
      <w:tr w:rsidR="0038181C" w:rsidRPr="00FD5D16" w14:paraId="5EAF9A56" w14:textId="7C60D844" w:rsidTr="004A3BD3">
        <w:trPr>
          <w:gridAfter w:val="1"/>
          <w:wAfter w:w="3821" w:type="dxa"/>
        </w:trPr>
        <w:tc>
          <w:tcPr>
            <w:tcW w:w="2410" w:type="dxa"/>
          </w:tcPr>
          <w:p w14:paraId="7E2FC804" w14:textId="77777777" w:rsidR="0038181C" w:rsidRPr="00FD5D16" w:rsidRDefault="0038181C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90–day mortality</w:t>
            </w:r>
          </w:p>
        </w:tc>
        <w:tc>
          <w:tcPr>
            <w:tcW w:w="2047" w:type="dxa"/>
          </w:tcPr>
          <w:p w14:paraId="217537DD" w14:textId="7ED9A2D8" w:rsidR="0038181C" w:rsidRPr="00FD5D16" w:rsidRDefault="0038181C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0.96</w:t>
            </w:r>
            <w:r w:rsidR="000E4635" w:rsidRPr="00FD5D16">
              <w:rPr>
                <w:lang w:val="en-GB"/>
              </w:rPr>
              <w:t>3</w:t>
            </w:r>
            <w:r w:rsidRPr="00FD5D16">
              <w:rPr>
                <w:lang w:val="en-GB"/>
              </w:rPr>
              <w:t xml:space="preserve"> – 1.33</w:t>
            </w:r>
            <w:r w:rsidR="000E4635" w:rsidRPr="00FD5D16">
              <w:rPr>
                <w:lang w:val="en-GB"/>
              </w:rPr>
              <w:t>2</w:t>
            </w:r>
          </w:p>
        </w:tc>
        <w:tc>
          <w:tcPr>
            <w:tcW w:w="2047" w:type="dxa"/>
          </w:tcPr>
          <w:p w14:paraId="28ECE9FC" w14:textId="0CF66D14" w:rsidR="0038181C" w:rsidRPr="00FD5D16" w:rsidRDefault="0038181C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0.8</w:t>
            </w:r>
            <w:r w:rsidR="000E4635" w:rsidRPr="00FD5D16">
              <w:rPr>
                <w:lang w:val="en-GB"/>
              </w:rPr>
              <w:t>19</w:t>
            </w:r>
            <w:r w:rsidRPr="00FD5D16">
              <w:rPr>
                <w:lang w:val="en-GB"/>
              </w:rPr>
              <w:t xml:space="preserve"> – 1.3</w:t>
            </w:r>
            <w:r w:rsidR="000E4635" w:rsidRPr="00FD5D16">
              <w:rPr>
                <w:lang w:val="en-GB"/>
              </w:rPr>
              <w:t>69</w:t>
            </w:r>
          </w:p>
        </w:tc>
        <w:tc>
          <w:tcPr>
            <w:tcW w:w="2047" w:type="dxa"/>
          </w:tcPr>
          <w:p w14:paraId="23D93414" w14:textId="79CFA184" w:rsidR="0038181C" w:rsidRPr="00FD5D16" w:rsidRDefault="0038181C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0.86</w:t>
            </w:r>
            <w:r w:rsidR="000E4635" w:rsidRPr="00FD5D16">
              <w:rPr>
                <w:lang w:val="en-GB"/>
              </w:rPr>
              <w:t>8</w:t>
            </w:r>
            <w:r w:rsidRPr="00FD5D16">
              <w:rPr>
                <w:lang w:val="en-GB"/>
              </w:rPr>
              <w:t xml:space="preserve"> – 1.75</w:t>
            </w:r>
            <w:r w:rsidR="000E4635" w:rsidRPr="00FD5D16">
              <w:rPr>
                <w:lang w:val="en-GB"/>
              </w:rPr>
              <w:t>3</w:t>
            </w:r>
          </w:p>
        </w:tc>
        <w:tc>
          <w:tcPr>
            <w:tcW w:w="1938" w:type="dxa"/>
          </w:tcPr>
          <w:p w14:paraId="2A559A72" w14:textId="4E1F83B0" w:rsidR="0038181C" w:rsidRPr="00FD5D16" w:rsidRDefault="000E4635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0.901 – 1.350</w:t>
            </w:r>
          </w:p>
        </w:tc>
      </w:tr>
      <w:tr w:rsidR="0038181C" w:rsidRPr="00FD5D16" w14:paraId="2DCC994D" w14:textId="3112D710" w:rsidTr="004A3BD3">
        <w:trPr>
          <w:gridAfter w:val="1"/>
          <w:wAfter w:w="3821" w:type="dxa"/>
        </w:trPr>
        <w:tc>
          <w:tcPr>
            <w:tcW w:w="2410" w:type="dxa"/>
          </w:tcPr>
          <w:p w14:paraId="11C0C27E" w14:textId="7F973CC5" w:rsidR="0038181C" w:rsidRPr="00FD5D16" w:rsidRDefault="0038181C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Long-term mortality</w:t>
            </w:r>
            <w:r w:rsidRPr="00FD5D16">
              <w:rPr>
                <w:rStyle w:val="Slutnotsreferens"/>
                <w:lang w:val="en-GB"/>
              </w:rPr>
              <w:endnoteReference w:id="2"/>
            </w:r>
          </w:p>
        </w:tc>
        <w:tc>
          <w:tcPr>
            <w:tcW w:w="2047" w:type="dxa"/>
          </w:tcPr>
          <w:p w14:paraId="583D3387" w14:textId="541A0B16" w:rsidR="0038181C" w:rsidRPr="00FD5D16" w:rsidRDefault="0038181C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0.96</w:t>
            </w:r>
            <w:r w:rsidR="004A3BD3" w:rsidRPr="00FD5D16">
              <w:rPr>
                <w:lang w:val="en-GB"/>
              </w:rPr>
              <w:t>1</w:t>
            </w:r>
            <w:r w:rsidRPr="00FD5D16">
              <w:rPr>
                <w:lang w:val="en-GB"/>
              </w:rPr>
              <w:t xml:space="preserve"> – 1.17</w:t>
            </w:r>
            <w:r w:rsidR="004A3BD3" w:rsidRPr="00FD5D16">
              <w:rPr>
                <w:lang w:val="en-GB"/>
              </w:rPr>
              <w:t>5</w:t>
            </w:r>
          </w:p>
        </w:tc>
        <w:tc>
          <w:tcPr>
            <w:tcW w:w="2047" w:type="dxa"/>
          </w:tcPr>
          <w:p w14:paraId="3EEE966A" w14:textId="6D4C33C6" w:rsidR="0038181C" w:rsidRPr="00FD5D16" w:rsidRDefault="0038181C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0.97</w:t>
            </w:r>
            <w:r w:rsidR="004A3BD3" w:rsidRPr="00FD5D16">
              <w:rPr>
                <w:lang w:val="en-GB"/>
              </w:rPr>
              <w:t>1</w:t>
            </w:r>
            <w:r w:rsidRPr="00FD5D16">
              <w:rPr>
                <w:lang w:val="en-GB"/>
              </w:rPr>
              <w:t xml:space="preserve"> – 1.32</w:t>
            </w:r>
            <w:r w:rsidR="004A3BD3" w:rsidRPr="00FD5D16">
              <w:rPr>
                <w:lang w:val="en-GB"/>
              </w:rPr>
              <w:t>7</w:t>
            </w:r>
          </w:p>
        </w:tc>
        <w:tc>
          <w:tcPr>
            <w:tcW w:w="2047" w:type="dxa"/>
          </w:tcPr>
          <w:p w14:paraId="620D2836" w14:textId="1B14A199" w:rsidR="0038181C" w:rsidRPr="00FD5D16" w:rsidRDefault="0038181C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0.8</w:t>
            </w:r>
            <w:r w:rsidR="004A3BD3" w:rsidRPr="00FD5D16">
              <w:rPr>
                <w:lang w:val="en-GB"/>
              </w:rPr>
              <w:t>50</w:t>
            </w:r>
            <w:r w:rsidRPr="00FD5D16">
              <w:rPr>
                <w:lang w:val="en-GB"/>
              </w:rPr>
              <w:t xml:space="preserve"> – 1.32</w:t>
            </w:r>
            <w:r w:rsidR="004A3BD3" w:rsidRPr="00FD5D16">
              <w:rPr>
                <w:lang w:val="en-GB"/>
              </w:rPr>
              <w:t>8</w:t>
            </w:r>
          </w:p>
        </w:tc>
        <w:tc>
          <w:tcPr>
            <w:tcW w:w="1938" w:type="dxa"/>
          </w:tcPr>
          <w:p w14:paraId="3AD15DE0" w14:textId="4E68FCCD" w:rsidR="0038181C" w:rsidRPr="00FD5D16" w:rsidRDefault="008A4D6C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0.932 – 1.199</w:t>
            </w:r>
          </w:p>
        </w:tc>
      </w:tr>
      <w:tr w:rsidR="0038181C" w:rsidRPr="00FD5D16" w14:paraId="49B75352" w14:textId="0D0B24C8" w:rsidTr="004A3BD3">
        <w:trPr>
          <w:gridAfter w:val="1"/>
          <w:wAfter w:w="3821" w:type="dxa"/>
        </w:trPr>
        <w:tc>
          <w:tcPr>
            <w:tcW w:w="2410" w:type="dxa"/>
          </w:tcPr>
          <w:p w14:paraId="1D21F837" w14:textId="77777777" w:rsidR="0038181C" w:rsidRPr="00FD5D16" w:rsidRDefault="0038181C" w:rsidP="000C07D7">
            <w:pPr>
              <w:spacing w:before="60"/>
              <w:rPr>
                <w:b/>
                <w:bCs/>
                <w:lang w:val="en-GB"/>
              </w:rPr>
            </w:pPr>
            <w:r w:rsidRPr="00FD5D16">
              <w:rPr>
                <w:b/>
                <w:bCs/>
                <w:lang w:val="en-GB"/>
              </w:rPr>
              <w:t>Morbidity</w:t>
            </w:r>
          </w:p>
        </w:tc>
        <w:tc>
          <w:tcPr>
            <w:tcW w:w="2047" w:type="dxa"/>
          </w:tcPr>
          <w:p w14:paraId="2B47160B" w14:textId="77777777" w:rsidR="0038181C" w:rsidRPr="00FD5D16" w:rsidRDefault="0038181C" w:rsidP="000C07D7">
            <w:pPr>
              <w:spacing w:before="60"/>
              <w:rPr>
                <w:lang w:val="en-GB"/>
              </w:rPr>
            </w:pPr>
          </w:p>
        </w:tc>
        <w:tc>
          <w:tcPr>
            <w:tcW w:w="2047" w:type="dxa"/>
          </w:tcPr>
          <w:p w14:paraId="6125658F" w14:textId="77777777" w:rsidR="0038181C" w:rsidRPr="00FD5D16" w:rsidRDefault="0038181C" w:rsidP="000C07D7">
            <w:pPr>
              <w:spacing w:before="60"/>
              <w:rPr>
                <w:lang w:val="en-GB"/>
              </w:rPr>
            </w:pPr>
          </w:p>
        </w:tc>
        <w:tc>
          <w:tcPr>
            <w:tcW w:w="2047" w:type="dxa"/>
          </w:tcPr>
          <w:p w14:paraId="72B5F650" w14:textId="77777777" w:rsidR="0038181C" w:rsidRPr="00FD5D16" w:rsidRDefault="0038181C" w:rsidP="000C07D7">
            <w:pPr>
              <w:spacing w:before="60"/>
              <w:rPr>
                <w:lang w:val="en-GB"/>
              </w:rPr>
            </w:pPr>
          </w:p>
        </w:tc>
        <w:tc>
          <w:tcPr>
            <w:tcW w:w="1938" w:type="dxa"/>
          </w:tcPr>
          <w:p w14:paraId="7F8ECE4A" w14:textId="77777777" w:rsidR="0038181C" w:rsidRPr="00FD5D16" w:rsidRDefault="0038181C" w:rsidP="000C07D7">
            <w:pPr>
              <w:spacing w:before="60"/>
              <w:rPr>
                <w:lang w:val="en-GB"/>
              </w:rPr>
            </w:pPr>
          </w:p>
        </w:tc>
      </w:tr>
      <w:tr w:rsidR="0038181C" w:rsidRPr="00FD5D16" w14:paraId="4448A012" w14:textId="248CF195" w:rsidTr="004A3BD3">
        <w:trPr>
          <w:gridAfter w:val="1"/>
          <w:wAfter w:w="3821" w:type="dxa"/>
        </w:trPr>
        <w:tc>
          <w:tcPr>
            <w:tcW w:w="2410" w:type="dxa"/>
          </w:tcPr>
          <w:p w14:paraId="19045F29" w14:textId="77777777" w:rsidR="0038181C" w:rsidRPr="00FD5D16" w:rsidRDefault="0038181C" w:rsidP="00BE6FBC">
            <w:pPr>
              <w:rPr>
                <w:lang w:val="en-GB"/>
              </w:rPr>
            </w:pPr>
            <w:proofErr w:type="spellStart"/>
            <w:r w:rsidRPr="00FD5D16">
              <w:rPr>
                <w:lang w:val="en-GB"/>
              </w:rPr>
              <w:t>DAFvent</w:t>
            </w:r>
            <w:proofErr w:type="spellEnd"/>
            <w:r w:rsidRPr="00FD5D16">
              <w:rPr>
                <w:vertAlign w:val="superscript"/>
                <w:lang w:val="en-GB"/>
              </w:rPr>
              <w:endnoteReference w:id="3"/>
            </w:r>
          </w:p>
        </w:tc>
        <w:tc>
          <w:tcPr>
            <w:tcW w:w="2047" w:type="dxa"/>
          </w:tcPr>
          <w:p w14:paraId="43F1504E" w14:textId="522526E5" w:rsidR="0038181C" w:rsidRPr="00FD5D16" w:rsidRDefault="0038181C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0.92</w:t>
            </w:r>
            <w:r w:rsidR="00F675F5" w:rsidRPr="00FD5D16">
              <w:rPr>
                <w:lang w:val="en-GB"/>
              </w:rPr>
              <w:t>7</w:t>
            </w:r>
            <w:r w:rsidRPr="00FD5D16">
              <w:rPr>
                <w:lang w:val="en-GB"/>
              </w:rPr>
              <w:t xml:space="preserve"> – 1.27</w:t>
            </w:r>
            <w:r w:rsidR="00F675F5" w:rsidRPr="00FD5D16">
              <w:rPr>
                <w:lang w:val="en-GB"/>
              </w:rPr>
              <w:t>3</w:t>
            </w:r>
          </w:p>
        </w:tc>
        <w:tc>
          <w:tcPr>
            <w:tcW w:w="2047" w:type="dxa"/>
          </w:tcPr>
          <w:p w14:paraId="1BA28665" w14:textId="7E3BF3BD" w:rsidR="0038181C" w:rsidRPr="00FD5D16" w:rsidRDefault="0038181C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0.78</w:t>
            </w:r>
            <w:r w:rsidR="00F675F5" w:rsidRPr="00FD5D16">
              <w:rPr>
                <w:lang w:val="en-GB"/>
              </w:rPr>
              <w:t>7</w:t>
            </w:r>
            <w:r w:rsidRPr="00FD5D16">
              <w:rPr>
                <w:lang w:val="en-GB"/>
              </w:rPr>
              <w:t xml:space="preserve"> – 1.29</w:t>
            </w:r>
            <w:r w:rsidR="00F675F5" w:rsidRPr="00FD5D16">
              <w:rPr>
                <w:lang w:val="en-GB"/>
              </w:rPr>
              <w:t>5</w:t>
            </w:r>
          </w:p>
        </w:tc>
        <w:tc>
          <w:tcPr>
            <w:tcW w:w="2047" w:type="dxa"/>
          </w:tcPr>
          <w:p w14:paraId="450AA429" w14:textId="70C515F4" w:rsidR="0038181C" w:rsidRPr="00FD5D16" w:rsidRDefault="0038181C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0.744 – 1.478</w:t>
            </w:r>
          </w:p>
        </w:tc>
        <w:tc>
          <w:tcPr>
            <w:tcW w:w="1938" w:type="dxa"/>
          </w:tcPr>
          <w:p w14:paraId="4E1CAEFB" w14:textId="2E9EB970" w:rsidR="0038181C" w:rsidRPr="00FD5D16" w:rsidRDefault="00F675F5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0.860 – 1.273</w:t>
            </w:r>
          </w:p>
        </w:tc>
      </w:tr>
      <w:tr w:rsidR="0038181C" w:rsidRPr="00FD5D16" w14:paraId="04127725" w14:textId="3D71A275" w:rsidTr="004A3BD3">
        <w:trPr>
          <w:gridAfter w:val="1"/>
          <w:wAfter w:w="3821" w:type="dxa"/>
        </w:trPr>
        <w:tc>
          <w:tcPr>
            <w:tcW w:w="2410" w:type="dxa"/>
          </w:tcPr>
          <w:p w14:paraId="3131B0F3" w14:textId="77777777" w:rsidR="0038181C" w:rsidRPr="00FD5D16" w:rsidRDefault="0038181C" w:rsidP="00BE6FBC">
            <w:pPr>
              <w:rPr>
                <w:lang w:val="en-GB"/>
              </w:rPr>
            </w:pPr>
            <w:proofErr w:type="spellStart"/>
            <w:r w:rsidRPr="00FD5D16">
              <w:rPr>
                <w:lang w:val="en-GB"/>
              </w:rPr>
              <w:t>DAFcirc</w:t>
            </w:r>
            <w:proofErr w:type="spellEnd"/>
            <w:r w:rsidRPr="00FD5D16">
              <w:rPr>
                <w:vertAlign w:val="superscript"/>
                <w:lang w:val="en-GB"/>
              </w:rPr>
              <w:endnoteReference w:id="4"/>
            </w:r>
          </w:p>
        </w:tc>
        <w:tc>
          <w:tcPr>
            <w:tcW w:w="2047" w:type="dxa"/>
          </w:tcPr>
          <w:p w14:paraId="03F37DDE" w14:textId="05F71B65" w:rsidR="0038181C" w:rsidRPr="00FD5D16" w:rsidRDefault="0038181C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0.86</w:t>
            </w:r>
            <w:r w:rsidR="00372454" w:rsidRPr="00FD5D16">
              <w:rPr>
                <w:lang w:val="en-GB"/>
              </w:rPr>
              <w:t>0</w:t>
            </w:r>
            <w:r w:rsidRPr="00FD5D16">
              <w:rPr>
                <w:lang w:val="en-GB"/>
              </w:rPr>
              <w:t xml:space="preserve"> – 1.18</w:t>
            </w:r>
            <w:r w:rsidR="00372454" w:rsidRPr="00FD5D16">
              <w:rPr>
                <w:lang w:val="en-GB"/>
              </w:rPr>
              <w:t>7</w:t>
            </w:r>
          </w:p>
        </w:tc>
        <w:tc>
          <w:tcPr>
            <w:tcW w:w="2047" w:type="dxa"/>
          </w:tcPr>
          <w:p w14:paraId="2F306266" w14:textId="3FF6EDB5" w:rsidR="0038181C" w:rsidRPr="00FD5D16" w:rsidRDefault="0038181C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0.767 – 1.272</w:t>
            </w:r>
          </w:p>
        </w:tc>
        <w:tc>
          <w:tcPr>
            <w:tcW w:w="2047" w:type="dxa"/>
          </w:tcPr>
          <w:p w14:paraId="6E3BB819" w14:textId="25C21105" w:rsidR="0038181C" w:rsidRPr="00FD5D16" w:rsidRDefault="0038181C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0.748 – 1.513</w:t>
            </w:r>
          </w:p>
        </w:tc>
        <w:tc>
          <w:tcPr>
            <w:tcW w:w="1938" w:type="dxa"/>
          </w:tcPr>
          <w:p w14:paraId="4B724316" w14:textId="213C932E" w:rsidR="0038181C" w:rsidRPr="00FD5D16" w:rsidRDefault="00372454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0.871 – 1.296</w:t>
            </w:r>
          </w:p>
        </w:tc>
      </w:tr>
      <w:tr w:rsidR="0038181C" w:rsidRPr="00FD5D16" w14:paraId="6E8AD5B0" w14:textId="79848200" w:rsidTr="004A3BD3">
        <w:trPr>
          <w:gridAfter w:val="1"/>
          <w:wAfter w:w="3821" w:type="dxa"/>
        </w:trPr>
        <w:tc>
          <w:tcPr>
            <w:tcW w:w="2410" w:type="dxa"/>
          </w:tcPr>
          <w:p w14:paraId="537174D2" w14:textId="09C51AE2" w:rsidR="0038181C" w:rsidRPr="00FD5D16" w:rsidRDefault="0038181C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SOFA-max</w:t>
            </w:r>
            <w:r w:rsidRPr="00FD5D16">
              <w:rPr>
                <w:vertAlign w:val="superscript"/>
                <w:lang w:val="en-GB"/>
              </w:rPr>
              <w:endnoteReference w:id="5"/>
            </w:r>
          </w:p>
        </w:tc>
        <w:tc>
          <w:tcPr>
            <w:tcW w:w="2047" w:type="dxa"/>
          </w:tcPr>
          <w:p w14:paraId="3F0FE767" w14:textId="37051722" w:rsidR="0038181C" w:rsidRPr="00FD5D16" w:rsidRDefault="0038181C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0.84</w:t>
            </w:r>
            <w:r w:rsidR="00372454" w:rsidRPr="00FD5D16">
              <w:rPr>
                <w:lang w:val="en-GB"/>
              </w:rPr>
              <w:t>1</w:t>
            </w:r>
            <w:r w:rsidRPr="00FD5D16">
              <w:rPr>
                <w:lang w:val="en-GB"/>
              </w:rPr>
              <w:t xml:space="preserve"> – 1.23</w:t>
            </w:r>
            <w:r w:rsidR="00372454" w:rsidRPr="00FD5D16">
              <w:rPr>
                <w:lang w:val="en-GB"/>
              </w:rPr>
              <w:t>5</w:t>
            </w:r>
          </w:p>
        </w:tc>
        <w:tc>
          <w:tcPr>
            <w:tcW w:w="2047" w:type="dxa"/>
          </w:tcPr>
          <w:p w14:paraId="602D2F76" w14:textId="70270779" w:rsidR="0038181C" w:rsidRPr="00FD5D16" w:rsidRDefault="0038181C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0.795 – 1.473</w:t>
            </w:r>
          </w:p>
        </w:tc>
        <w:tc>
          <w:tcPr>
            <w:tcW w:w="2047" w:type="dxa"/>
          </w:tcPr>
          <w:p w14:paraId="4082A1ED" w14:textId="627B45C6" w:rsidR="0038181C" w:rsidRPr="00FD5D16" w:rsidRDefault="0038181C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0.61</w:t>
            </w:r>
            <w:r w:rsidR="00372454" w:rsidRPr="00FD5D16">
              <w:rPr>
                <w:lang w:val="en-GB"/>
              </w:rPr>
              <w:t>9</w:t>
            </w:r>
            <w:r w:rsidRPr="00FD5D16">
              <w:rPr>
                <w:lang w:val="en-GB"/>
              </w:rPr>
              <w:t xml:space="preserve"> – 1.41</w:t>
            </w:r>
            <w:r w:rsidR="00372454" w:rsidRPr="00FD5D16">
              <w:rPr>
                <w:lang w:val="en-GB"/>
              </w:rPr>
              <w:t>4</w:t>
            </w:r>
          </w:p>
        </w:tc>
        <w:tc>
          <w:tcPr>
            <w:tcW w:w="1938" w:type="dxa"/>
          </w:tcPr>
          <w:p w14:paraId="6B7C2020" w14:textId="725164E2" w:rsidR="0038181C" w:rsidRPr="00FD5D16" w:rsidRDefault="00372454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0.861 – 1.382</w:t>
            </w:r>
          </w:p>
        </w:tc>
      </w:tr>
      <w:tr w:rsidR="0038181C" w:rsidRPr="00FD5D16" w14:paraId="269AEA7A" w14:textId="13E95BA5" w:rsidTr="004A3BD3">
        <w:trPr>
          <w:gridAfter w:val="1"/>
          <w:wAfter w:w="3821" w:type="dxa"/>
        </w:trPr>
        <w:tc>
          <w:tcPr>
            <w:tcW w:w="2410" w:type="dxa"/>
          </w:tcPr>
          <w:p w14:paraId="5F34C3E9" w14:textId="1BFFFB8D" w:rsidR="0038181C" w:rsidRPr="00FD5D16" w:rsidRDefault="0038181C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Length-of-stay</w:t>
            </w:r>
          </w:p>
        </w:tc>
        <w:tc>
          <w:tcPr>
            <w:tcW w:w="2047" w:type="dxa"/>
          </w:tcPr>
          <w:p w14:paraId="43CCB8CE" w14:textId="63B78946" w:rsidR="0038181C" w:rsidRPr="00FD5D16" w:rsidRDefault="0038181C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0.84</w:t>
            </w:r>
            <w:r w:rsidR="00513688" w:rsidRPr="00FD5D16">
              <w:rPr>
                <w:lang w:val="en-GB"/>
              </w:rPr>
              <w:t>2</w:t>
            </w:r>
            <w:r w:rsidRPr="00FD5D16">
              <w:rPr>
                <w:lang w:val="en-GB"/>
              </w:rPr>
              <w:t xml:space="preserve"> – 1.1</w:t>
            </w:r>
            <w:r w:rsidR="00513688" w:rsidRPr="00FD5D16">
              <w:rPr>
                <w:lang w:val="en-GB"/>
              </w:rPr>
              <w:t>69</w:t>
            </w:r>
          </w:p>
        </w:tc>
        <w:tc>
          <w:tcPr>
            <w:tcW w:w="2047" w:type="dxa"/>
          </w:tcPr>
          <w:p w14:paraId="1FDA99BE" w14:textId="09D2F152" w:rsidR="0038181C" w:rsidRPr="00FD5D16" w:rsidRDefault="0038181C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0.8</w:t>
            </w:r>
            <w:r w:rsidR="00513688" w:rsidRPr="00FD5D16">
              <w:rPr>
                <w:lang w:val="en-GB"/>
              </w:rPr>
              <w:t>58</w:t>
            </w:r>
            <w:r w:rsidRPr="00FD5D16">
              <w:rPr>
                <w:lang w:val="en-GB"/>
              </w:rPr>
              <w:t xml:space="preserve"> – 1.45</w:t>
            </w:r>
            <w:r w:rsidR="00513688" w:rsidRPr="00FD5D16">
              <w:rPr>
                <w:lang w:val="en-GB"/>
              </w:rPr>
              <w:t>5</w:t>
            </w:r>
          </w:p>
        </w:tc>
        <w:tc>
          <w:tcPr>
            <w:tcW w:w="2047" w:type="dxa"/>
          </w:tcPr>
          <w:p w14:paraId="2048DEE0" w14:textId="66A7C3DF" w:rsidR="0038181C" w:rsidRPr="00FD5D16" w:rsidRDefault="0038181C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0.924 – 1.961</w:t>
            </w:r>
          </w:p>
        </w:tc>
        <w:tc>
          <w:tcPr>
            <w:tcW w:w="1938" w:type="dxa"/>
          </w:tcPr>
          <w:p w14:paraId="7A6D91B2" w14:textId="19025B0A" w:rsidR="0038181C" w:rsidRPr="00FD5D16" w:rsidRDefault="00513688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0.899 – 1.349</w:t>
            </w:r>
          </w:p>
        </w:tc>
      </w:tr>
    </w:tbl>
    <w:p w14:paraId="20221F84" w14:textId="77777777" w:rsidR="00BE6FBC" w:rsidRPr="00FD5D16" w:rsidRDefault="00BE6FBC" w:rsidP="00BE6FBC">
      <w:pPr>
        <w:rPr>
          <w:lang w:val="en-GB"/>
        </w:rPr>
        <w:sectPr w:rsidR="00BE6FBC" w:rsidRPr="00FD5D16" w:rsidSect="00DA6436">
          <w:endnotePr>
            <w:numFmt w:val="lowerLetter"/>
            <w:numRestart w:val="eachSect"/>
          </w:endnotePr>
          <w:type w:val="continuous"/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nt"/>
        <w:tblW w:w="14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045"/>
        <w:gridCol w:w="2045"/>
        <w:gridCol w:w="2059"/>
        <w:gridCol w:w="1936"/>
        <w:gridCol w:w="3806"/>
      </w:tblGrid>
      <w:tr w:rsidR="00831F23" w:rsidRPr="00BA63DD" w14:paraId="4EB7A310" w14:textId="77777777" w:rsidTr="00F44363">
        <w:tc>
          <w:tcPr>
            <w:tcW w:w="14159" w:type="dxa"/>
            <w:gridSpan w:val="6"/>
          </w:tcPr>
          <w:p w14:paraId="54760556" w14:textId="31B7FF89" w:rsidR="00831F23" w:rsidRPr="00FD5D16" w:rsidRDefault="00831F23" w:rsidP="00BD4A65">
            <w:pPr>
              <w:spacing w:after="160"/>
              <w:rPr>
                <w:b/>
                <w:bCs/>
                <w:lang w:val="en-GB"/>
              </w:rPr>
            </w:pPr>
            <w:r w:rsidRPr="00FD5D16">
              <w:rPr>
                <w:b/>
                <w:bCs/>
                <w:lang w:val="en-GB"/>
              </w:rPr>
              <w:lastRenderedPageBreak/>
              <w:t>Subgroup Septic shock, n= 1 366. Multivariable regression analyses with 95% confidence interval for odds or hazard ratio</w:t>
            </w:r>
            <w:r w:rsidRPr="00FD5D16">
              <w:rPr>
                <w:b/>
                <w:bCs/>
                <w:vertAlign w:val="superscript"/>
                <w:lang w:val="en-GB"/>
              </w:rPr>
              <w:endnoteReference w:id="6"/>
            </w:r>
          </w:p>
        </w:tc>
      </w:tr>
      <w:tr w:rsidR="00831F23" w:rsidRPr="00FD5D16" w14:paraId="7B1D49F7" w14:textId="096DC87D" w:rsidTr="00F44363">
        <w:trPr>
          <w:gridAfter w:val="1"/>
          <w:wAfter w:w="3806" w:type="dxa"/>
        </w:trPr>
        <w:tc>
          <w:tcPr>
            <w:tcW w:w="2268" w:type="dxa"/>
          </w:tcPr>
          <w:p w14:paraId="75F76916" w14:textId="77777777" w:rsidR="00831F23" w:rsidRPr="00FD5D16" w:rsidRDefault="00831F23" w:rsidP="00AB7C6E">
            <w:pPr>
              <w:rPr>
                <w:b/>
                <w:bCs/>
                <w:lang w:val="en-GB"/>
              </w:rPr>
            </w:pPr>
          </w:p>
        </w:tc>
        <w:tc>
          <w:tcPr>
            <w:tcW w:w="2045" w:type="dxa"/>
          </w:tcPr>
          <w:p w14:paraId="43683008" w14:textId="77777777" w:rsidR="00831F23" w:rsidRPr="00FD5D16" w:rsidRDefault="00831F23" w:rsidP="00AB7C6E">
            <w:pPr>
              <w:rPr>
                <w:b/>
                <w:bCs/>
                <w:lang w:val="en-GB"/>
              </w:rPr>
            </w:pPr>
            <w:proofErr w:type="spellStart"/>
            <w:r w:rsidRPr="00FD5D16">
              <w:rPr>
                <w:b/>
                <w:bCs/>
                <w:lang w:val="en-GB"/>
              </w:rPr>
              <w:t>Blgrp</w:t>
            </w:r>
            <w:proofErr w:type="spellEnd"/>
            <w:r w:rsidRPr="00FD5D16">
              <w:rPr>
                <w:b/>
                <w:bCs/>
                <w:lang w:val="en-GB"/>
              </w:rPr>
              <w:t xml:space="preserve"> A</w:t>
            </w:r>
          </w:p>
        </w:tc>
        <w:tc>
          <w:tcPr>
            <w:tcW w:w="2045" w:type="dxa"/>
          </w:tcPr>
          <w:p w14:paraId="0F078225" w14:textId="77777777" w:rsidR="00831F23" w:rsidRPr="00FD5D16" w:rsidRDefault="00831F23" w:rsidP="00AB7C6E">
            <w:pPr>
              <w:rPr>
                <w:b/>
                <w:bCs/>
                <w:lang w:val="en-GB"/>
              </w:rPr>
            </w:pPr>
            <w:proofErr w:type="spellStart"/>
            <w:r w:rsidRPr="00FD5D16">
              <w:rPr>
                <w:b/>
                <w:bCs/>
                <w:lang w:val="en-GB"/>
              </w:rPr>
              <w:t>Blgrp</w:t>
            </w:r>
            <w:proofErr w:type="spellEnd"/>
            <w:r w:rsidRPr="00FD5D16">
              <w:rPr>
                <w:b/>
                <w:bCs/>
                <w:lang w:val="en-GB"/>
              </w:rPr>
              <w:t xml:space="preserve"> B</w:t>
            </w:r>
          </w:p>
        </w:tc>
        <w:tc>
          <w:tcPr>
            <w:tcW w:w="2059" w:type="dxa"/>
          </w:tcPr>
          <w:p w14:paraId="2E1873C0" w14:textId="77777777" w:rsidR="00831F23" w:rsidRPr="00FD5D16" w:rsidRDefault="00831F23" w:rsidP="00AB7C6E">
            <w:pPr>
              <w:rPr>
                <w:b/>
                <w:bCs/>
                <w:lang w:val="en-GB"/>
              </w:rPr>
            </w:pPr>
            <w:proofErr w:type="spellStart"/>
            <w:r w:rsidRPr="00FD5D16">
              <w:rPr>
                <w:b/>
                <w:bCs/>
                <w:lang w:val="en-GB"/>
              </w:rPr>
              <w:t>Blgrp</w:t>
            </w:r>
            <w:proofErr w:type="spellEnd"/>
            <w:r w:rsidRPr="00FD5D16">
              <w:rPr>
                <w:b/>
                <w:bCs/>
                <w:lang w:val="en-GB"/>
              </w:rPr>
              <w:t xml:space="preserve"> AB</w:t>
            </w:r>
          </w:p>
        </w:tc>
        <w:tc>
          <w:tcPr>
            <w:tcW w:w="1936" w:type="dxa"/>
          </w:tcPr>
          <w:p w14:paraId="53B1245F" w14:textId="0449F6CC" w:rsidR="00831F23" w:rsidRPr="00FD5D16" w:rsidRDefault="00831F23" w:rsidP="00AB7C6E">
            <w:pPr>
              <w:rPr>
                <w:b/>
                <w:bCs/>
                <w:lang w:val="en-GB"/>
              </w:rPr>
            </w:pPr>
            <w:proofErr w:type="spellStart"/>
            <w:r w:rsidRPr="00FD5D16">
              <w:rPr>
                <w:b/>
                <w:bCs/>
                <w:lang w:val="en-GB"/>
              </w:rPr>
              <w:t>RhD</w:t>
            </w:r>
            <w:proofErr w:type="spellEnd"/>
            <w:r w:rsidRPr="00FD5D16">
              <w:rPr>
                <w:b/>
                <w:bCs/>
                <w:lang w:val="en-GB"/>
              </w:rPr>
              <w:t xml:space="preserve"> positive</w:t>
            </w:r>
          </w:p>
        </w:tc>
      </w:tr>
      <w:tr w:rsidR="00831F23" w:rsidRPr="00FD5D16" w14:paraId="6D64920E" w14:textId="4DCD3CDC" w:rsidTr="00F44363">
        <w:trPr>
          <w:gridAfter w:val="1"/>
          <w:wAfter w:w="3806" w:type="dxa"/>
        </w:trPr>
        <w:tc>
          <w:tcPr>
            <w:tcW w:w="2268" w:type="dxa"/>
          </w:tcPr>
          <w:p w14:paraId="2DAB71EE" w14:textId="77777777" w:rsidR="00831F23" w:rsidRPr="00FD5D16" w:rsidRDefault="00831F23" w:rsidP="00AB7C6E">
            <w:pPr>
              <w:rPr>
                <w:b/>
                <w:bCs/>
                <w:lang w:val="en-GB"/>
              </w:rPr>
            </w:pPr>
            <w:r w:rsidRPr="00FD5D16">
              <w:rPr>
                <w:b/>
                <w:bCs/>
                <w:lang w:val="en-GB"/>
              </w:rPr>
              <w:t>Mortality</w:t>
            </w:r>
          </w:p>
        </w:tc>
        <w:tc>
          <w:tcPr>
            <w:tcW w:w="2045" w:type="dxa"/>
          </w:tcPr>
          <w:p w14:paraId="59FA7204" w14:textId="77777777" w:rsidR="00831F23" w:rsidRPr="00FD5D16" w:rsidRDefault="00831F23" w:rsidP="00AB7C6E">
            <w:pPr>
              <w:rPr>
                <w:lang w:val="en-GB"/>
              </w:rPr>
            </w:pPr>
          </w:p>
        </w:tc>
        <w:tc>
          <w:tcPr>
            <w:tcW w:w="2045" w:type="dxa"/>
          </w:tcPr>
          <w:p w14:paraId="77F4FC9C" w14:textId="77777777" w:rsidR="00831F23" w:rsidRPr="00FD5D16" w:rsidRDefault="00831F23" w:rsidP="00AB7C6E">
            <w:pPr>
              <w:rPr>
                <w:lang w:val="en-GB"/>
              </w:rPr>
            </w:pPr>
          </w:p>
        </w:tc>
        <w:tc>
          <w:tcPr>
            <w:tcW w:w="2059" w:type="dxa"/>
          </w:tcPr>
          <w:p w14:paraId="0C8BE1DD" w14:textId="77777777" w:rsidR="00831F23" w:rsidRPr="00FD5D16" w:rsidRDefault="00831F23" w:rsidP="00AB7C6E">
            <w:pPr>
              <w:rPr>
                <w:lang w:val="en-GB"/>
              </w:rPr>
            </w:pPr>
          </w:p>
        </w:tc>
        <w:tc>
          <w:tcPr>
            <w:tcW w:w="1936" w:type="dxa"/>
          </w:tcPr>
          <w:p w14:paraId="55A4906C" w14:textId="77777777" w:rsidR="00831F23" w:rsidRPr="00FD5D16" w:rsidRDefault="00831F23" w:rsidP="00AB7C6E">
            <w:pPr>
              <w:rPr>
                <w:lang w:val="en-GB"/>
              </w:rPr>
            </w:pPr>
          </w:p>
        </w:tc>
      </w:tr>
      <w:tr w:rsidR="00831F23" w:rsidRPr="00FD5D16" w14:paraId="6F3C4ED5" w14:textId="25456A89" w:rsidTr="00F44363">
        <w:trPr>
          <w:gridAfter w:val="1"/>
          <w:wAfter w:w="3806" w:type="dxa"/>
        </w:trPr>
        <w:tc>
          <w:tcPr>
            <w:tcW w:w="2268" w:type="dxa"/>
          </w:tcPr>
          <w:p w14:paraId="46441AD2" w14:textId="77777777" w:rsidR="00831F23" w:rsidRPr="00FD5D16" w:rsidRDefault="00831F23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28–day mortality</w:t>
            </w:r>
          </w:p>
        </w:tc>
        <w:tc>
          <w:tcPr>
            <w:tcW w:w="2045" w:type="dxa"/>
          </w:tcPr>
          <w:p w14:paraId="66EF28EA" w14:textId="7909A9C2" w:rsidR="00831F23" w:rsidRPr="00FD5D16" w:rsidRDefault="00831F23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</w:t>
            </w:r>
            <w:r w:rsidR="004D0CA7" w:rsidRPr="00FD5D16">
              <w:rPr>
                <w:lang w:val="en-GB"/>
              </w:rPr>
              <w:t>861</w:t>
            </w:r>
            <w:r w:rsidRPr="00FD5D16">
              <w:rPr>
                <w:lang w:val="en-GB"/>
              </w:rPr>
              <w:t xml:space="preserve"> – 1.4</w:t>
            </w:r>
            <w:r w:rsidR="004D0CA7" w:rsidRPr="00FD5D16">
              <w:rPr>
                <w:lang w:val="en-GB"/>
              </w:rPr>
              <w:t>00</w:t>
            </w:r>
          </w:p>
        </w:tc>
        <w:tc>
          <w:tcPr>
            <w:tcW w:w="2045" w:type="dxa"/>
          </w:tcPr>
          <w:p w14:paraId="000173D3" w14:textId="11E7DE20" w:rsidR="00831F23" w:rsidRPr="00FD5D16" w:rsidRDefault="00831F23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</w:t>
            </w:r>
            <w:r w:rsidR="004D0CA7" w:rsidRPr="00FD5D16">
              <w:rPr>
                <w:lang w:val="en-GB"/>
              </w:rPr>
              <w:t>777</w:t>
            </w:r>
            <w:r w:rsidRPr="00FD5D16">
              <w:rPr>
                <w:lang w:val="en-GB"/>
              </w:rPr>
              <w:t xml:space="preserve"> – 1.</w:t>
            </w:r>
            <w:r w:rsidR="004D0CA7" w:rsidRPr="00FD5D16">
              <w:rPr>
                <w:lang w:val="en-GB"/>
              </w:rPr>
              <w:t>735</w:t>
            </w:r>
          </w:p>
        </w:tc>
        <w:tc>
          <w:tcPr>
            <w:tcW w:w="2059" w:type="dxa"/>
          </w:tcPr>
          <w:p w14:paraId="52C51ED2" w14:textId="112FCA7B" w:rsidR="00831F23" w:rsidRPr="00FD5D16" w:rsidRDefault="00831F23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</w:t>
            </w:r>
            <w:r w:rsidR="004D0CA7" w:rsidRPr="00FD5D16">
              <w:rPr>
                <w:lang w:val="en-GB"/>
              </w:rPr>
              <w:t>390</w:t>
            </w:r>
            <w:r w:rsidRPr="00FD5D16">
              <w:rPr>
                <w:lang w:val="en-GB"/>
              </w:rPr>
              <w:t xml:space="preserve"> – 1.</w:t>
            </w:r>
            <w:r w:rsidR="004D0CA7" w:rsidRPr="00FD5D16">
              <w:rPr>
                <w:lang w:val="en-GB"/>
              </w:rPr>
              <w:t>295</w:t>
            </w:r>
          </w:p>
        </w:tc>
        <w:tc>
          <w:tcPr>
            <w:tcW w:w="1936" w:type="dxa"/>
          </w:tcPr>
          <w:p w14:paraId="7314C170" w14:textId="66771586" w:rsidR="00831F23" w:rsidRPr="00FD5D16" w:rsidRDefault="004D0CA7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0.771 – 1.415</w:t>
            </w:r>
          </w:p>
        </w:tc>
      </w:tr>
      <w:tr w:rsidR="00831F23" w:rsidRPr="00FD5D16" w14:paraId="263C9039" w14:textId="7E4DE450" w:rsidTr="00F44363">
        <w:trPr>
          <w:gridAfter w:val="1"/>
          <w:wAfter w:w="3806" w:type="dxa"/>
        </w:trPr>
        <w:tc>
          <w:tcPr>
            <w:tcW w:w="2268" w:type="dxa"/>
          </w:tcPr>
          <w:p w14:paraId="77A92255" w14:textId="77777777" w:rsidR="00831F23" w:rsidRPr="00FD5D16" w:rsidRDefault="00831F23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90–day mortality</w:t>
            </w:r>
          </w:p>
        </w:tc>
        <w:tc>
          <w:tcPr>
            <w:tcW w:w="2045" w:type="dxa"/>
          </w:tcPr>
          <w:p w14:paraId="6EC7FA9B" w14:textId="15B1EF9D" w:rsidR="00831F23" w:rsidRPr="00FD5D16" w:rsidRDefault="00831F23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0.9</w:t>
            </w:r>
            <w:r w:rsidR="00CB5AA5" w:rsidRPr="00FD5D16">
              <w:rPr>
                <w:lang w:val="en-GB"/>
              </w:rPr>
              <w:t>31</w:t>
            </w:r>
            <w:r w:rsidRPr="00FD5D16">
              <w:rPr>
                <w:lang w:val="en-GB"/>
              </w:rPr>
              <w:t xml:space="preserve"> – 1.</w:t>
            </w:r>
            <w:r w:rsidR="00CB5AA5" w:rsidRPr="00FD5D16">
              <w:rPr>
                <w:lang w:val="en-GB"/>
              </w:rPr>
              <w:t>490</w:t>
            </w:r>
          </w:p>
        </w:tc>
        <w:tc>
          <w:tcPr>
            <w:tcW w:w="2045" w:type="dxa"/>
          </w:tcPr>
          <w:p w14:paraId="08E605EC" w14:textId="381B5C5E" w:rsidR="00831F23" w:rsidRPr="00FD5D16" w:rsidRDefault="00831F23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</w:t>
            </w:r>
            <w:r w:rsidR="00CB5AA5" w:rsidRPr="00FD5D16">
              <w:rPr>
                <w:lang w:val="en-GB"/>
              </w:rPr>
              <w:t>664</w:t>
            </w:r>
            <w:r w:rsidRPr="00FD5D16">
              <w:rPr>
                <w:lang w:val="en-GB"/>
              </w:rPr>
              <w:t xml:space="preserve"> – 1.</w:t>
            </w:r>
            <w:r w:rsidR="00CB5AA5" w:rsidRPr="00FD5D16">
              <w:rPr>
                <w:lang w:val="en-GB"/>
              </w:rPr>
              <w:t>457</w:t>
            </w:r>
          </w:p>
        </w:tc>
        <w:tc>
          <w:tcPr>
            <w:tcW w:w="2059" w:type="dxa"/>
          </w:tcPr>
          <w:p w14:paraId="7B7DDAB7" w14:textId="440CA096" w:rsidR="00831F23" w:rsidRPr="00FD5D16" w:rsidRDefault="00831F23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</w:t>
            </w:r>
            <w:r w:rsidR="00CB5AA5" w:rsidRPr="00FD5D16">
              <w:rPr>
                <w:lang w:val="en-GB"/>
              </w:rPr>
              <w:t>467</w:t>
            </w:r>
            <w:r w:rsidRPr="00FD5D16">
              <w:rPr>
                <w:lang w:val="en-GB"/>
              </w:rPr>
              <w:t xml:space="preserve"> – 1.</w:t>
            </w:r>
            <w:r w:rsidR="00CB5AA5" w:rsidRPr="00FD5D16">
              <w:rPr>
                <w:lang w:val="en-GB"/>
              </w:rPr>
              <w:t>430</w:t>
            </w:r>
          </w:p>
        </w:tc>
        <w:tc>
          <w:tcPr>
            <w:tcW w:w="1936" w:type="dxa"/>
          </w:tcPr>
          <w:p w14:paraId="0D3CD05E" w14:textId="606F0E85" w:rsidR="00831F23" w:rsidRPr="00FD5D16" w:rsidRDefault="00CB5AA5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0.699 – 1.251</w:t>
            </w:r>
          </w:p>
        </w:tc>
      </w:tr>
      <w:tr w:rsidR="00831F23" w:rsidRPr="00FD5D16" w14:paraId="7CFB03A5" w14:textId="71127100" w:rsidTr="00F44363">
        <w:trPr>
          <w:gridAfter w:val="1"/>
          <w:wAfter w:w="3806" w:type="dxa"/>
        </w:trPr>
        <w:tc>
          <w:tcPr>
            <w:tcW w:w="2268" w:type="dxa"/>
          </w:tcPr>
          <w:p w14:paraId="7C75AA5A" w14:textId="0A81880F" w:rsidR="00831F23" w:rsidRPr="00FD5D16" w:rsidRDefault="00831F23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Long-term mortality</w:t>
            </w:r>
            <w:r w:rsidRPr="00FD5D16">
              <w:rPr>
                <w:rStyle w:val="Slutnotsreferens"/>
                <w:lang w:val="en-GB"/>
              </w:rPr>
              <w:endnoteReference w:id="7"/>
            </w:r>
          </w:p>
        </w:tc>
        <w:tc>
          <w:tcPr>
            <w:tcW w:w="2045" w:type="dxa"/>
          </w:tcPr>
          <w:p w14:paraId="58664680" w14:textId="60149A2D" w:rsidR="00831F23" w:rsidRPr="00FD5D16" w:rsidRDefault="00831F23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0.938 – 1.281</w:t>
            </w:r>
          </w:p>
        </w:tc>
        <w:tc>
          <w:tcPr>
            <w:tcW w:w="2045" w:type="dxa"/>
          </w:tcPr>
          <w:p w14:paraId="66AB7297" w14:textId="188E3987" w:rsidR="00831F23" w:rsidRPr="00FD5D16" w:rsidRDefault="00831F23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0.803 – 1.363</w:t>
            </w:r>
          </w:p>
        </w:tc>
        <w:tc>
          <w:tcPr>
            <w:tcW w:w="2059" w:type="dxa"/>
          </w:tcPr>
          <w:p w14:paraId="5A57FFBE" w14:textId="0FED38B4" w:rsidR="00831F23" w:rsidRPr="00FD5D16" w:rsidRDefault="00831F23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0.624 – 1.309</w:t>
            </w:r>
          </w:p>
        </w:tc>
        <w:tc>
          <w:tcPr>
            <w:tcW w:w="1936" w:type="dxa"/>
          </w:tcPr>
          <w:p w14:paraId="6B85F872" w14:textId="36BB3F40" w:rsidR="00831F23" w:rsidRPr="00FD5D16" w:rsidRDefault="00F44363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0.811 – 1.195</w:t>
            </w:r>
          </w:p>
        </w:tc>
      </w:tr>
      <w:tr w:rsidR="00831F23" w:rsidRPr="00FD5D16" w14:paraId="63F65B32" w14:textId="0D99198A" w:rsidTr="00F44363">
        <w:trPr>
          <w:gridAfter w:val="1"/>
          <w:wAfter w:w="3806" w:type="dxa"/>
        </w:trPr>
        <w:tc>
          <w:tcPr>
            <w:tcW w:w="2268" w:type="dxa"/>
          </w:tcPr>
          <w:p w14:paraId="44C7D929" w14:textId="77777777" w:rsidR="00831F23" w:rsidRPr="00FD5D16" w:rsidRDefault="00831F23" w:rsidP="000C07D7">
            <w:pPr>
              <w:spacing w:before="60"/>
              <w:rPr>
                <w:b/>
                <w:bCs/>
                <w:lang w:val="en-GB"/>
              </w:rPr>
            </w:pPr>
            <w:r w:rsidRPr="00FD5D16">
              <w:rPr>
                <w:b/>
                <w:bCs/>
                <w:lang w:val="en-GB"/>
              </w:rPr>
              <w:t>Morbidity</w:t>
            </w:r>
          </w:p>
        </w:tc>
        <w:tc>
          <w:tcPr>
            <w:tcW w:w="2045" w:type="dxa"/>
          </w:tcPr>
          <w:p w14:paraId="246A92CD" w14:textId="77777777" w:rsidR="00831F23" w:rsidRPr="00FD5D16" w:rsidRDefault="00831F23" w:rsidP="000C07D7">
            <w:pPr>
              <w:spacing w:before="60"/>
              <w:rPr>
                <w:lang w:val="en-GB"/>
              </w:rPr>
            </w:pPr>
          </w:p>
        </w:tc>
        <w:tc>
          <w:tcPr>
            <w:tcW w:w="2045" w:type="dxa"/>
          </w:tcPr>
          <w:p w14:paraId="278E95CB" w14:textId="77777777" w:rsidR="00831F23" w:rsidRPr="00FD5D16" w:rsidRDefault="00831F23" w:rsidP="000C07D7">
            <w:pPr>
              <w:spacing w:before="60"/>
              <w:rPr>
                <w:lang w:val="en-GB"/>
              </w:rPr>
            </w:pPr>
          </w:p>
        </w:tc>
        <w:tc>
          <w:tcPr>
            <w:tcW w:w="2059" w:type="dxa"/>
          </w:tcPr>
          <w:p w14:paraId="241565FD" w14:textId="77777777" w:rsidR="00831F23" w:rsidRPr="00FD5D16" w:rsidRDefault="00831F23" w:rsidP="000C07D7">
            <w:pPr>
              <w:spacing w:before="60"/>
              <w:rPr>
                <w:lang w:val="en-GB"/>
              </w:rPr>
            </w:pPr>
          </w:p>
        </w:tc>
        <w:tc>
          <w:tcPr>
            <w:tcW w:w="1936" w:type="dxa"/>
          </w:tcPr>
          <w:p w14:paraId="45757ACE" w14:textId="77777777" w:rsidR="00831F23" w:rsidRPr="00FD5D16" w:rsidRDefault="00831F23" w:rsidP="000C07D7">
            <w:pPr>
              <w:spacing w:before="60"/>
              <w:rPr>
                <w:lang w:val="en-GB"/>
              </w:rPr>
            </w:pPr>
          </w:p>
        </w:tc>
      </w:tr>
      <w:tr w:rsidR="00831F23" w:rsidRPr="00FD5D16" w14:paraId="3F4DAA61" w14:textId="46F5091A" w:rsidTr="00F44363">
        <w:trPr>
          <w:gridAfter w:val="1"/>
          <w:wAfter w:w="3806" w:type="dxa"/>
        </w:trPr>
        <w:tc>
          <w:tcPr>
            <w:tcW w:w="2268" w:type="dxa"/>
          </w:tcPr>
          <w:p w14:paraId="7D158785" w14:textId="77777777" w:rsidR="00831F23" w:rsidRPr="00FD5D16" w:rsidRDefault="00831F23" w:rsidP="00AB7C6E">
            <w:pPr>
              <w:rPr>
                <w:lang w:val="en-GB"/>
              </w:rPr>
            </w:pPr>
            <w:proofErr w:type="spellStart"/>
            <w:r w:rsidRPr="00FD5D16">
              <w:rPr>
                <w:lang w:val="en-GB"/>
              </w:rPr>
              <w:t>DAFvent</w:t>
            </w:r>
            <w:proofErr w:type="spellEnd"/>
            <w:r w:rsidRPr="00FD5D16">
              <w:rPr>
                <w:vertAlign w:val="superscript"/>
                <w:lang w:val="en-GB"/>
              </w:rPr>
              <w:endnoteReference w:id="8"/>
            </w:r>
          </w:p>
        </w:tc>
        <w:tc>
          <w:tcPr>
            <w:tcW w:w="2045" w:type="dxa"/>
          </w:tcPr>
          <w:p w14:paraId="0943FEA0" w14:textId="158AB37A" w:rsidR="00831F23" w:rsidRPr="00FD5D16" w:rsidRDefault="00831F23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0.941 – 1.508</w:t>
            </w:r>
          </w:p>
        </w:tc>
        <w:tc>
          <w:tcPr>
            <w:tcW w:w="2045" w:type="dxa"/>
          </w:tcPr>
          <w:p w14:paraId="108BEBA9" w14:textId="7EE3E577" w:rsidR="00831F23" w:rsidRPr="00FD5D16" w:rsidRDefault="00831F23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0.8</w:t>
            </w:r>
            <w:r w:rsidR="00CB5AA5" w:rsidRPr="00FD5D16">
              <w:rPr>
                <w:lang w:val="en-GB"/>
              </w:rPr>
              <w:t>37</w:t>
            </w:r>
            <w:r w:rsidRPr="00FD5D16">
              <w:rPr>
                <w:lang w:val="en-GB"/>
              </w:rPr>
              <w:t xml:space="preserve"> – 1.8</w:t>
            </w:r>
            <w:r w:rsidR="00CB5AA5" w:rsidRPr="00FD5D16">
              <w:rPr>
                <w:lang w:val="en-GB"/>
              </w:rPr>
              <w:t>46</w:t>
            </w:r>
          </w:p>
        </w:tc>
        <w:tc>
          <w:tcPr>
            <w:tcW w:w="2059" w:type="dxa"/>
          </w:tcPr>
          <w:p w14:paraId="62DC7A53" w14:textId="44EEA212" w:rsidR="00831F23" w:rsidRPr="00FD5D16" w:rsidRDefault="00831F23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0.543 – 1.59</w:t>
            </w:r>
            <w:r w:rsidR="00CB5AA5" w:rsidRPr="00FD5D16">
              <w:rPr>
                <w:lang w:val="en-GB"/>
              </w:rPr>
              <w:t>4</w:t>
            </w:r>
          </w:p>
        </w:tc>
        <w:tc>
          <w:tcPr>
            <w:tcW w:w="1936" w:type="dxa"/>
          </w:tcPr>
          <w:p w14:paraId="416B033C" w14:textId="400653E2" w:rsidR="00831F23" w:rsidRPr="00FD5D16" w:rsidRDefault="00CB5AA5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0.870 – 1.553</w:t>
            </w:r>
          </w:p>
        </w:tc>
      </w:tr>
      <w:tr w:rsidR="00831F23" w:rsidRPr="00FD5D16" w14:paraId="77330C79" w14:textId="4167F801" w:rsidTr="00F44363">
        <w:trPr>
          <w:gridAfter w:val="1"/>
          <w:wAfter w:w="3806" w:type="dxa"/>
        </w:trPr>
        <w:tc>
          <w:tcPr>
            <w:tcW w:w="2268" w:type="dxa"/>
          </w:tcPr>
          <w:p w14:paraId="218E181E" w14:textId="77777777" w:rsidR="00831F23" w:rsidRPr="00FD5D16" w:rsidRDefault="00831F23" w:rsidP="00AB7C6E">
            <w:pPr>
              <w:rPr>
                <w:lang w:val="en-GB"/>
              </w:rPr>
            </w:pPr>
            <w:proofErr w:type="spellStart"/>
            <w:r w:rsidRPr="00FD5D16">
              <w:rPr>
                <w:lang w:val="en-GB"/>
              </w:rPr>
              <w:t>DAFcirc</w:t>
            </w:r>
            <w:proofErr w:type="spellEnd"/>
            <w:r w:rsidRPr="00FD5D16">
              <w:rPr>
                <w:vertAlign w:val="superscript"/>
                <w:lang w:val="en-GB"/>
              </w:rPr>
              <w:endnoteReference w:id="9"/>
            </w:r>
          </w:p>
        </w:tc>
        <w:tc>
          <w:tcPr>
            <w:tcW w:w="2045" w:type="dxa"/>
          </w:tcPr>
          <w:p w14:paraId="4FD561E9" w14:textId="4B71D47F" w:rsidR="00831F23" w:rsidRPr="00FD5D16" w:rsidRDefault="00831F23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0.755 – 1.32</w:t>
            </w:r>
            <w:r w:rsidR="00E206A9" w:rsidRPr="00FD5D16">
              <w:rPr>
                <w:lang w:val="en-GB"/>
              </w:rPr>
              <w:t>2</w:t>
            </w:r>
          </w:p>
        </w:tc>
        <w:tc>
          <w:tcPr>
            <w:tcW w:w="2045" w:type="dxa"/>
          </w:tcPr>
          <w:p w14:paraId="481A1531" w14:textId="4DC9EB3C" w:rsidR="00831F23" w:rsidRPr="00FD5D16" w:rsidRDefault="00831F23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0.79</w:t>
            </w:r>
            <w:r w:rsidR="00E206A9" w:rsidRPr="00FD5D16">
              <w:rPr>
                <w:lang w:val="en-GB"/>
              </w:rPr>
              <w:t>2</w:t>
            </w:r>
            <w:r w:rsidRPr="00FD5D16">
              <w:rPr>
                <w:lang w:val="en-GB"/>
              </w:rPr>
              <w:t xml:space="preserve"> – 2.1</w:t>
            </w:r>
            <w:r w:rsidR="00E206A9" w:rsidRPr="00FD5D16">
              <w:rPr>
                <w:lang w:val="en-GB"/>
              </w:rPr>
              <w:t>16</w:t>
            </w:r>
          </w:p>
        </w:tc>
        <w:tc>
          <w:tcPr>
            <w:tcW w:w="2059" w:type="dxa"/>
          </w:tcPr>
          <w:p w14:paraId="2BABC1B5" w14:textId="7549ECE9" w:rsidR="00831F23" w:rsidRPr="00FD5D16" w:rsidRDefault="00831F23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0.765 – 3.3</w:t>
            </w:r>
            <w:r w:rsidR="00E206A9" w:rsidRPr="00FD5D16">
              <w:rPr>
                <w:lang w:val="en-GB"/>
              </w:rPr>
              <w:t>74</w:t>
            </w:r>
          </w:p>
        </w:tc>
        <w:tc>
          <w:tcPr>
            <w:tcW w:w="1936" w:type="dxa"/>
          </w:tcPr>
          <w:p w14:paraId="4CA204B8" w14:textId="14E74883" w:rsidR="00831F23" w:rsidRPr="00FD5D16" w:rsidRDefault="00E206A9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0.755 – 1.50</w:t>
            </w:r>
            <w:r w:rsidR="00E73747" w:rsidRPr="00FD5D16">
              <w:rPr>
                <w:lang w:val="en-GB"/>
              </w:rPr>
              <w:t>7</w:t>
            </w:r>
          </w:p>
        </w:tc>
      </w:tr>
      <w:tr w:rsidR="00831F23" w:rsidRPr="00FD5D16" w14:paraId="42DCD988" w14:textId="7E9BF62F" w:rsidTr="00F44363">
        <w:trPr>
          <w:gridAfter w:val="1"/>
          <w:wAfter w:w="3806" w:type="dxa"/>
        </w:trPr>
        <w:tc>
          <w:tcPr>
            <w:tcW w:w="2268" w:type="dxa"/>
          </w:tcPr>
          <w:p w14:paraId="7C728859" w14:textId="486CCDF4" w:rsidR="00831F23" w:rsidRPr="00FD5D16" w:rsidRDefault="00831F23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SOFA-max</w:t>
            </w:r>
            <w:r w:rsidRPr="00FD5D16">
              <w:rPr>
                <w:vertAlign w:val="superscript"/>
                <w:lang w:val="en-GB"/>
              </w:rPr>
              <w:endnoteReference w:id="10"/>
            </w:r>
          </w:p>
        </w:tc>
        <w:tc>
          <w:tcPr>
            <w:tcW w:w="2045" w:type="dxa"/>
          </w:tcPr>
          <w:p w14:paraId="4D989FBD" w14:textId="5DED64E8" w:rsidR="00831F23" w:rsidRPr="00FD5D16" w:rsidRDefault="00831F23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0.709 – 1.445</w:t>
            </w:r>
          </w:p>
        </w:tc>
        <w:tc>
          <w:tcPr>
            <w:tcW w:w="2045" w:type="dxa"/>
          </w:tcPr>
          <w:p w14:paraId="7334F172" w14:textId="2A84FBE4" w:rsidR="00831F23" w:rsidRPr="00FD5D16" w:rsidRDefault="00831F23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0.5</w:t>
            </w:r>
            <w:r w:rsidR="001428B2" w:rsidRPr="00FD5D16">
              <w:rPr>
                <w:lang w:val="en-GB"/>
              </w:rPr>
              <w:t>24</w:t>
            </w:r>
            <w:r w:rsidRPr="00FD5D16">
              <w:rPr>
                <w:lang w:val="en-GB"/>
              </w:rPr>
              <w:t xml:space="preserve"> – 1.6</w:t>
            </w:r>
            <w:r w:rsidR="001428B2" w:rsidRPr="00FD5D16">
              <w:rPr>
                <w:lang w:val="en-GB"/>
              </w:rPr>
              <w:t>6</w:t>
            </w:r>
            <w:r w:rsidRPr="00FD5D16">
              <w:rPr>
                <w:lang w:val="en-GB"/>
              </w:rPr>
              <w:t>2</w:t>
            </w:r>
          </w:p>
        </w:tc>
        <w:tc>
          <w:tcPr>
            <w:tcW w:w="2059" w:type="dxa"/>
          </w:tcPr>
          <w:p w14:paraId="511F8FCF" w14:textId="68E02C8E" w:rsidR="00831F23" w:rsidRPr="00FD5D16" w:rsidRDefault="00831F23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0.411 – 2.2</w:t>
            </w:r>
            <w:r w:rsidR="001428B2" w:rsidRPr="00FD5D16">
              <w:rPr>
                <w:lang w:val="en-GB"/>
              </w:rPr>
              <w:t>05</w:t>
            </w:r>
          </w:p>
        </w:tc>
        <w:tc>
          <w:tcPr>
            <w:tcW w:w="1936" w:type="dxa"/>
          </w:tcPr>
          <w:p w14:paraId="40406621" w14:textId="1D5E51D4" w:rsidR="00831F23" w:rsidRPr="00FD5D16" w:rsidRDefault="001428B2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0.772 – 1.807</w:t>
            </w:r>
          </w:p>
        </w:tc>
      </w:tr>
      <w:tr w:rsidR="00831F23" w:rsidRPr="00FD5D16" w14:paraId="6BFE0A89" w14:textId="019ADFFA" w:rsidTr="00F44363">
        <w:trPr>
          <w:gridAfter w:val="1"/>
          <w:wAfter w:w="3806" w:type="dxa"/>
        </w:trPr>
        <w:tc>
          <w:tcPr>
            <w:tcW w:w="2268" w:type="dxa"/>
          </w:tcPr>
          <w:p w14:paraId="2D920E60" w14:textId="7416592C" w:rsidR="00831F23" w:rsidRPr="00FD5D16" w:rsidRDefault="00831F23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Length-of-stay</w:t>
            </w:r>
          </w:p>
        </w:tc>
        <w:tc>
          <w:tcPr>
            <w:tcW w:w="2045" w:type="dxa"/>
          </w:tcPr>
          <w:p w14:paraId="5C31EFC3" w14:textId="1404D166" w:rsidR="00831F23" w:rsidRPr="00FD5D16" w:rsidRDefault="00831F23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0.783 – 1.285</w:t>
            </w:r>
          </w:p>
        </w:tc>
        <w:tc>
          <w:tcPr>
            <w:tcW w:w="2045" w:type="dxa"/>
          </w:tcPr>
          <w:p w14:paraId="02C7E2E9" w14:textId="689DD952" w:rsidR="00831F23" w:rsidRPr="00FD5D16" w:rsidRDefault="00831F23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0.7</w:t>
            </w:r>
            <w:r w:rsidR="008000CB" w:rsidRPr="00FD5D16">
              <w:rPr>
                <w:lang w:val="en-GB"/>
              </w:rPr>
              <w:t>08</w:t>
            </w:r>
            <w:r w:rsidRPr="00FD5D16">
              <w:rPr>
                <w:lang w:val="en-GB"/>
              </w:rPr>
              <w:t xml:space="preserve"> – 1.6</w:t>
            </w:r>
            <w:r w:rsidR="008000CB" w:rsidRPr="00FD5D16">
              <w:rPr>
                <w:lang w:val="en-GB"/>
              </w:rPr>
              <w:t>30</w:t>
            </w:r>
          </w:p>
        </w:tc>
        <w:tc>
          <w:tcPr>
            <w:tcW w:w="2059" w:type="dxa"/>
          </w:tcPr>
          <w:p w14:paraId="4958BAAB" w14:textId="6B8544E6" w:rsidR="00831F23" w:rsidRPr="00FD5D16" w:rsidRDefault="00831F23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1.13</w:t>
            </w:r>
            <w:r w:rsidR="008000CB" w:rsidRPr="00FD5D16">
              <w:rPr>
                <w:lang w:val="en-GB"/>
              </w:rPr>
              <w:t>6</w:t>
            </w:r>
            <w:r w:rsidRPr="00FD5D16">
              <w:rPr>
                <w:lang w:val="en-GB"/>
              </w:rPr>
              <w:t xml:space="preserve"> – 4.64</w:t>
            </w:r>
            <w:r w:rsidR="008000CB" w:rsidRPr="00FD5D16">
              <w:rPr>
                <w:lang w:val="en-GB"/>
              </w:rPr>
              <w:t>2</w:t>
            </w:r>
            <w:r w:rsidRPr="00FD5D16">
              <w:rPr>
                <w:lang w:val="en-GB"/>
              </w:rPr>
              <w:t>*</w:t>
            </w:r>
          </w:p>
        </w:tc>
        <w:tc>
          <w:tcPr>
            <w:tcW w:w="1936" w:type="dxa"/>
          </w:tcPr>
          <w:p w14:paraId="2D8F2116" w14:textId="54B45D37" w:rsidR="00831F23" w:rsidRPr="00FD5D16" w:rsidRDefault="008000CB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0.837 – 1.542</w:t>
            </w:r>
          </w:p>
        </w:tc>
      </w:tr>
    </w:tbl>
    <w:p w14:paraId="3D663AEE" w14:textId="77777777" w:rsidR="00BE6FBC" w:rsidRPr="00FD5D16" w:rsidRDefault="00BE6FBC">
      <w:pPr>
        <w:rPr>
          <w:lang w:val="en-GB"/>
        </w:rPr>
        <w:sectPr w:rsidR="00BE6FBC" w:rsidRPr="00FD5D16" w:rsidSect="00BE6FBC">
          <w:endnotePr>
            <w:numFmt w:val="lowerLetter"/>
            <w:numRestart w:val="eachSect"/>
          </w:endnotePr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183BE24" w14:textId="77777777" w:rsidR="00BE6FBC" w:rsidRPr="00FD5D16" w:rsidRDefault="00BE6FBC">
      <w:pPr>
        <w:rPr>
          <w:lang w:val="en-GB"/>
        </w:rPr>
        <w:sectPr w:rsidR="00BE6FBC" w:rsidRPr="00FD5D16" w:rsidSect="00BE6FBC">
          <w:type w:val="continuous"/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198B209" w14:textId="7CC15FC3" w:rsidR="00331389" w:rsidRPr="00FD5D16" w:rsidRDefault="00331389">
      <w:pPr>
        <w:rPr>
          <w:lang w:val="en-GB"/>
        </w:rPr>
      </w:pPr>
    </w:p>
    <w:tbl>
      <w:tblPr>
        <w:tblStyle w:val="Tabellrutnt"/>
        <w:tblW w:w="14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059"/>
        <w:gridCol w:w="2045"/>
        <w:gridCol w:w="2045"/>
        <w:gridCol w:w="1936"/>
        <w:gridCol w:w="3630"/>
      </w:tblGrid>
      <w:tr w:rsidR="0032261A" w:rsidRPr="00BA63DD" w14:paraId="17D71FCD" w14:textId="77777777" w:rsidTr="0032261A">
        <w:tc>
          <w:tcPr>
            <w:tcW w:w="14267" w:type="dxa"/>
            <w:gridSpan w:val="6"/>
          </w:tcPr>
          <w:p w14:paraId="30E3378E" w14:textId="7070B229" w:rsidR="0032261A" w:rsidRPr="00FD5D16" w:rsidRDefault="0032261A" w:rsidP="00BD4A65">
            <w:pPr>
              <w:spacing w:after="160"/>
              <w:rPr>
                <w:b/>
                <w:bCs/>
                <w:lang w:val="en-GB"/>
              </w:rPr>
            </w:pPr>
            <w:r w:rsidRPr="00FD5D16">
              <w:rPr>
                <w:b/>
                <w:bCs/>
                <w:lang w:val="en-GB"/>
              </w:rPr>
              <w:t>Subgroup ARDS, n=5 642. Multivariable regression analyses with 95% confidence interval for odds or hazard ratio</w:t>
            </w:r>
            <w:r w:rsidRPr="00FD5D16">
              <w:rPr>
                <w:b/>
                <w:bCs/>
                <w:vertAlign w:val="superscript"/>
                <w:lang w:val="en-GB"/>
              </w:rPr>
              <w:endnoteReference w:id="11"/>
            </w:r>
          </w:p>
        </w:tc>
      </w:tr>
      <w:tr w:rsidR="0032261A" w:rsidRPr="00FD5D16" w14:paraId="0D9C8AE4" w14:textId="121E0732" w:rsidTr="0032261A">
        <w:trPr>
          <w:gridAfter w:val="1"/>
          <w:wAfter w:w="3630" w:type="dxa"/>
        </w:trPr>
        <w:tc>
          <w:tcPr>
            <w:tcW w:w="2552" w:type="dxa"/>
          </w:tcPr>
          <w:p w14:paraId="32EBAD73" w14:textId="65648336" w:rsidR="0032261A" w:rsidRPr="00FD5D16" w:rsidRDefault="0032261A" w:rsidP="00AB7C6E">
            <w:pPr>
              <w:rPr>
                <w:b/>
                <w:bCs/>
                <w:lang w:val="en-GB"/>
              </w:rPr>
            </w:pPr>
          </w:p>
        </w:tc>
        <w:tc>
          <w:tcPr>
            <w:tcW w:w="2059" w:type="dxa"/>
          </w:tcPr>
          <w:p w14:paraId="49C83A4A" w14:textId="77777777" w:rsidR="0032261A" w:rsidRPr="00FD5D16" w:rsidRDefault="0032261A" w:rsidP="00AB7C6E">
            <w:pPr>
              <w:rPr>
                <w:b/>
                <w:bCs/>
                <w:lang w:val="en-GB"/>
              </w:rPr>
            </w:pPr>
            <w:proofErr w:type="spellStart"/>
            <w:r w:rsidRPr="00FD5D16">
              <w:rPr>
                <w:b/>
                <w:bCs/>
                <w:lang w:val="en-GB"/>
              </w:rPr>
              <w:t>Blgrp</w:t>
            </w:r>
            <w:proofErr w:type="spellEnd"/>
            <w:r w:rsidRPr="00FD5D16">
              <w:rPr>
                <w:b/>
                <w:bCs/>
                <w:lang w:val="en-GB"/>
              </w:rPr>
              <w:t xml:space="preserve"> A</w:t>
            </w:r>
          </w:p>
        </w:tc>
        <w:tc>
          <w:tcPr>
            <w:tcW w:w="2045" w:type="dxa"/>
          </w:tcPr>
          <w:p w14:paraId="217114B5" w14:textId="77777777" w:rsidR="0032261A" w:rsidRPr="00FD5D16" w:rsidRDefault="0032261A" w:rsidP="00AB7C6E">
            <w:pPr>
              <w:rPr>
                <w:b/>
                <w:bCs/>
                <w:lang w:val="en-GB"/>
              </w:rPr>
            </w:pPr>
            <w:proofErr w:type="spellStart"/>
            <w:r w:rsidRPr="00FD5D16">
              <w:rPr>
                <w:b/>
                <w:bCs/>
                <w:lang w:val="en-GB"/>
              </w:rPr>
              <w:t>Blgrp</w:t>
            </w:r>
            <w:proofErr w:type="spellEnd"/>
            <w:r w:rsidRPr="00FD5D16">
              <w:rPr>
                <w:b/>
                <w:bCs/>
                <w:lang w:val="en-GB"/>
              </w:rPr>
              <w:t xml:space="preserve"> B</w:t>
            </w:r>
          </w:p>
        </w:tc>
        <w:tc>
          <w:tcPr>
            <w:tcW w:w="2045" w:type="dxa"/>
          </w:tcPr>
          <w:p w14:paraId="0A3425D8" w14:textId="77777777" w:rsidR="0032261A" w:rsidRPr="00FD5D16" w:rsidRDefault="0032261A" w:rsidP="00AB7C6E">
            <w:pPr>
              <w:rPr>
                <w:b/>
                <w:bCs/>
                <w:lang w:val="en-GB"/>
              </w:rPr>
            </w:pPr>
            <w:proofErr w:type="spellStart"/>
            <w:r w:rsidRPr="00FD5D16">
              <w:rPr>
                <w:b/>
                <w:bCs/>
                <w:lang w:val="en-GB"/>
              </w:rPr>
              <w:t>Blgrp</w:t>
            </w:r>
            <w:proofErr w:type="spellEnd"/>
            <w:r w:rsidRPr="00FD5D16">
              <w:rPr>
                <w:b/>
                <w:bCs/>
                <w:lang w:val="en-GB"/>
              </w:rPr>
              <w:t xml:space="preserve"> AB</w:t>
            </w:r>
          </w:p>
        </w:tc>
        <w:tc>
          <w:tcPr>
            <w:tcW w:w="1936" w:type="dxa"/>
          </w:tcPr>
          <w:p w14:paraId="2506BB38" w14:textId="3AC42320" w:rsidR="0032261A" w:rsidRPr="00FD5D16" w:rsidRDefault="0032261A" w:rsidP="00AB7C6E">
            <w:pPr>
              <w:rPr>
                <w:b/>
                <w:bCs/>
                <w:lang w:val="en-GB"/>
              </w:rPr>
            </w:pPr>
            <w:proofErr w:type="spellStart"/>
            <w:r w:rsidRPr="00FD5D16">
              <w:rPr>
                <w:b/>
                <w:bCs/>
                <w:lang w:val="en-GB"/>
              </w:rPr>
              <w:t>RhD</w:t>
            </w:r>
            <w:proofErr w:type="spellEnd"/>
            <w:r w:rsidRPr="00FD5D16">
              <w:rPr>
                <w:b/>
                <w:bCs/>
                <w:lang w:val="en-GB"/>
              </w:rPr>
              <w:t xml:space="preserve"> positive</w:t>
            </w:r>
          </w:p>
        </w:tc>
      </w:tr>
      <w:tr w:rsidR="0032261A" w:rsidRPr="00FD5D16" w14:paraId="13AD331C" w14:textId="0E4913B6" w:rsidTr="0032261A">
        <w:trPr>
          <w:gridAfter w:val="1"/>
          <w:wAfter w:w="3630" w:type="dxa"/>
        </w:trPr>
        <w:tc>
          <w:tcPr>
            <w:tcW w:w="2552" w:type="dxa"/>
          </w:tcPr>
          <w:p w14:paraId="498901E1" w14:textId="1DE4E25D" w:rsidR="0032261A" w:rsidRPr="00FD5D16" w:rsidRDefault="0032261A" w:rsidP="00AB7C6E">
            <w:pPr>
              <w:rPr>
                <w:b/>
                <w:bCs/>
                <w:lang w:val="en-GB"/>
              </w:rPr>
            </w:pPr>
            <w:r w:rsidRPr="00FD5D16">
              <w:rPr>
                <w:b/>
                <w:bCs/>
                <w:lang w:val="en-GB"/>
              </w:rPr>
              <w:t>Mortality</w:t>
            </w:r>
          </w:p>
        </w:tc>
        <w:tc>
          <w:tcPr>
            <w:tcW w:w="2059" w:type="dxa"/>
          </w:tcPr>
          <w:p w14:paraId="7BA3C161" w14:textId="77777777" w:rsidR="0032261A" w:rsidRPr="00FD5D16" w:rsidRDefault="0032261A" w:rsidP="00AB7C6E">
            <w:pPr>
              <w:rPr>
                <w:lang w:val="en-GB"/>
              </w:rPr>
            </w:pPr>
          </w:p>
        </w:tc>
        <w:tc>
          <w:tcPr>
            <w:tcW w:w="2045" w:type="dxa"/>
          </w:tcPr>
          <w:p w14:paraId="543E9B20" w14:textId="77777777" w:rsidR="0032261A" w:rsidRPr="00FD5D16" w:rsidRDefault="0032261A" w:rsidP="00AB7C6E">
            <w:pPr>
              <w:rPr>
                <w:lang w:val="en-GB"/>
              </w:rPr>
            </w:pPr>
          </w:p>
        </w:tc>
        <w:tc>
          <w:tcPr>
            <w:tcW w:w="2045" w:type="dxa"/>
          </w:tcPr>
          <w:p w14:paraId="00D20241" w14:textId="77777777" w:rsidR="0032261A" w:rsidRPr="00FD5D16" w:rsidRDefault="0032261A" w:rsidP="00AB7C6E">
            <w:pPr>
              <w:rPr>
                <w:lang w:val="en-GB"/>
              </w:rPr>
            </w:pPr>
          </w:p>
        </w:tc>
        <w:tc>
          <w:tcPr>
            <w:tcW w:w="1936" w:type="dxa"/>
          </w:tcPr>
          <w:p w14:paraId="2485E1B8" w14:textId="77777777" w:rsidR="0032261A" w:rsidRPr="00FD5D16" w:rsidRDefault="0032261A" w:rsidP="00AB7C6E">
            <w:pPr>
              <w:rPr>
                <w:lang w:val="en-GB"/>
              </w:rPr>
            </w:pPr>
          </w:p>
        </w:tc>
      </w:tr>
      <w:tr w:rsidR="0032261A" w:rsidRPr="00FD5D16" w14:paraId="4AAC73AB" w14:textId="3F3116F3" w:rsidTr="0032261A">
        <w:trPr>
          <w:gridAfter w:val="1"/>
          <w:wAfter w:w="3630" w:type="dxa"/>
        </w:trPr>
        <w:tc>
          <w:tcPr>
            <w:tcW w:w="2552" w:type="dxa"/>
          </w:tcPr>
          <w:p w14:paraId="768E7530" w14:textId="77777777" w:rsidR="0032261A" w:rsidRPr="00FD5D16" w:rsidRDefault="0032261A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28–day mortality</w:t>
            </w:r>
          </w:p>
        </w:tc>
        <w:tc>
          <w:tcPr>
            <w:tcW w:w="2059" w:type="dxa"/>
          </w:tcPr>
          <w:p w14:paraId="57DEB01C" w14:textId="5E08821B" w:rsidR="0032261A" w:rsidRPr="00FD5D16" w:rsidRDefault="0032261A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0.924 – 1.186</w:t>
            </w:r>
          </w:p>
        </w:tc>
        <w:tc>
          <w:tcPr>
            <w:tcW w:w="2045" w:type="dxa"/>
          </w:tcPr>
          <w:p w14:paraId="15170082" w14:textId="4E7D94C2" w:rsidR="0032261A" w:rsidRPr="00FD5D16" w:rsidRDefault="0032261A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</w:t>
            </w:r>
            <w:r w:rsidR="003D4010" w:rsidRPr="00FD5D16">
              <w:rPr>
                <w:lang w:val="en-GB"/>
              </w:rPr>
              <w:t>941</w:t>
            </w:r>
            <w:r w:rsidRPr="00FD5D16">
              <w:rPr>
                <w:lang w:val="en-GB"/>
              </w:rPr>
              <w:t xml:space="preserve"> – 1.</w:t>
            </w:r>
            <w:r w:rsidR="003D4010" w:rsidRPr="00FD5D16">
              <w:rPr>
                <w:lang w:val="en-GB"/>
              </w:rPr>
              <w:t>378</w:t>
            </w:r>
          </w:p>
        </w:tc>
        <w:tc>
          <w:tcPr>
            <w:tcW w:w="2045" w:type="dxa"/>
          </w:tcPr>
          <w:p w14:paraId="2E7B4901" w14:textId="42ADAD77" w:rsidR="0032261A" w:rsidRPr="00FD5D16" w:rsidRDefault="0032261A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0.7</w:t>
            </w:r>
            <w:r w:rsidR="003D4010" w:rsidRPr="00FD5D16">
              <w:rPr>
                <w:lang w:val="en-GB"/>
              </w:rPr>
              <w:t>63</w:t>
            </w:r>
            <w:r w:rsidRPr="00FD5D16">
              <w:rPr>
                <w:lang w:val="en-GB"/>
              </w:rPr>
              <w:t xml:space="preserve"> – 1.</w:t>
            </w:r>
            <w:r w:rsidR="003D4010" w:rsidRPr="00FD5D16">
              <w:rPr>
                <w:lang w:val="en-GB"/>
              </w:rPr>
              <w:t>328</w:t>
            </w:r>
          </w:p>
        </w:tc>
        <w:tc>
          <w:tcPr>
            <w:tcW w:w="1936" w:type="dxa"/>
          </w:tcPr>
          <w:p w14:paraId="594A5094" w14:textId="683AE256" w:rsidR="0032261A" w:rsidRPr="00FD5D16" w:rsidRDefault="003D4010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0.993 – 1.361</w:t>
            </w:r>
          </w:p>
        </w:tc>
      </w:tr>
      <w:tr w:rsidR="0032261A" w:rsidRPr="00FD5D16" w14:paraId="0F76B713" w14:textId="1302119D" w:rsidTr="0032261A">
        <w:trPr>
          <w:gridAfter w:val="1"/>
          <w:wAfter w:w="3630" w:type="dxa"/>
        </w:trPr>
        <w:tc>
          <w:tcPr>
            <w:tcW w:w="2552" w:type="dxa"/>
          </w:tcPr>
          <w:p w14:paraId="54DE4BD3" w14:textId="77777777" w:rsidR="0032261A" w:rsidRPr="00FD5D16" w:rsidRDefault="0032261A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90–day mortality</w:t>
            </w:r>
          </w:p>
        </w:tc>
        <w:tc>
          <w:tcPr>
            <w:tcW w:w="2059" w:type="dxa"/>
          </w:tcPr>
          <w:p w14:paraId="12401DF5" w14:textId="69479455" w:rsidR="0032261A" w:rsidRPr="00FD5D16" w:rsidRDefault="0032261A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0.902 – 1.148</w:t>
            </w:r>
          </w:p>
        </w:tc>
        <w:tc>
          <w:tcPr>
            <w:tcW w:w="2045" w:type="dxa"/>
          </w:tcPr>
          <w:p w14:paraId="40CA0DC8" w14:textId="18D25DC3" w:rsidR="0032261A" w:rsidRPr="00FD5D16" w:rsidRDefault="0032261A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</w:t>
            </w:r>
            <w:r w:rsidR="00FA498A" w:rsidRPr="00FD5D16">
              <w:rPr>
                <w:lang w:val="en-GB"/>
              </w:rPr>
              <w:t>837</w:t>
            </w:r>
            <w:r w:rsidRPr="00FD5D16">
              <w:rPr>
                <w:lang w:val="en-GB"/>
              </w:rPr>
              <w:t xml:space="preserve"> – 1.</w:t>
            </w:r>
            <w:r w:rsidR="00FA498A" w:rsidRPr="00FD5D16">
              <w:rPr>
                <w:lang w:val="en-GB"/>
              </w:rPr>
              <w:t>213</w:t>
            </w:r>
          </w:p>
        </w:tc>
        <w:tc>
          <w:tcPr>
            <w:tcW w:w="2045" w:type="dxa"/>
          </w:tcPr>
          <w:p w14:paraId="227F79F7" w14:textId="4C707A4B" w:rsidR="0032261A" w:rsidRPr="00FD5D16" w:rsidRDefault="0032261A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</w:t>
            </w:r>
            <w:r w:rsidR="00FA498A" w:rsidRPr="00FD5D16">
              <w:rPr>
                <w:lang w:val="en-GB"/>
              </w:rPr>
              <w:t>736</w:t>
            </w:r>
            <w:r w:rsidRPr="00FD5D16">
              <w:rPr>
                <w:lang w:val="en-GB"/>
              </w:rPr>
              <w:t xml:space="preserve"> – 1.2</w:t>
            </w:r>
            <w:r w:rsidR="00FA498A" w:rsidRPr="00FD5D16">
              <w:rPr>
                <w:lang w:val="en-GB"/>
              </w:rPr>
              <w:t>56</w:t>
            </w:r>
          </w:p>
        </w:tc>
        <w:tc>
          <w:tcPr>
            <w:tcW w:w="1936" w:type="dxa"/>
          </w:tcPr>
          <w:p w14:paraId="516A7153" w14:textId="07D9A2AF" w:rsidR="0032261A" w:rsidRPr="00FD5D16" w:rsidRDefault="00FA498A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0.937 – 1.266</w:t>
            </w:r>
          </w:p>
        </w:tc>
      </w:tr>
      <w:tr w:rsidR="0032261A" w:rsidRPr="00FD5D16" w14:paraId="59319A9A" w14:textId="7B8A6D51" w:rsidTr="0032261A">
        <w:trPr>
          <w:gridAfter w:val="1"/>
          <w:wAfter w:w="3630" w:type="dxa"/>
        </w:trPr>
        <w:tc>
          <w:tcPr>
            <w:tcW w:w="2552" w:type="dxa"/>
          </w:tcPr>
          <w:p w14:paraId="585A0C2C" w14:textId="3126C3DA" w:rsidR="0032261A" w:rsidRPr="00FD5D16" w:rsidRDefault="0032261A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Long-term mortality</w:t>
            </w:r>
            <w:r w:rsidRPr="00FD5D16">
              <w:rPr>
                <w:rStyle w:val="Slutnotsreferens"/>
                <w:lang w:val="en-GB"/>
              </w:rPr>
              <w:endnoteReference w:id="12"/>
            </w:r>
          </w:p>
        </w:tc>
        <w:tc>
          <w:tcPr>
            <w:tcW w:w="2059" w:type="dxa"/>
          </w:tcPr>
          <w:p w14:paraId="59BA3578" w14:textId="3D7A02EC" w:rsidR="0032261A" w:rsidRPr="00FD5D16" w:rsidRDefault="0032261A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0.985 – 1.132</w:t>
            </w:r>
          </w:p>
        </w:tc>
        <w:tc>
          <w:tcPr>
            <w:tcW w:w="2045" w:type="dxa"/>
          </w:tcPr>
          <w:p w14:paraId="57A23381" w14:textId="59A264B0" w:rsidR="0032261A" w:rsidRPr="00FD5D16" w:rsidRDefault="0032261A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0.975 – 1.207</w:t>
            </w:r>
          </w:p>
        </w:tc>
        <w:tc>
          <w:tcPr>
            <w:tcW w:w="2045" w:type="dxa"/>
          </w:tcPr>
          <w:p w14:paraId="049EBFD2" w14:textId="15CAF98E" w:rsidR="0032261A" w:rsidRPr="00FD5D16" w:rsidRDefault="0032261A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0.890 – 1.216</w:t>
            </w:r>
          </w:p>
        </w:tc>
        <w:tc>
          <w:tcPr>
            <w:tcW w:w="1936" w:type="dxa"/>
          </w:tcPr>
          <w:p w14:paraId="0890B969" w14:textId="3D2E6EC5" w:rsidR="0032261A" w:rsidRPr="00FD5D16" w:rsidRDefault="0032261A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0.985 – 1.172</w:t>
            </w:r>
          </w:p>
        </w:tc>
      </w:tr>
      <w:tr w:rsidR="0032261A" w:rsidRPr="00FD5D16" w14:paraId="0FBC1956" w14:textId="3325A3B9" w:rsidTr="0032261A">
        <w:trPr>
          <w:gridAfter w:val="1"/>
          <w:wAfter w:w="3630" w:type="dxa"/>
        </w:trPr>
        <w:tc>
          <w:tcPr>
            <w:tcW w:w="2552" w:type="dxa"/>
          </w:tcPr>
          <w:p w14:paraId="5F04F271" w14:textId="77777777" w:rsidR="0032261A" w:rsidRPr="00FD5D16" w:rsidRDefault="0032261A" w:rsidP="000C07D7">
            <w:pPr>
              <w:spacing w:before="60"/>
              <w:rPr>
                <w:b/>
                <w:bCs/>
                <w:lang w:val="en-GB"/>
              </w:rPr>
            </w:pPr>
            <w:r w:rsidRPr="00FD5D16">
              <w:rPr>
                <w:b/>
                <w:bCs/>
                <w:lang w:val="en-GB"/>
              </w:rPr>
              <w:t>Morbidity</w:t>
            </w:r>
          </w:p>
        </w:tc>
        <w:tc>
          <w:tcPr>
            <w:tcW w:w="2059" w:type="dxa"/>
          </w:tcPr>
          <w:p w14:paraId="13FFA505" w14:textId="77777777" w:rsidR="0032261A" w:rsidRPr="00FD5D16" w:rsidRDefault="0032261A" w:rsidP="000C07D7">
            <w:pPr>
              <w:spacing w:before="60"/>
              <w:rPr>
                <w:lang w:val="en-GB"/>
              </w:rPr>
            </w:pPr>
          </w:p>
        </w:tc>
        <w:tc>
          <w:tcPr>
            <w:tcW w:w="2045" w:type="dxa"/>
          </w:tcPr>
          <w:p w14:paraId="516A5BAD" w14:textId="77777777" w:rsidR="0032261A" w:rsidRPr="00FD5D16" w:rsidRDefault="0032261A" w:rsidP="000C07D7">
            <w:pPr>
              <w:spacing w:before="60"/>
              <w:rPr>
                <w:lang w:val="en-GB"/>
              </w:rPr>
            </w:pPr>
          </w:p>
        </w:tc>
        <w:tc>
          <w:tcPr>
            <w:tcW w:w="2045" w:type="dxa"/>
          </w:tcPr>
          <w:p w14:paraId="784BD1CA" w14:textId="77777777" w:rsidR="0032261A" w:rsidRPr="00FD5D16" w:rsidRDefault="0032261A" w:rsidP="000C07D7">
            <w:pPr>
              <w:spacing w:before="60"/>
              <w:rPr>
                <w:lang w:val="en-GB"/>
              </w:rPr>
            </w:pPr>
          </w:p>
        </w:tc>
        <w:tc>
          <w:tcPr>
            <w:tcW w:w="1936" w:type="dxa"/>
          </w:tcPr>
          <w:p w14:paraId="4606BAFC" w14:textId="77777777" w:rsidR="0032261A" w:rsidRPr="00FD5D16" w:rsidRDefault="0032261A" w:rsidP="000C07D7">
            <w:pPr>
              <w:spacing w:before="60"/>
              <w:rPr>
                <w:lang w:val="en-GB"/>
              </w:rPr>
            </w:pPr>
          </w:p>
        </w:tc>
      </w:tr>
      <w:tr w:rsidR="0032261A" w:rsidRPr="00FD5D16" w14:paraId="2F837AEF" w14:textId="0B403A07" w:rsidTr="0032261A">
        <w:trPr>
          <w:gridAfter w:val="1"/>
          <w:wAfter w:w="3630" w:type="dxa"/>
        </w:trPr>
        <w:tc>
          <w:tcPr>
            <w:tcW w:w="2552" w:type="dxa"/>
          </w:tcPr>
          <w:p w14:paraId="3E24C1E6" w14:textId="77777777" w:rsidR="0032261A" w:rsidRPr="00FD5D16" w:rsidRDefault="0032261A" w:rsidP="00AB7C6E">
            <w:pPr>
              <w:rPr>
                <w:lang w:val="en-GB"/>
              </w:rPr>
            </w:pPr>
            <w:proofErr w:type="spellStart"/>
            <w:r w:rsidRPr="00FD5D16">
              <w:rPr>
                <w:lang w:val="en-GB"/>
              </w:rPr>
              <w:t>DAFvent</w:t>
            </w:r>
            <w:proofErr w:type="spellEnd"/>
            <w:r w:rsidRPr="00FD5D16">
              <w:rPr>
                <w:vertAlign w:val="superscript"/>
                <w:lang w:val="en-GB"/>
              </w:rPr>
              <w:endnoteReference w:id="13"/>
            </w:r>
          </w:p>
        </w:tc>
        <w:tc>
          <w:tcPr>
            <w:tcW w:w="2059" w:type="dxa"/>
          </w:tcPr>
          <w:p w14:paraId="2BF11237" w14:textId="09562580" w:rsidR="0032261A" w:rsidRPr="00FD5D16" w:rsidRDefault="0032261A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1.014 – 1.283*</w:t>
            </w:r>
          </w:p>
        </w:tc>
        <w:tc>
          <w:tcPr>
            <w:tcW w:w="2045" w:type="dxa"/>
          </w:tcPr>
          <w:p w14:paraId="5A548D23" w14:textId="4DC0A70E" w:rsidR="0032261A" w:rsidRPr="00FD5D16" w:rsidRDefault="0032261A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0.867 – 1.242</w:t>
            </w:r>
          </w:p>
        </w:tc>
        <w:tc>
          <w:tcPr>
            <w:tcW w:w="2045" w:type="dxa"/>
          </w:tcPr>
          <w:p w14:paraId="78B76AA7" w14:textId="054CA14B" w:rsidR="0032261A" w:rsidRPr="00FD5D16" w:rsidRDefault="0032261A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0.856 – 1.443</w:t>
            </w:r>
          </w:p>
        </w:tc>
        <w:tc>
          <w:tcPr>
            <w:tcW w:w="1936" w:type="dxa"/>
          </w:tcPr>
          <w:p w14:paraId="39FEE846" w14:textId="0BBE3B56" w:rsidR="0032261A" w:rsidRPr="00FD5D16" w:rsidRDefault="00612513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0.926 – 1.240</w:t>
            </w:r>
          </w:p>
        </w:tc>
      </w:tr>
      <w:tr w:rsidR="0032261A" w:rsidRPr="00FD5D16" w14:paraId="6F2B3506" w14:textId="03219515" w:rsidTr="0032261A">
        <w:trPr>
          <w:gridAfter w:val="1"/>
          <w:wAfter w:w="3630" w:type="dxa"/>
        </w:trPr>
        <w:tc>
          <w:tcPr>
            <w:tcW w:w="2552" w:type="dxa"/>
          </w:tcPr>
          <w:p w14:paraId="620FFCD0" w14:textId="77777777" w:rsidR="0032261A" w:rsidRPr="00FD5D16" w:rsidRDefault="0032261A" w:rsidP="00AB7C6E">
            <w:pPr>
              <w:rPr>
                <w:lang w:val="en-GB"/>
              </w:rPr>
            </w:pPr>
            <w:proofErr w:type="spellStart"/>
            <w:r w:rsidRPr="00FD5D16">
              <w:rPr>
                <w:lang w:val="en-GB"/>
              </w:rPr>
              <w:t>DAFcirc</w:t>
            </w:r>
            <w:proofErr w:type="spellEnd"/>
            <w:r w:rsidRPr="00FD5D16">
              <w:rPr>
                <w:vertAlign w:val="superscript"/>
                <w:lang w:val="en-GB"/>
              </w:rPr>
              <w:endnoteReference w:id="14"/>
            </w:r>
          </w:p>
        </w:tc>
        <w:tc>
          <w:tcPr>
            <w:tcW w:w="2059" w:type="dxa"/>
          </w:tcPr>
          <w:p w14:paraId="7C989B53" w14:textId="3B02788C" w:rsidR="0032261A" w:rsidRPr="00FD5D16" w:rsidRDefault="0032261A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0.888 – 1.119</w:t>
            </w:r>
          </w:p>
        </w:tc>
        <w:tc>
          <w:tcPr>
            <w:tcW w:w="2045" w:type="dxa"/>
          </w:tcPr>
          <w:p w14:paraId="058BAA3B" w14:textId="337182AC" w:rsidR="0032261A" w:rsidRPr="00FD5D16" w:rsidRDefault="0032261A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0.866 – 1.237</w:t>
            </w:r>
          </w:p>
        </w:tc>
        <w:tc>
          <w:tcPr>
            <w:tcW w:w="2045" w:type="dxa"/>
          </w:tcPr>
          <w:p w14:paraId="5A0E3C46" w14:textId="5D540EA2" w:rsidR="0032261A" w:rsidRPr="00FD5D16" w:rsidRDefault="0032261A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0.722 – 1.205</w:t>
            </w:r>
          </w:p>
        </w:tc>
        <w:tc>
          <w:tcPr>
            <w:tcW w:w="1936" w:type="dxa"/>
          </w:tcPr>
          <w:p w14:paraId="3A60FD54" w14:textId="786098F1" w:rsidR="0032261A" w:rsidRPr="00FD5D16" w:rsidRDefault="00612513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0.871 – 1.162</w:t>
            </w:r>
          </w:p>
        </w:tc>
      </w:tr>
      <w:tr w:rsidR="0032261A" w:rsidRPr="00FD5D16" w14:paraId="3DC5B6D3" w14:textId="35E349EC" w:rsidTr="0032261A">
        <w:trPr>
          <w:gridAfter w:val="1"/>
          <w:wAfter w:w="3630" w:type="dxa"/>
        </w:trPr>
        <w:tc>
          <w:tcPr>
            <w:tcW w:w="2552" w:type="dxa"/>
          </w:tcPr>
          <w:p w14:paraId="679E2116" w14:textId="73D16BA8" w:rsidR="0032261A" w:rsidRPr="00FD5D16" w:rsidRDefault="0032261A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SOFA-max</w:t>
            </w:r>
            <w:r w:rsidRPr="00FD5D16">
              <w:rPr>
                <w:vertAlign w:val="superscript"/>
                <w:lang w:val="en-GB"/>
              </w:rPr>
              <w:endnoteReference w:id="15"/>
            </w:r>
          </w:p>
        </w:tc>
        <w:tc>
          <w:tcPr>
            <w:tcW w:w="2059" w:type="dxa"/>
          </w:tcPr>
          <w:p w14:paraId="520AA95F" w14:textId="2017142A" w:rsidR="0032261A" w:rsidRPr="00FD5D16" w:rsidRDefault="0032261A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0.930 – 1.185</w:t>
            </w:r>
          </w:p>
        </w:tc>
        <w:tc>
          <w:tcPr>
            <w:tcW w:w="2045" w:type="dxa"/>
          </w:tcPr>
          <w:p w14:paraId="7E1088E9" w14:textId="78295800" w:rsidR="0032261A" w:rsidRPr="00FD5D16" w:rsidRDefault="0032261A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0.803 – 1.162</w:t>
            </w:r>
          </w:p>
        </w:tc>
        <w:tc>
          <w:tcPr>
            <w:tcW w:w="2045" w:type="dxa"/>
          </w:tcPr>
          <w:p w14:paraId="5B6145F5" w14:textId="042AC112" w:rsidR="0032261A" w:rsidRPr="00FD5D16" w:rsidRDefault="0032261A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0.748 – 1.270</w:t>
            </w:r>
          </w:p>
        </w:tc>
        <w:tc>
          <w:tcPr>
            <w:tcW w:w="1936" w:type="dxa"/>
          </w:tcPr>
          <w:p w14:paraId="6B97BB5F" w14:textId="3C6419EE" w:rsidR="0032261A" w:rsidRPr="00FD5D16" w:rsidRDefault="00F94D46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0.873 – 1.181</w:t>
            </w:r>
          </w:p>
        </w:tc>
      </w:tr>
      <w:tr w:rsidR="0032261A" w:rsidRPr="00FD5D16" w14:paraId="053D3E99" w14:textId="36FC2725" w:rsidTr="0032261A">
        <w:trPr>
          <w:gridAfter w:val="1"/>
          <w:wAfter w:w="3630" w:type="dxa"/>
        </w:trPr>
        <w:tc>
          <w:tcPr>
            <w:tcW w:w="2552" w:type="dxa"/>
          </w:tcPr>
          <w:p w14:paraId="650388ED" w14:textId="1D3693CA" w:rsidR="0032261A" w:rsidRPr="00FD5D16" w:rsidRDefault="0032261A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Length-of-stay</w:t>
            </w:r>
          </w:p>
        </w:tc>
        <w:tc>
          <w:tcPr>
            <w:tcW w:w="2059" w:type="dxa"/>
          </w:tcPr>
          <w:p w14:paraId="39B6E75C" w14:textId="0847B8D8" w:rsidR="0032261A" w:rsidRPr="00FD5D16" w:rsidRDefault="0032261A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0.867 – 1.105</w:t>
            </w:r>
          </w:p>
        </w:tc>
        <w:tc>
          <w:tcPr>
            <w:tcW w:w="2045" w:type="dxa"/>
          </w:tcPr>
          <w:p w14:paraId="38D697C7" w14:textId="50135501" w:rsidR="0032261A" w:rsidRPr="00FD5D16" w:rsidRDefault="0032261A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0.762 – 1.102</w:t>
            </w:r>
          </w:p>
        </w:tc>
        <w:tc>
          <w:tcPr>
            <w:tcW w:w="2045" w:type="dxa"/>
          </w:tcPr>
          <w:p w14:paraId="1B898197" w14:textId="5AE79050" w:rsidR="0032261A" w:rsidRPr="00FD5D16" w:rsidRDefault="0032261A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0.659 – 1.113</w:t>
            </w:r>
          </w:p>
        </w:tc>
        <w:tc>
          <w:tcPr>
            <w:tcW w:w="1936" w:type="dxa"/>
          </w:tcPr>
          <w:p w14:paraId="02768532" w14:textId="41EC856D" w:rsidR="0032261A" w:rsidRPr="00FD5D16" w:rsidRDefault="007772CE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0.828 – 1.120</w:t>
            </w:r>
          </w:p>
        </w:tc>
      </w:tr>
    </w:tbl>
    <w:p w14:paraId="68A94353" w14:textId="77777777" w:rsidR="00BE6FBC" w:rsidRPr="00FD5D16" w:rsidRDefault="00BE6FBC">
      <w:pPr>
        <w:rPr>
          <w:lang w:val="en-GB"/>
        </w:rPr>
        <w:sectPr w:rsidR="00BE6FBC" w:rsidRPr="00FD5D16" w:rsidSect="00BE6FBC">
          <w:endnotePr>
            <w:numFmt w:val="lowerLetter"/>
            <w:numRestart w:val="eachSect"/>
          </w:endnotePr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25D658B" w14:textId="24EE6519" w:rsidR="00BE6FBC" w:rsidRPr="00FD5D16" w:rsidRDefault="00BE6FBC">
      <w:pPr>
        <w:rPr>
          <w:lang w:val="en-GB"/>
        </w:rPr>
      </w:pPr>
    </w:p>
    <w:tbl>
      <w:tblPr>
        <w:tblStyle w:val="Tabellrutnt"/>
        <w:tblW w:w="14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95"/>
      </w:tblGrid>
      <w:tr w:rsidR="00A948D7" w:rsidRPr="00BA63DD" w14:paraId="59326CCB" w14:textId="77777777" w:rsidTr="009C20B3">
        <w:tc>
          <w:tcPr>
            <w:tcW w:w="14295" w:type="dxa"/>
          </w:tcPr>
          <w:p w14:paraId="4088BFCA" w14:textId="30B4DD88" w:rsidR="00A948D7" w:rsidRPr="00FD5D16" w:rsidRDefault="00A948D7" w:rsidP="00BD4A65">
            <w:pPr>
              <w:spacing w:after="160"/>
              <w:rPr>
                <w:b/>
                <w:bCs/>
                <w:lang w:val="en-GB"/>
              </w:rPr>
            </w:pPr>
            <w:r w:rsidRPr="00FD5D16">
              <w:rPr>
                <w:b/>
                <w:bCs/>
                <w:lang w:val="en-GB"/>
              </w:rPr>
              <w:t xml:space="preserve">Subgroup Covid-19, n=338. Multivariable regression analyses </w:t>
            </w:r>
            <w:r w:rsidR="00BA63DD">
              <w:rPr>
                <w:b/>
                <w:bCs/>
                <w:lang w:val="en-GB"/>
              </w:rPr>
              <w:t>were not performed due to the low number of patients</w:t>
            </w:r>
          </w:p>
        </w:tc>
      </w:tr>
    </w:tbl>
    <w:p w14:paraId="3F518073" w14:textId="180D71B2" w:rsidR="00BE6FBC" w:rsidRDefault="00BE6FBC">
      <w:pPr>
        <w:rPr>
          <w:lang w:val="en-GB"/>
        </w:rPr>
      </w:pPr>
    </w:p>
    <w:p w14:paraId="56CF74B5" w14:textId="6FBD22AF" w:rsidR="00BA63DD" w:rsidRDefault="00BA63DD">
      <w:pPr>
        <w:rPr>
          <w:lang w:val="en-GB"/>
        </w:rPr>
      </w:pPr>
    </w:p>
    <w:p w14:paraId="45E89919" w14:textId="074621F0" w:rsidR="00BA63DD" w:rsidRDefault="00BA63DD">
      <w:pPr>
        <w:rPr>
          <w:lang w:val="en-GB"/>
        </w:rPr>
      </w:pPr>
    </w:p>
    <w:p w14:paraId="28909D1A" w14:textId="4EE7A8AA" w:rsidR="00BA63DD" w:rsidRDefault="00BA63DD">
      <w:pPr>
        <w:rPr>
          <w:lang w:val="en-GB"/>
        </w:rPr>
      </w:pPr>
    </w:p>
    <w:p w14:paraId="283E60C5" w14:textId="7C132554" w:rsidR="00BA63DD" w:rsidRDefault="00BA63DD">
      <w:pPr>
        <w:rPr>
          <w:lang w:val="en-GB"/>
        </w:rPr>
      </w:pPr>
    </w:p>
    <w:p w14:paraId="058BF776" w14:textId="77777777" w:rsidR="00BA63DD" w:rsidRPr="00FD5D16" w:rsidRDefault="00BA63DD">
      <w:pPr>
        <w:rPr>
          <w:lang w:val="en-GB"/>
        </w:rPr>
      </w:pPr>
    </w:p>
    <w:tbl>
      <w:tblPr>
        <w:tblStyle w:val="Tabellrutnt"/>
        <w:tblW w:w="14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047"/>
        <w:gridCol w:w="2047"/>
        <w:gridCol w:w="2047"/>
        <w:gridCol w:w="1938"/>
        <w:gridCol w:w="3741"/>
      </w:tblGrid>
      <w:tr w:rsidR="005975B6" w:rsidRPr="00BA63DD" w14:paraId="5C58974B" w14:textId="77777777" w:rsidTr="005975B6">
        <w:tc>
          <w:tcPr>
            <w:tcW w:w="14230" w:type="dxa"/>
            <w:gridSpan w:val="6"/>
          </w:tcPr>
          <w:p w14:paraId="2BBBBD44" w14:textId="4ADA687F" w:rsidR="005975B6" w:rsidRPr="00FD5D16" w:rsidRDefault="005975B6" w:rsidP="00BD4A65">
            <w:pPr>
              <w:spacing w:after="160"/>
              <w:rPr>
                <w:b/>
                <w:bCs/>
                <w:lang w:val="en-GB"/>
              </w:rPr>
            </w:pPr>
            <w:r w:rsidRPr="00FD5D16">
              <w:rPr>
                <w:b/>
                <w:bCs/>
                <w:lang w:val="en-GB"/>
              </w:rPr>
              <w:t>Subgroup Cardiac arrest, n=2 562. Multivariable regression analyses with 95% confidence interval for odds or hazard ratio</w:t>
            </w:r>
            <w:r w:rsidRPr="00FD5D16">
              <w:rPr>
                <w:b/>
                <w:bCs/>
                <w:vertAlign w:val="superscript"/>
                <w:lang w:val="en-GB"/>
              </w:rPr>
              <w:endnoteReference w:id="16"/>
            </w:r>
          </w:p>
        </w:tc>
      </w:tr>
      <w:tr w:rsidR="005975B6" w:rsidRPr="00FD5D16" w14:paraId="4B0924CC" w14:textId="4D7F0CD8" w:rsidTr="005975B6">
        <w:trPr>
          <w:gridAfter w:val="1"/>
          <w:wAfter w:w="3741" w:type="dxa"/>
        </w:trPr>
        <w:tc>
          <w:tcPr>
            <w:tcW w:w="2410" w:type="dxa"/>
          </w:tcPr>
          <w:p w14:paraId="4DB0FDEC" w14:textId="3D5DF983" w:rsidR="005975B6" w:rsidRPr="00FD5D16" w:rsidRDefault="005975B6" w:rsidP="00AB7C6E">
            <w:pPr>
              <w:rPr>
                <w:b/>
                <w:bCs/>
                <w:lang w:val="en-GB"/>
              </w:rPr>
            </w:pPr>
          </w:p>
        </w:tc>
        <w:tc>
          <w:tcPr>
            <w:tcW w:w="2047" w:type="dxa"/>
          </w:tcPr>
          <w:p w14:paraId="30FEA611" w14:textId="77777777" w:rsidR="005975B6" w:rsidRPr="00FD5D16" w:rsidRDefault="005975B6" w:rsidP="00AB7C6E">
            <w:pPr>
              <w:rPr>
                <w:b/>
                <w:bCs/>
                <w:lang w:val="en-GB"/>
              </w:rPr>
            </w:pPr>
            <w:proofErr w:type="spellStart"/>
            <w:r w:rsidRPr="00FD5D16">
              <w:rPr>
                <w:b/>
                <w:bCs/>
                <w:lang w:val="en-GB"/>
              </w:rPr>
              <w:t>Blgrp</w:t>
            </w:r>
            <w:proofErr w:type="spellEnd"/>
            <w:r w:rsidRPr="00FD5D16">
              <w:rPr>
                <w:b/>
                <w:bCs/>
                <w:lang w:val="en-GB"/>
              </w:rPr>
              <w:t xml:space="preserve"> A</w:t>
            </w:r>
          </w:p>
        </w:tc>
        <w:tc>
          <w:tcPr>
            <w:tcW w:w="2047" w:type="dxa"/>
          </w:tcPr>
          <w:p w14:paraId="3435B8F6" w14:textId="77777777" w:rsidR="005975B6" w:rsidRPr="00FD5D16" w:rsidRDefault="005975B6" w:rsidP="00AB7C6E">
            <w:pPr>
              <w:rPr>
                <w:b/>
                <w:bCs/>
                <w:lang w:val="en-GB"/>
              </w:rPr>
            </w:pPr>
            <w:proofErr w:type="spellStart"/>
            <w:r w:rsidRPr="00FD5D16">
              <w:rPr>
                <w:b/>
                <w:bCs/>
                <w:lang w:val="en-GB"/>
              </w:rPr>
              <w:t>Blgrp</w:t>
            </w:r>
            <w:proofErr w:type="spellEnd"/>
            <w:r w:rsidRPr="00FD5D16">
              <w:rPr>
                <w:b/>
                <w:bCs/>
                <w:lang w:val="en-GB"/>
              </w:rPr>
              <w:t xml:space="preserve"> B</w:t>
            </w:r>
          </w:p>
        </w:tc>
        <w:tc>
          <w:tcPr>
            <w:tcW w:w="2047" w:type="dxa"/>
          </w:tcPr>
          <w:p w14:paraId="0C058698" w14:textId="77777777" w:rsidR="005975B6" w:rsidRPr="00FD5D16" w:rsidRDefault="005975B6" w:rsidP="00AB7C6E">
            <w:pPr>
              <w:rPr>
                <w:b/>
                <w:bCs/>
                <w:lang w:val="en-GB"/>
              </w:rPr>
            </w:pPr>
            <w:proofErr w:type="spellStart"/>
            <w:r w:rsidRPr="00FD5D16">
              <w:rPr>
                <w:b/>
                <w:bCs/>
                <w:lang w:val="en-GB"/>
              </w:rPr>
              <w:t>Blgrp</w:t>
            </w:r>
            <w:proofErr w:type="spellEnd"/>
            <w:r w:rsidRPr="00FD5D16">
              <w:rPr>
                <w:b/>
                <w:bCs/>
                <w:lang w:val="en-GB"/>
              </w:rPr>
              <w:t xml:space="preserve"> AB</w:t>
            </w:r>
          </w:p>
        </w:tc>
        <w:tc>
          <w:tcPr>
            <w:tcW w:w="1938" w:type="dxa"/>
          </w:tcPr>
          <w:p w14:paraId="1E1CA59E" w14:textId="0BB9D82D" w:rsidR="005975B6" w:rsidRPr="00FD5D16" w:rsidRDefault="005975B6" w:rsidP="00AB7C6E">
            <w:pPr>
              <w:rPr>
                <w:b/>
                <w:bCs/>
                <w:lang w:val="en-GB"/>
              </w:rPr>
            </w:pPr>
            <w:proofErr w:type="spellStart"/>
            <w:r w:rsidRPr="00FD5D16">
              <w:rPr>
                <w:b/>
                <w:bCs/>
                <w:lang w:val="en-GB"/>
              </w:rPr>
              <w:t>RhD</w:t>
            </w:r>
            <w:proofErr w:type="spellEnd"/>
            <w:r w:rsidRPr="00FD5D16">
              <w:rPr>
                <w:b/>
                <w:bCs/>
                <w:lang w:val="en-GB"/>
              </w:rPr>
              <w:t xml:space="preserve"> positive</w:t>
            </w:r>
          </w:p>
        </w:tc>
      </w:tr>
      <w:tr w:rsidR="005975B6" w:rsidRPr="00FD5D16" w14:paraId="71105201" w14:textId="4C0A6E7F" w:rsidTr="005975B6">
        <w:trPr>
          <w:gridAfter w:val="1"/>
          <w:wAfter w:w="3741" w:type="dxa"/>
        </w:trPr>
        <w:tc>
          <w:tcPr>
            <w:tcW w:w="2410" w:type="dxa"/>
          </w:tcPr>
          <w:p w14:paraId="38D58D10" w14:textId="1F9E3411" w:rsidR="005975B6" w:rsidRPr="00FD5D16" w:rsidRDefault="005975B6" w:rsidP="00AB7C6E">
            <w:pPr>
              <w:rPr>
                <w:b/>
                <w:bCs/>
                <w:lang w:val="en-GB"/>
              </w:rPr>
            </w:pPr>
            <w:r w:rsidRPr="00FD5D16">
              <w:rPr>
                <w:b/>
                <w:bCs/>
                <w:lang w:val="en-GB"/>
              </w:rPr>
              <w:t>Mortality</w:t>
            </w:r>
          </w:p>
        </w:tc>
        <w:tc>
          <w:tcPr>
            <w:tcW w:w="2047" w:type="dxa"/>
          </w:tcPr>
          <w:p w14:paraId="58C266D4" w14:textId="77777777" w:rsidR="005975B6" w:rsidRPr="00FD5D16" w:rsidRDefault="005975B6" w:rsidP="00AB7C6E">
            <w:pPr>
              <w:rPr>
                <w:lang w:val="en-GB"/>
              </w:rPr>
            </w:pPr>
          </w:p>
        </w:tc>
        <w:tc>
          <w:tcPr>
            <w:tcW w:w="2047" w:type="dxa"/>
          </w:tcPr>
          <w:p w14:paraId="34EFC2A9" w14:textId="77777777" w:rsidR="005975B6" w:rsidRPr="00FD5D16" w:rsidRDefault="005975B6" w:rsidP="00AB7C6E">
            <w:pPr>
              <w:rPr>
                <w:lang w:val="en-GB"/>
              </w:rPr>
            </w:pPr>
          </w:p>
        </w:tc>
        <w:tc>
          <w:tcPr>
            <w:tcW w:w="2047" w:type="dxa"/>
          </w:tcPr>
          <w:p w14:paraId="6D0B9998" w14:textId="77777777" w:rsidR="005975B6" w:rsidRPr="00FD5D16" w:rsidRDefault="005975B6" w:rsidP="00AB7C6E">
            <w:pPr>
              <w:rPr>
                <w:lang w:val="en-GB"/>
              </w:rPr>
            </w:pPr>
          </w:p>
        </w:tc>
        <w:tc>
          <w:tcPr>
            <w:tcW w:w="1938" w:type="dxa"/>
          </w:tcPr>
          <w:p w14:paraId="473DDEA5" w14:textId="77777777" w:rsidR="005975B6" w:rsidRPr="00FD5D16" w:rsidRDefault="005975B6" w:rsidP="00AB7C6E">
            <w:pPr>
              <w:rPr>
                <w:lang w:val="en-GB"/>
              </w:rPr>
            </w:pPr>
          </w:p>
        </w:tc>
      </w:tr>
      <w:tr w:rsidR="005975B6" w:rsidRPr="00FD5D16" w14:paraId="35B074F0" w14:textId="2B9337FC" w:rsidTr="005975B6">
        <w:trPr>
          <w:gridAfter w:val="1"/>
          <w:wAfter w:w="3741" w:type="dxa"/>
        </w:trPr>
        <w:tc>
          <w:tcPr>
            <w:tcW w:w="2410" w:type="dxa"/>
          </w:tcPr>
          <w:p w14:paraId="1A26DEE3" w14:textId="77777777" w:rsidR="005975B6" w:rsidRPr="00FD5D16" w:rsidRDefault="005975B6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28–day mortality</w:t>
            </w:r>
          </w:p>
        </w:tc>
        <w:tc>
          <w:tcPr>
            <w:tcW w:w="2047" w:type="dxa"/>
          </w:tcPr>
          <w:p w14:paraId="3C50B078" w14:textId="2A996806" w:rsidR="005975B6" w:rsidRPr="00FD5D16" w:rsidRDefault="005975B6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0.763 – 1.085</w:t>
            </w:r>
          </w:p>
        </w:tc>
        <w:tc>
          <w:tcPr>
            <w:tcW w:w="2047" w:type="dxa"/>
          </w:tcPr>
          <w:p w14:paraId="7E8ED131" w14:textId="2771C74E" w:rsidR="005975B6" w:rsidRPr="00FD5D16" w:rsidRDefault="005975B6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0.616 – 1.041</w:t>
            </w:r>
          </w:p>
        </w:tc>
        <w:tc>
          <w:tcPr>
            <w:tcW w:w="2047" w:type="dxa"/>
          </w:tcPr>
          <w:p w14:paraId="47FC50B1" w14:textId="0BAFD45C" w:rsidR="005975B6" w:rsidRPr="00FD5D16" w:rsidRDefault="005975B6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0.585 – 1.261</w:t>
            </w:r>
          </w:p>
        </w:tc>
        <w:tc>
          <w:tcPr>
            <w:tcW w:w="1938" w:type="dxa"/>
          </w:tcPr>
          <w:p w14:paraId="49D7826E" w14:textId="39C4ED45" w:rsidR="005975B6" w:rsidRPr="00FD5D16" w:rsidRDefault="00145BDD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0.725 – 1.117</w:t>
            </w:r>
          </w:p>
        </w:tc>
      </w:tr>
      <w:tr w:rsidR="005975B6" w:rsidRPr="00FD5D16" w14:paraId="4DEFB770" w14:textId="6BB3A587" w:rsidTr="005975B6">
        <w:trPr>
          <w:gridAfter w:val="1"/>
          <w:wAfter w:w="3741" w:type="dxa"/>
        </w:trPr>
        <w:tc>
          <w:tcPr>
            <w:tcW w:w="2410" w:type="dxa"/>
          </w:tcPr>
          <w:p w14:paraId="4D82DE79" w14:textId="77777777" w:rsidR="005975B6" w:rsidRPr="00FD5D16" w:rsidRDefault="005975B6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90–day mortality</w:t>
            </w:r>
          </w:p>
        </w:tc>
        <w:tc>
          <w:tcPr>
            <w:tcW w:w="2047" w:type="dxa"/>
          </w:tcPr>
          <w:p w14:paraId="11342FB5" w14:textId="3CE8F8ED" w:rsidR="005975B6" w:rsidRPr="00FD5D16" w:rsidRDefault="005975B6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0.810 – 1.160</w:t>
            </w:r>
          </w:p>
        </w:tc>
        <w:tc>
          <w:tcPr>
            <w:tcW w:w="2047" w:type="dxa"/>
          </w:tcPr>
          <w:p w14:paraId="1A16F059" w14:textId="2A1781F4" w:rsidR="005975B6" w:rsidRPr="00FD5D16" w:rsidRDefault="005975B6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0.624 – 1.062</w:t>
            </w:r>
          </w:p>
        </w:tc>
        <w:tc>
          <w:tcPr>
            <w:tcW w:w="2047" w:type="dxa"/>
          </w:tcPr>
          <w:p w14:paraId="7D0F45A5" w14:textId="31953138" w:rsidR="005975B6" w:rsidRPr="00FD5D16" w:rsidRDefault="005975B6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0.591 – 1.285</w:t>
            </w:r>
          </w:p>
        </w:tc>
        <w:tc>
          <w:tcPr>
            <w:tcW w:w="1938" w:type="dxa"/>
          </w:tcPr>
          <w:p w14:paraId="65E217A3" w14:textId="1A1A9F05" w:rsidR="005975B6" w:rsidRPr="00FD5D16" w:rsidRDefault="00145BDD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0.742 – 1.151</w:t>
            </w:r>
          </w:p>
        </w:tc>
      </w:tr>
      <w:tr w:rsidR="005975B6" w:rsidRPr="00FD5D16" w14:paraId="02F2B2EA" w14:textId="2DB1C220" w:rsidTr="005975B6">
        <w:trPr>
          <w:gridAfter w:val="1"/>
          <w:wAfter w:w="3741" w:type="dxa"/>
        </w:trPr>
        <w:tc>
          <w:tcPr>
            <w:tcW w:w="2410" w:type="dxa"/>
          </w:tcPr>
          <w:p w14:paraId="005D1E21" w14:textId="4527BE18" w:rsidR="005975B6" w:rsidRPr="00FD5D16" w:rsidRDefault="005975B6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Long-term mortality</w:t>
            </w:r>
            <w:r w:rsidRPr="00FD5D16">
              <w:rPr>
                <w:rStyle w:val="Slutnotsreferens"/>
                <w:lang w:val="en-GB"/>
              </w:rPr>
              <w:endnoteReference w:id="17"/>
            </w:r>
          </w:p>
        </w:tc>
        <w:tc>
          <w:tcPr>
            <w:tcW w:w="2047" w:type="dxa"/>
          </w:tcPr>
          <w:p w14:paraId="5BB7D73A" w14:textId="26A56E6B" w:rsidR="005975B6" w:rsidRPr="00FD5D16" w:rsidRDefault="005975B6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0.899 – 1.098</w:t>
            </w:r>
          </w:p>
        </w:tc>
        <w:tc>
          <w:tcPr>
            <w:tcW w:w="2047" w:type="dxa"/>
          </w:tcPr>
          <w:p w14:paraId="36C8A529" w14:textId="06FFB146" w:rsidR="005975B6" w:rsidRPr="00FD5D16" w:rsidRDefault="005975B6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0.7</w:t>
            </w:r>
            <w:r w:rsidR="008122AE" w:rsidRPr="00FD5D16">
              <w:rPr>
                <w:lang w:val="en-GB"/>
              </w:rPr>
              <w:t>56</w:t>
            </w:r>
            <w:r w:rsidRPr="00FD5D16">
              <w:rPr>
                <w:lang w:val="en-GB"/>
              </w:rPr>
              <w:t xml:space="preserve"> – 1.02</w:t>
            </w:r>
            <w:r w:rsidR="008122AE" w:rsidRPr="00FD5D16">
              <w:rPr>
                <w:lang w:val="en-GB"/>
              </w:rPr>
              <w:t>9</w:t>
            </w:r>
          </w:p>
        </w:tc>
        <w:tc>
          <w:tcPr>
            <w:tcW w:w="2047" w:type="dxa"/>
          </w:tcPr>
          <w:p w14:paraId="4A74EE9C" w14:textId="558040D5" w:rsidR="005975B6" w:rsidRPr="00FD5D16" w:rsidRDefault="005975B6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</w:t>
            </w:r>
            <w:r w:rsidR="008122AE" w:rsidRPr="00FD5D16">
              <w:rPr>
                <w:lang w:val="en-GB"/>
              </w:rPr>
              <w:t>695</w:t>
            </w:r>
            <w:r w:rsidRPr="00FD5D16">
              <w:rPr>
                <w:lang w:val="en-GB"/>
              </w:rPr>
              <w:t xml:space="preserve"> – 1.</w:t>
            </w:r>
            <w:r w:rsidR="008122AE" w:rsidRPr="00FD5D16">
              <w:rPr>
                <w:lang w:val="en-GB"/>
              </w:rPr>
              <w:t>096</w:t>
            </w:r>
          </w:p>
        </w:tc>
        <w:tc>
          <w:tcPr>
            <w:tcW w:w="1938" w:type="dxa"/>
          </w:tcPr>
          <w:p w14:paraId="17710D69" w14:textId="1C8BCE1B" w:rsidR="005975B6" w:rsidRPr="00FD5D16" w:rsidRDefault="008122AE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0.807 – 1.029</w:t>
            </w:r>
          </w:p>
        </w:tc>
      </w:tr>
      <w:tr w:rsidR="005975B6" w:rsidRPr="00FD5D16" w14:paraId="0DA8F8FA" w14:textId="671C2911" w:rsidTr="005975B6">
        <w:trPr>
          <w:gridAfter w:val="1"/>
          <w:wAfter w:w="3741" w:type="dxa"/>
        </w:trPr>
        <w:tc>
          <w:tcPr>
            <w:tcW w:w="2410" w:type="dxa"/>
          </w:tcPr>
          <w:p w14:paraId="33C65F20" w14:textId="77777777" w:rsidR="005975B6" w:rsidRPr="00FD5D16" w:rsidRDefault="005975B6" w:rsidP="000C07D7">
            <w:pPr>
              <w:spacing w:before="60"/>
              <w:rPr>
                <w:b/>
                <w:bCs/>
                <w:lang w:val="en-GB"/>
              </w:rPr>
            </w:pPr>
            <w:r w:rsidRPr="00FD5D16">
              <w:rPr>
                <w:b/>
                <w:bCs/>
                <w:lang w:val="en-GB"/>
              </w:rPr>
              <w:t>Morbidity</w:t>
            </w:r>
          </w:p>
        </w:tc>
        <w:tc>
          <w:tcPr>
            <w:tcW w:w="2047" w:type="dxa"/>
          </w:tcPr>
          <w:p w14:paraId="1EE882C1" w14:textId="77777777" w:rsidR="005975B6" w:rsidRPr="00FD5D16" w:rsidRDefault="005975B6" w:rsidP="000C07D7">
            <w:pPr>
              <w:spacing w:before="60"/>
              <w:rPr>
                <w:lang w:val="en-GB"/>
              </w:rPr>
            </w:pPr>
          </w:p>
        </w:tc>
        <w:tc>
          <w:tcPr>
            <w:tcW w:w="2047" w:type="dxa"/>
          </w:tcPr>
          <w:p w14:paraId="58ECEBB8" w14:textId="77777777" w:rsidR="005975B6" w:rsidRPr="00FD5D16" w:rsidRDefault="005975B6" w:rsidP="000C07D7">
            <w:pPr>
              <w:spacing w:before="60"/>
              <w:rPr>
                <w:lang w:val="en-GB"/>
              </w:rPr>
            </w:pPr>
          </w:p>
        </w:tc>
        <w:tc>
          <w:tcPr>
            <w:tcW w:w="2047" w:type="dxa"/>
          </w:tcPr>
          <w:p w14:paraId="141BE83C" w14:textId="77777777" w:rsidR="005975B6" w:rsidRPr="00FD5D16" w:rsidRDefault="005975B6" w:rsidP="000C07D7">
            <w:pPr>
              <w:spacing w:before="60"/>
              <w:rPr>
                <w:lang w:val="en-GB"/>
              </w:rPr>
            </w:pPr>
          </w:p>
        </w:tc>
        <w:tc>
          <w:tcPr>
            <w:tcW w:w="1938" w:type="dxa"/>
          </w:tcPr>
          <w:p w14:paraId="3E606CA8" w14:textId="77777777" w:rsidR="005975B6" w:rsidRPr="00FD5D16" w:rsidRDefault="005975B6" w:rsidP="000C07D7">
            <w:pPr>
              <w:spacing w:before="60"/>
              <w:rPr>
                <w:lang w:val="en-GB"/>
              </w:rPr>
            </w:pPr>
          </w:p>
        </w:tc>
      </w:tr>
      <w:tr w:rsidR="005975B6" w:rsidRPr="00FD5D16" w14:paraId="4A7A8675" w14:textId="14355010" w:rsidTr="005975B6">
        <w:trPr>
          <w:gridAfter w:val="1"/>
          <w:wAfter w:w="3741" w:type="dxa"/>
        </w:trPr>
        <w:tc>
          <w:tcPr>
            <w:tcW w:w="2410" w:type="dxa"/>
          </w:tcPr>
          <w:p w14:paraId="2664449F" w14:textId="77777777" w:rsidR="005975B6" w:rsidRPr="00FD5D16" w:rsidRDefault="005975B6" w:rsidP="00AB7C6E">
            <w:pPr>
              <w:rPr>
                <w:lang w:val="en-GB"/>
              </w:rPr>
            </w:pPr>
            <w:proofErr w:type="spellStart"/>
            <w:r w:rsidRPr="00FD5D16">
              <w:rPr>
                <w:lang w:val="en-GB"/>
              </w:rPr>
              <w:t>DAFvent</w:t>
            </w:r>
            <w:proofErr w:type="spellEnd"/>
            <w:r w:rsidRPr="00FD5D16">
              <w:rPr>
                <w:vertAlign w:val="superscript"/>
                <w:lang w:val="en-GB"/>
              </w:rPr>
              <w:endnoteReference w:id="18"/>
            </w:r>
          </w:p>
        </w:tc>
        <w:tc>
          <w:tcPr>
            <w:tcW w:w="2047" w:type="dxa"/>
          </w:tcPr>
          <w:p w14:paraId="04CF9D60" w14:textId="14D188C5" w:rsidR="005975B6" w:rsidRPr="00FD5D16" w:rsidRDefault="005975B6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0.854 – 1.350</w:t>
            </w:r>
          </w:p>
        </w:tc>
        <w:tc>
          <w:tcPr>
            <w:tcW w:w="2047" w:type="dxa"/>
          </w:tcPr>
          <w:p w14:paraId="2BD5172F" w14:textId="34E0B5BC" w:rsidR="005975B6" w:rsidRPr="00FD5D16" w:rsidRDefault="005975B6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0.688 – 1.353</w:t>
            </w:r>
          </w:p>
        </w:tc>
        <w:tc>
          <w:tcPr>
            <w:tcW w:w="2047" w:type="dxa"/>
          </w:tcPr>
          <w:p w14:paraId="28E73F77" w14:textId="7F56DAFE" w:rsidR="005975B6" w:rsidRPr="00FD5D16" w:rsidRDefault="005975B6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0.607 – 1.647</w:t>
            </w:r>
          </w:p>
        </w:tc>
        <w:tc>
          <w:tcPr>
            <w:tcW w:w="1938" w:type="dxa"/>
          </w:tcPr>
          <w:p w14:paraId="5C4D1FEC" w14:textId="0A0C44B7" w:rsidR="005975B6" w:rsidRPr="00FD5D16" w:rsidRDefault="00504FEF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0.798 – 1.389</w:t>
            </w:r>
          </w:p>
        </w:tc>
      </w:tr>
      <w:tr w:rsidR="005975B6" w:rsidRPr="00FD5D16" w14:paraId="419403CD" w14:textId="15CE7DB9" w:rsidTr="005975B6">
        <w:trPr>
          <w:gridAfter w:val="1"/>
          <w:wAfter w:w="3741" w:type="dxa"/>
        </w:trPr>
        <w:tc>
          <w:tcPr>
            <w:tcW w:w="2410" w:type="dxa"/>
          </w:tcPr>
          <w:p w14:paraId="59850241" w14:textId="77777777" w:rsidR="005975B6" w:rsidRPr="00FD5D16" w:rsidRDefault="005975B6" w:rsidP="00AB7C6E">
            <w:pPr>
              <w:rPr>
                <w:lang w:val="en-GB"/>
              </w:rPr>
            </w:pPr>
            <w:proofErr w:type="spellStart"/>
            <w:r w:rsidRPr="00FD5D16">
              <w:rPr>
                <w:lang w:val="en-GB"/>
              </w:rPr>
              <w:t>DAFcirc</w:t>
            </w:r>
            <w:proofErr w:type="spellEnd"/>
            <w:r w:rsidRPr="00FD5D16">
              <w:rPr>
                <w:vertAlign w:val="superscript"/>
                <w:lang w:val="en-GB"/>
              </w:rPr>
              <w:endnoteReference w:id="19"/>
            </w:r>
          </w:p>
        </w:tc>
        <w:tc>
          <w:tcPr>
            <w:tcW w:w="2047" w:type="dxa"/>
          </w:tcPr>
          <w:p w14:paraId="37086733" w14:textId="6B02628D" w:rsidR="005975B6" w:rsidRPr="00FD5D16" w:rsidRDefault="005975B6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0.810 – 1.202</w:t>
            </w:r>
          </w:p>
        </w:tc>
        <w:tc>
          <w:tcPr>
            <w:tcW w:w="2047" w:type="dxa"/>
          </w:tcPr>
          <w:p w14:paraId="586BE52B" w14:textId="6E60A0DF" w:rsidR="005975B6" w:rsidRPr="00FD5D16" w:rsidRDefault="005975B6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0.684 – 1.228</w:t>
            </w:r>
          </w:p>
        </w:tc>
        <w:tc>
          <w:tcPr>
            <w:tcW w:w="2047" w:type="dxa"/>
          </w:tcPr>
          <w:p w14:paraId="3E439410" w14:textId="31800797" w:rsidR="005975B6" w:rsidRPr="00FD5D16" w:rsidRDefault="005975B6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0.599 – 1.399</w:t>
            </w:r>
          </w:p>
        </w:tc>
        <w:tc>
          <w:tcPr>
            <w:tcW w:w="1938" w:type="dxa"/>
          </w:tcPr>
          <w:p w14:paraId="2DB9E5A5" w14:textId="23428D70" w:rsidR="005975B6" w:rsidRPr="00FD5D16" w:rsidRDefault="00504FEF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0.802 – 1.295</w:t>
            </w:r>
          </w:p>
        </w:tc>
      </w:tr>
      <w:tr w:rsidR="005975B6" w:rsidRPr="00FD5D16" w14:paraId="176CFD5C" w14:textId="4FABB0B3" w:rsidTr="005975B6">
        <w:trPr>
          <w:gridAfter w:val="1"/>
          <w:wAfter w:w="3741" w:type="dxa"/>
        </w:trPr>
        <w:tc>
          <w:tcPr>
            <w:tcW w:w="2410" w:type="dxa"/>
          </w:tcPr>
          <w:p w14:paraId="6662AF14" w14:textId="3E776951" w:rsidR="005975B6" w:rsidRPr="00FD5D16" w:rsidRDefault="005975B6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SOFA-max</w:t>
            </w:r>
            <w:r w:rsidRPr="00FD5D16">
              <w:rPr>
                <w:vertAlign w:val="superscript"/>
                <w:lang w:val="en-GB"/>
              </w:rPr>
              <w:endnoteReference w:id="20"/>
            </w:r>
          </w:p>
        </w:tc>
        <w:tc>
          <w:tcPr>
            <w:tcW w:w="2047" w:type="dxa"/>
          </w:tcPr>
          <w:p w14:paraId="354529ED" w14:textId="7220B935" w:rsidR="005975B6" w:rsidRPr="00FD5D16" w:rsidRDefault="005975B6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0.955 – 1.501</w:t>
            </w:r>
          </w:p>
        </w:tc>
        <w:tc>
          <w:tcPr>
            <w:tcW w:w="2047" w:type="dxa"/>
          </w:tcPr>
          <w:p w14:paraId="3966402A" w14:textId="610C9411" w:rsidR="005975B6" w:rsidRPr="00FD5D16" w:rsidRDefault="005975B6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0.811 – 1.600</w:t>
            </w:r>
          </w:p>
        </w:tc>
        <w:tc>
          <w:tcPr>
            <w:tcW w:w="2047" w:type="dxa"/>
          </w:tcPr>
          <w:p w14:paraId="22B867A6" w14:textId="7CC82F3C" w:rsidR="005975B6" w:rsidRPr="00FD5D16" w:rsidRDefault="005975B6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0.8</w:t>
            </w:r>
            <w:r w:rsidR="00504FEF" w:rsidRPr="00FD5D16">
              <w:rPr>
                <w:lang w:val="en-GB"/>
              </w:rPr>
              <w:t>19</w:t>
            </w:r>
            <w:r w:rsidRPr="00FD5D16">
              <w:rPr>
                <w:lang w:val="en-GB"/>
              </w:rPr>
              <w:t xml:space="preserve"> – 2.3</w:t>
            </w:r>
            <w:r w:rsidR="00504FEF" w:rsidRPr="00FD5D16">
              <w:rPr>
                <w:lang w:val="en-GB"/>
              </w:rPr>
              <w:t>60</w:t>
            </w:r>
          </w:p>
        </w:tc>
        <w:tc>
          <w:tcPr>
            <w:tcW w:w="1938" w:type="dxa"/>
          </w:tcPr>
          <w:p w14:paraId="08A6A0FE" w14:textId="46B24157" w:rsidR="005975B6" w:rsidRPr="00FD5D16" w:rsidRDefault="00504FEF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0.634 – 1.130</w:t>
            </w:r>
          </w:p>
        </w:tc>
      </w:tr>
      <w:tr w:rsidR="005975B6" w:rsidRPr="00FD5D16" w14:paraId="00C7F2B6" w14:textId="7B7ADB34" w:rsidTr="005975B6">
        <w:trPr>
          <w:gridAfter w:val="1"/>
          <w:wAfter w:w="3741" w:type="dxa"/>
        </w:trPr>
        <w:tc>
          <w:tcPr>
            <w:tcW w:w="2410" w:type="dxa"/>
          </w:tcPr>
          <w:p w14:paraId="4B4072C9" w14:textId="7112AACE" w:rsidR="005975B6" w:rsidRPr="00FD5D16" w:rsidRDefault="005975B6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Length-of-stay</w:t>
            </w:r>
          </w:p>
        </w:tc>
        <w:tc>
          <w:tcPr>
            <w:tcW w:w="2047" w:type="dxa"/>
          </w:tcPr>
          <w:p w14:paraId="19E2CBF9" w14:textId="5E09FD9E" w:rsidR="005975B6" w:rsidRPr="00FD5D16" w:rsidRDefault="005975B6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0.921 – 1.305</w:t>
            </w:r>
          </w:p>
        </w:tc>
        <w:tc>
          <w:tcPr>
            <w:tcW w:w="2047" w:type="dxa"/>
          </w:tcPr>
          <w:p w14:paraId="2CB7D3F1" w14:textId="2CF27404" w:rsidR="005975B6" w:rsidRPr="00FD5D16" w:rsidRDefault="005975B6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0.9</w:t>
            </w:r>
            <w:r w:rsidR="00F805C5" w:rsidRPr="00FD5D16">
              <w:rPr>
                <w:lang w:val="en-GB"/>
              </w:rPr>
              <w:t>59</w:t>
            </w:r>
            <w:r w:rsidRPr="00FD5D16">
              <w:rPr>
                <w:lang w:val="en-GB"/>
              </w:rPr>
              <w:t xml:space="preserve"> – 1.63</w:t>
            </w:r>
            <w:r w:rsidR="00F805C5" w:rsidRPr="00FD5D16">
              <w:rPr>
                <w:lang w:val="en-GB"/>
              </w:rPr>
              <w:t>3</w:t>
            </w:r>
          </w:p>
        </w:tc>
        <w:tc>
          <w:tcPr>
            <w:tcW w:w="2047" w:type="dxa"/>
          </w:tcPr>
          <w:p w14:paraId="234A9F24" w14:textId="1C380A45" w:rsidR="005975B6" w:rsidRPr="00FD5D16" w:rsidRDefault="005975B6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1.1</w:t>
            </w:r>
            <w:r w:rsidR="00F805C5" w:rsidRPr="00FD5D16">
              <w:rPr>
                <w:lang w:val="en-GB"/>
              </w:rPr>
              <w:t>11</w:t>
            </w:r>
            <w:r w:rsidRPr="00FD5D16">
              <w:rPr>
                <w:lang w:val="en-GB"/>
              </w:rPr>
              <w:t xml:space="preserve"> – 2.50</w:t>
            </w:r>
            <w:r w:rsidR="00F805C5" w:rsidRPr="00FD5D16">
              <w:rPr>
                <w:lang w:val="en-GB"/>
              </w:rPr>
              <w:t>6</w:t>
            </w:r>
            <w:r w:rsidR="007452EF" w:rsidRPr="00FD5D16">
              <w:rPr>
                <w:lang w:val="en-GB"/>
              </w:rPr>
              <w:t>*</w:t>
            </w:r>
          </w:p>
        </w:tc>
        <w:tc>
          <w:tcPr>
            <w:tcW w:w="1938" w:type="dxa"/>
          </w:tcPr>
          <w:p w14:paraId="33385D2B" w14:textId="321B2976" w:rsidR="005975B6" w:rsidRPr="00FD5D16" w:rsidRDefault="00F805C5" w:rsidP="00AB7C6E">
            <w:pPr>
              <w:rPr>
                <w:lang w:val="en-GB"/>
              </w:rPr>
            </w:pPr>
            <w:r w:rsidRPr="00FD5D16">
              <w:rPr>
                <w:lang w:val="en-GB"/>
              </w:rPr>
              <w:t>0.840 – 1.289</w:t>
            </w:r>
          </w:p>
        </w:tc>
      </w:tr>
    </w:tbl>
    <w:p w14:paraId="489007B9" w14:textId="77777777" w:rsidR="00BE6FBC" w:rsidRPr="00FD5D16" w:rsidRDefault="00BE6FBC">
      <w:pPr>
        <w:rPr>
          <w:lang w:val="en-GB"/>
        </w:rPr>
        <w:sectPr w:rsidR="00BE6FBC" w:rsidRPr="00FD5D16" w:rsidSect="00BE6FBC">
          <w:endnotePr>
            <w:numFmt w:val="lowerLetter"/>
            <w:numRestart w:val="eachSect"/>
          </w:endnotePr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F209AE6" w14:textId="1DABD72F" w:rsidR="00BE6FBC" w:rsidRPr="00FD5D16" w:rsidRDefault="00BE6FBC">
      <w:pPr>
        <w:rPr>
          <w:lang w:val="en-GB"/>
        </w:rPr>
      </w:pPr>
    </w:p>
    <w:tbl>
      <w:tblPr>
        <w:tblStyle w:val="Tabellrutnt"/>
        <w:tblW w:w="14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1843"/>
        <w:gridCol w:w="1657"/>
        <w:gridCol w:w="4589"/>
      </w:tblGrid>
      <w:tr w:rsidR="00634133" w:rsidRPr="00BA63DD" w14:paraId="746EE480" w14:textId="77777777" w:rsidTr="00634133">
        <w:tc>
          <w:tcPr>
            <w:tcW w:w="14043" w:type="dxa"/>
            <w:gridSpan w:val="6"/>
          </w:tcPr>
          <w:p w14:paraId="21988D3B" w14:textId="5C647B23" w:rsidR="00634133" w:rsidRPr="00FD5D16" w:rsidRDefault="00634133" w:rsidP="00BD4A65">
            <w:pPr>
              <w:spacing w:after="160"/>
              <w:rPr>
                <w:b/>
                <w:bCs/>
                <w:lang w:val="en-GB"/>
              </w:rPr>
            </w:pPr>
            <w:r w:rsidRPr="00FD5D16">
              <w:rPr>
                <w:b/>
                <w:bCs/>
                <w:lang w:val="en-GB"/>
              </w:rPr>
              <w:t>Subgroup Trauma, n=1 583. Multivariable regression analyses with 95% confidence interval for odds or hazard ratio</w:t>
            </w:r>
            <w:r w:rsidRPr="00FD5D16">
              <w:rPr>
                <w:b/>
                <w:bCs/>
                <w:vertAlign w:val="superscript"/>
                <w:lang w:val="en-GB"/>
              </w:rPr>
              <w:endnoteReference w:id="21"/>
            </w:r>
          </w:p>
        </w:tc>
      </w:tr>
      <w:tr w:rsidR="00634133" w:rsidRPr="00FD5D16" w14:paraId="2F043EFA" w14:textId="14B1E3FB" w:rsidTr="00634133">
        <w:trPr>
          <w:gridAfter w:val="1"/>
          <w:wAfter w:w="4589" w:type="dxa"/>
        </w:trPr>
        <w:tc>
          <w:tcPr>
            <w:tcW w:w="2268" w:type="dxa"/>
          </w:tcPr>
          <w:p w14:paraId="5D40FB0F" w14:textId="77777777" w:rsidR="00634133" w:rsidRPr="00FD5D16" w:rsidRDefault="00634133" w:rsidP="00BE6FBC">
            <w:pPr>
              <w:rPr>
                <w:b/>
                <w:bCs/>
                <w:lang w:val="en-GB"/>
              </w:rPr>
            </w:pPr>
          </w:p>
        </w:tc>
        <w:tc>
          <w:tcPr>
            <w:tcW w:w="1843" w:type="dxa"/>
          </w:tcPr>
          <w:p w14:paraId="3AC95E53" w14:textId="77777777" w:rsidR="00634133" w:rsidRPr="00FD5D16" w:rsidRDefault="00634133" w:rsidP="00BE6FBC">
            <w:pPr>
              <w:rPr>
                <w:b/>
                <w:bCs/>
                <w:lang w:val="en-GB"/>
              </w:rPr>
            </w:pPr>
            <w:proofErr w:type="spellStart"/>
            <w:r w:rsidRPr="00FD5D16">
              <w:rPr>
                <w:b/>
                <w:bCs/>
                <w:lang w:val="en-GB"/>
              </w:rPr>
              <w:t>Blgrp</w:t>
            </w:r>
            <w:proofErr w:type="spellEnd"/>
            <w:r w:rsidRPr="00FD5D16">
              <w:rPr>
                <w:b/>
                <w:bCs/>
                <w:lang w:val="en-GB"/>
              </w:rPr>
              <w:t xml:space="preserve"> A</w:t>
            </w:r>
          </w:p>
        </w:tc>
        <w:tc>
          <w:tcPr>
            <w:tcW w:w="1843" w:type="dxa"/>
          </w:tcPr>
          <w:p w14:paraId="5A347037" w14:textId="77777777" w:rsidR="00634133" w:rsidRPr="00FD5D16" w:rsidRDefault="00634133" w:rsidP="00BE6FBC">
            <w:pPr>
              <w:rPr>
                <w:b/>
                <w:bCs/>
                <w:lang w:val="en-GB"/>
              </w:rPr>
            </w:pPr>
            <w:proofErr w:type="spellStart"/>
            <w:r w:rsidRPr="00FD5D16">
              <w:rPr>
                <w:b/>
                <w:bCs/>
                <w:lang w:val="en-GB"/>
              </w:rPr>
              <w:t>Blgrp</w:t>
            </w:r>
            <w:proofErr w:type="spellEnd"/>
            <w:r w:rsidRPr="00FD5D16">
              <w:rPr>
                <w:b/>
                <w:bCs/>
                <w:lang w:val="en-GB"/>
              </w:rPr>
              <w:t xml:space="preserve"> B</w:t>
            </w:r>
          </w:p>
        </w:tc>
        <w:tc>
          <w:tcPr>
            <w:tcW w:w="1843" w:type="dxa"/>
          </w:tcPr>
          <w:p w14:paraId="28C1D48F" w14:textId="77777777" w:rsidR="00634133" w:rsidRPr="00FD5D16" w:rsidRDefault="00634133" w:rsidP="00BE6FBC">
            <w:pPr>
              <w:rPr>
                <w:b/>
                <w:bCs/>
                <w:lang w:val="en-GB"/>
              </w:rPr>
            </w:pPr>
            <w:proofErr w:type="spellStart"/>
            <w:r w:rsidRPr="00FD5D16">
              <w:rPr>
                <w:b/>
                <w:bCs/>
                <w:lang w:val="en-GB"/>
              </w:rPr>
              <w:t>Blgrp</w:t>
            </w:r>
            <w:proofErr w:type="spellEnd"/>
            <w:r w:rsidRPr="00FD5D16">
              <w:rPr>
                <w:b/>
                <w:bCs/>
                <w:lang w:val="en-GB"/>
              </w:rPr>
              <w:t xml:space="preserve"> AB</w:t>
            </w:r>
          </w:p>
        </w:tc>
        <w:tc>
          <w:tcPr>
            <w:tcW w:w="1657" w:type="dxa"/>
          </w:tcPr>
          <w:p w14:paraId="0783C7AA" w14:textId="67B1D3CB" w:rsidR="00634133" w:rsidRPr="00FD5D16" w:rsidRDefault="00634133" w:rsidP="00BE6FBC">
            <w:pPr>
              <w:rPr>
                <w:b/>
                <w:bCs/>
                <w:lang w:val="en-GB"/>
              </w:rPr>
            </w:pPr>
            <w:proofErr w:type="spellStart"/>
            <w:r w:rsidRPr="00FD5D16">
              <w:rPr>
                <w:b/>
                <w:bCs/>
                <w:lang w:val="en-GB"/>
              </w:rPr>
              <w:t>RhD</w:t>
            </w:r>
            <w:proofErr w:type="spellEnd"/>
            <w:r w:rsidRPr="00FD5D16">
              <w:rPr>
                <w:b/>
                <w:bCs/>
                <w:lang w:val="en-GB"/>
              </w:rPr>
              <w:t xml:space="preserve"> positive</w:t>
            </w:r>
          </w:p>
        </w:tc>
      </w:tr>
      <w:tr w:rsidR="00634133" w:rsidRPr="00FD5D16" w14:paraId="24353947" w14:textId="4ACB1591" w:rsidTr="00634133">
        <w:trPr>
          <w:gridAfter w:val="1"/>
          <w:wAfter w:w="4589" w:type="dxa"/>
        </w:trPr>
        <w:tc>
          <w:tcPr>
            <w:tcW w:w="2268" w:type="dxa"/>
          </w:tcPr>
          <w:p w14:paraId="50F0CC2B" w14:textId="77777777" w:rsidR="00634133" w:rsidRPr="00FD5D16" w:rsidRDefault="00634133" w:rsidP="00BE6FBC">
            <w:pPr>
              <w:rPr>
                <w:b/>
                <w:bCs/>
                <w:lang w:val="en-GB"/>
              </w:rPr>
            </w:pPr>
            <w:r w:rsidRPr="00FD5D16">
              <w:rPr>
                <w:b/>
                <w:bCs/>
                <w:lang w:val="en-GB"/>
              </w:rPr>
              <w:t>Mortality</w:t>
            </w:r>
          </w:p>
        </w:tc>
        <w:tc>
          <w:tcPr>
            <w:tcW w:w="1843" w:type="dxa"/>
          </w:tcPr>
          <w:p w14:paraId="1E249884" w14:textId="77777777" w:rsidR="00634133" w:rsidRPr="00FD5D16" w:rsidRDefault="00634133" w:rsidP="00BE6FBC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7CFBC602" w14:textId="77777777" w:rsidR="00634133" w:rsidRPr="00FD5D16" w:rsidRDefault="00634133" w:rsidP="00BE6FBC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61E8348F" w14:textId="77777777" w:rsidR="00634133" w:rsidRPr="00FD5D16" w:rsidRDefault="00634133" w:rsidP="00BE6FBC">
            <w:pPr>
              <w:rPr>
                <w:lang w:val="en-GB"/>
              </w:rPr>
            </w:pPr>
          </w:p>
        </w:tc>
        <w:tc>
          <w:tcPr>
            <w:tcW w:w="1657" w:type="dxa"/>
          </w:tcPr>
          <w:p w14:paraId="6C0729E6" w14:textId="77777777" w:rsidR="00634133" w:rsidRPr="00FD5D16" w:rsidRDefault="00634133" w:rsidP="00BE6FBC">
            <w:pPr>
              <w:rPr>
                <w:lang w:val="en-GB"/>
              </w:rPr>
            </w:pPr>
          </w:p>
        </w:tc>
      </w:tr>
      <w:tr w:rsidR="00634133" w:rsidRPr="00FD5D16" w14:paraId="2F1C1B07" w14:textId="36D9E88A" w:rsidTr="00634133">
        <w:trPr>
          <w:gridAfter w:val="1"/>
          <w:wAfter w:w="4589" w:type="dxa"/>
        </w:trPr>
        <w:tc>
          <w:tcPr>
            <w:tcW w:w="2268" w:type="dxa"/>
          </w:tcPr>
          <w:p w14:paraId="28E31EC7" w14:textId="77777777" w:rsidR="00634133" w:rsidRPr="00FD5D16" w:rsidRDefault="00634133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28–day mortality</w:t>
            </w:r>
          </w:p>
        </w:tc>
        <w:tc>
          <w:tcPr>
            <w:tcW w:w="1843" w:type="dxa"/>
          </w:tcPr>
          <w:p w14:paraId="0BB2C309" w14:textId="32FC3FB8" w:rsidR="00634133" w:rsidRPr="00FD5D16" w:rsidRDefault="00634133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0.750 – 1.551</w:t>
            </w:r>
          </w:p>
        </w:tc>
        <w:tc>
          <w:tcPr>
            <w:tcW w:w="1843" w:type="dxa"/>
          </w:tcPr>
          <w:p w14:paraId="63F0E23F" w14:textId="37F2B243" w:rsidR="00634133" w:rsidRPr="00FD5D16" w:rsidRDefault="00634133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0.528 – 1.530</w:t>
            </w:r>
          </w:p>
        </w:tc>
        <w:tc>
          <w:tcPr>
            <w:tcW w:w="1843" w:type="dxa"/>
          </w:tcPr>
          <w:p w14:paraId="2B246AA6" w14:textId="420FA467" w:rsidR="00634133" w:rsidRPr="00FD5D16" w:rsidRDefault="00634133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0.270 – 1.895</w:t>
            </w:r>
          </w:p>
        </w:tc>
        <w:tc>
          <w:tcPr>
            <w:tcW w:w="1657" w:type="dxa"/>
          </w:tcPr>
          <w:p w14:paraId="60BAB79E" w14:textId="456A897E" w:rsidR="00634133" w:rsidRPr="00FD5D16" w:rsidRDefault="00FB0AC0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0.633 – 1.670</w:t>
            </w:r>
          </w:p>
        </w:tc>
      </w:tr>
      <w:tr w:rsidR="00634133" w:rsidRPr="00FD5D16" w14:paraId="42866152" w14:textId="3C6F3DEA" w:rsidTr="00634133">
        <w:trPr>
          <w:gridAfter w:val="1"/>
          <w:wAfter w:w="4589" w:type="dxa"/>
        </w:trPr>
        <w:tc>
          <w:tcPr>
            <w:tcW w:w="2268" w:type="dxa"/>
          </w:tcPr>
          <w:p w14:paraId="6445A246" w14:textId="77777777" w:rsidR="00634133" w:rsidRPr="00FD5D16" w:rsidRDefault="00634133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90–day mortality</w:t>
            </w:r>
          </w:p>
        </w:tc>
        <w:tc>
          <w:tcPr>
            <w:tcW w:w="1843" w:type="dxa"/>
          </w:tcPr>
          <w:p w14:paraId="100072D0" w14:textId="36292788" w:rsidR="00634133" w:rsidRPr="00FD5D16" w:rsidRDefault="00634133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</w:t>
            </w:r>
            <w:r w:rsidR="00FB0AC0" w:rsidRPr="00FD5D16">
              <w:rPr>
                <w:lang w:val="en-GB"/>
              </w:rPr>
              <w:t>691</w:t>
            </w:r>
            <w:r w:rsidRPr="00FD5D16">
              <w:rPr>
                <w:lang w:val="en-GB"/>
              </w:rPr>
              <w:t xml:space="preserve"> – 1.</w:t>
            </w:r>
            <w:r w:rsidR="00FB0AC0" w:rsidRPr="00FD5D16">
              <w:rPr>
                <w:lang w:val="en-GB"/>
              </w:rPr>
              <w:t>364</w:t>
            </w:r>
          </w:p>
        </w:tc>
        <w:tc>
          <w:tcPr>
            <w:tcW w:w="1843" w:type="dxa"/>
          </w:tcPr>
          <w:p w14:paraId="7C414AAF" w14:textId="0A7B496D" w:rsidR="00634133" w:rsidRPr="00FD5D16" w:rsidRDefault="00634133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</w:t>
            </w:r>
            <w:r w:rsidR="00FB0AC0" w:rsidRPr="00FD5D16">
              <w:rPr>
                <w:lang w:val="en-GB"/>
              </w:rPr>
              <w:t>671</w:t>
            </w:r>
            <w:r w:rsidRPr="00FD5D16">
              <w:rPr>
                <w:lang w:val="en-GB"/>
              </w:rPr>
              <w:t xml:space="preserve"> – 1.</w:t>
            </w:r>
            <w:r w:rsidR="00FB0AC0" w:rsidRPr="00FD5D16">
              <w:rPr>
                <w:lang w:val="en-GB"/>
              </w:rPr>
              <w:t>907</w:t>
            </w:r>
          </w:p>
        </w:tc>
        <w:tc>
          <w:tcPr>
            <w:tcW w:w="1843" w:type="dxa"/>
          </w:tcPr>
          <w:p w14:paraId="6FDB1375" w14:textId="2F996A24" w:rsidR="00634133" w:rsidRPr="00FD5D16" w:rsidRDefault="00634133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</w:t>
            </w:r>
            <w:r w:rsidR="00FB0AC0" w:rsidRPr="00FD5D16">
              <w:rPr>
                <w:lang w:val="en-GB"/>
              </w:rPr>
              <w:t>202</w:t>
            </w:r>
            <w:r w:rsidRPr="00FD5D16">
              <w:rPr>
                <w:lang w:val="en-GB"/>
              </w:rPr>
              <w:t xml:space="preserve"> – 1.</w:t>
            </w:r>
            <w:r w:rsidR="00FB0AC0" w:rsidRPr="00FD5D16">
              <w:rPr>
                <w:lang w:val="en-GB"/>
              </w:rPr>
              <w:t>420</w:t>
            </w:r>
          </w:p>
        </w:tc>
        <w:tc>
          <w:tcPr>
            <w:tcW w:w="1657" w:type="dxa"/>
          </w:tcPr>
          <w:p w14:paraId="12A70191" w14:textId="16446C1F" w:rsidR="00634133" w:rsidRPr="00FD5D16" w:rsidRDefault="00FB0AC0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0.729 – 1.836</w:t>
            </w:r>
          </w:p>
        </w:tc>
      </w:tr>
      <w:tr w:rsidR="00634133" w:rsidRPr="00FD5D16" w14:paraId="558F9160" w14:textId="457469EE" w:rsidTr="00634133">
        <w:trPr>
          <w:gridAfter w:val="1"/>
          <w:wAfter w:w="4589" w:type="dxa"/>
        </w:trPr>
        <w:tc>
          <w:tcPr>
            <w:tcW w:w="2268" w:type="dxa"/>
          </w:tcPr>
          <w:p w14:paraId="38505D55" w14:textId="389DE737" w:rsidR="00634133" w:rsidRPr="00FD5D16" w:rsidRDefault="00634133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Long-term mortality</w:t>
            </w:r>
            <w:r w:rsidRPr="00FD5D16">
              <w:rPr>
                <w:rStyle w:val="Slutnotsreferens"/>
                <w:lang w:val="en-GB"/>
              </w:rPr>
              <w:endnoteReference w:id="22"/>
            </w:r>
          </w:p>
        </w:tc>
        <w:tc>
          <w:tcPr>
            <w:tcW w:w="1843" w:type="dxa"/>
          </w:tcPr>
          <w:p w14:paraId="5AD21DE6" w14:textId="750B0731" w:rsidR="00634133" w:rsidRPr="00FD5D16" w:rsidRDefault="00634133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</w:t>
            </w:r>
            <w:r w:rsidR="00035F00" w:rsidRPr="00FD5D16">
              <w:rPr>
                <w:lang w:val="en-GB"/>
              </w:rPr>
              <w:t>838</w:t>
            </w:r>
            <w:r w:rsidRPr="00FD5D16">
              <w:rPr>
                <w:lang w:val="en-GB"/>
              </w:rPr>
              <w:t xml:space="preserve"> – 1.3</w:t>
            </w:r>
            <w:r w:rsidR="00035F00" w:rsidRPr="00FD5D16">
              <w:rPr>
                <w:lang w:val="en-GB"/>
              </w:rPr>
              <w:t>35</w:t>
            </w:r>
          </w:p>
        </w:tc>
        <w:tc>
          <w:tcPr>
            <w:tcW w:w="1843" w:type="dxa"/>
          </w:tcPr>
          <w:p w14:paraId="49D1D4C6" w14:textId="597E6F14" w:rsidR="00634133" w:rsidRPr="00FD5D16" w:rsidRDefault="00634133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</w:t>
            </w:r>
            <w:r w:rsidR="00035F00" w:rsidRPr="00FD5D16">
              <w:rPr>
                <w:lang w:val="en-GB"/>
              </w:rPr>
              <w:t>733</w:t>
            </w:r>
            <w:r w:rsidRPr="00FD5D16">
              <w:rPr>
                <w:lang w:val="en-GB"/>
              </w:rPr>
              <w:t xml:space="preserve"> – 1.</w:t>
            </w:r>
            <w:r w:rsidR="00035F00" w:rsidRPr="00FD5D16">
              <w:rPr>
                <w:lang w:val="en-GB"/>
              </w:rPr>
              <w:t>536</w:t>
            </w:r>
          </w:p>
        </w:tc>
        <w:tc>
          <w:tcPr>
            <w:tcW w:w="1843" w:type="dxa"/>
          </w:tcPr>
          <w:p w14:paraId="11DC9011" w14:textId="7C716B5A" w:rsidR="00634133" w:rsidRPr="00FD5D16" w:rsidRDefault="00634133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</w:t>
            </w:r>
            <w:r w:rsidR="00035F00" w:rsidRPr="00FD5D16">
              <w:rPr>
                <w:lang w:val="en-GB"/>
              </w:rPr>
              <w:t>339</w:t>
            </w:r>
            <w:r w:rsidRPr="00FD5D16">
              <w:rPr>
                <w:lang w:val="en-GB"/>
              </w:rPr>
              <w:t xml:space="preserve"> – 1.</w:t>
            </w:r>
            <w:r w:rsidR="00035F00" w:rsidRPr="00FD5D16">
              <w:rPr>
                <w:lang w:val="en-GB"/>
              </w:rPr>
              <w:t>229</w:t>
            </w:r>
          </w:p>
        </w:tc>
        <w:tc>
          <w:tcPr>
            <w:tcW w:w="1657" w:type="dxa"/>
          </w:tcPr>
          <w:p w14:paraId="1E10B55E" w14:textId="782E3E13" w:rsidR="00634133" w:rsidRPr="00FD5D16" w:rsidRDefault="00035F00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0.746 – 1.362</w:t>
            </w:r>
          </w:p>
        </w:tc>
      </w:tr>
      <w:tr w:rsidR="00634133" w:rsidRPr="00FD5D16" w14:paraId="7CF40855" w14:textId="69A2EBBA" w:rsidTr="00634133">
        <w:trPr>
          <w:gridAfter w:val="1"/>
          <w:wAfter w:w="4589" w:type="dxa"/>
        </w:trPr>
        <w:tc>
          <w:tcPr>
            <w:tcW w:w="2268" w:type="dxa"/>
          </w:tcPr>
          <w:p w14:paraId="7FC8E85D" w14:textId="77777777" w:rsidR="00634133" w:rsidRPr="00FD5D16" w:rsidRDefault="00634133" w:rsidP="000C07D7">
            <w:pPr>
              <w:spacing w:before="60"/>
              <w:rPr>
                <w:b/>
                <w:bCs/>
                <w:lang w:val="en-GB"/>
              </w:rPr>
            </w:pPr>
            <w:r w:rsidRPr="00FD5D16">
              <w:rPr>
                <w:b/>
                <w:bCs/>
                <w:lang w:val="en-GB"/>
              </w:rPr>
              <w:t>Morbidity</w:t>
            </w:r>
          </w:p>
        </w:tc>
        <w:tc>
          <w:tcPr>
            <w:tcW w:w="1843" w:type="dxa"/>
          </w:tcPr>
          <w:p w14:paraId="46282086" w14:textId="77777777" w:rsidR="00634133" w:rsidRPr="00FD5D16" w:rsidRDefault="00634133" w:rsidP="000C07D7">
            <w:pPr>
              <w:spacing w:before="60"/>
              <w:rPr>
                <w:lang w:val="en-GB"/>
              </w:rPr>
            </w:pPr>
          </w:p>
        </w:tc>
        <w:tc>
          <w:tcPr>
            <w:tcW w:w="1843" w:type="dxa"/>
          </w:tcPr>
          <w:p w14:paraId="0C749976" w14:textId="77777777" w:rsidR="00634133" w:rsidRPr="00FD5D16" w:rsidRDefault="00634133" w:rsidP="000C07D7">
            <w:pPr>
              <w:spacing w:before="60"/>
              <w:rPr>
                <w:lang w:val="en-GB"/>
              </w:rPr>
            </w:pPr>
          </w:p>
        </w:tc>
        <w:tc>
          <w:tcPr>
            <w:tcW w:w="1843" w:type="dxa"/>
          </w:tcPr>
          <w:p w14:paraId="7030031B" w14:textId="77777777" w:rsidR="00634133" w:rsidRPr="00FD5D16" w:rsidRDefault="00634133" w:rsidP="000C07D7">
            <w:pPr>
              <w:spacing w:before="60"/>
              <w:rPr>
                <w:lang w:val="en-GB"/>
              </w:rPr>
            </w:pPr>
          </w:p>
        </w:tc>
        <w:tc>
          <w:tcPr>
            <w:tcW w:w="1657" w:type="dxa"/>
          </w:tcPr>
          <w:p w14:paraId="2A3A22C1" w14:textId="77777777" w:rsidR="00634133" w:rsidRPr="00FD5D16" w:rsidRDefault="00634133" w:rsidP="000C07D7">
            <w:pPr>
              <w:spacing w:before="60"/>
              <w:rPr>
                <w:lang w:val="en-GB"/>
              </w:rPr>
            </w:pPr>
          </w:p>
        </w:tc>
      </w:tr>
      <w:tr w:rsidR="00634133" w:rsidRPr="00FD5D16" w14:paraId="4EF38416" w14:textId="1A35C987" w:rsidTr="00634133">
        <w:trPr>
          <w:gridAfter w:val="1"/>
          <w:wAfter w:w="4589" w:type="dxa"/>
        </w:trPr>
        <w:tc>
          <w:tcPr>
            <w:tcW w:w="2268" w:type="dxa"/>
          </w:tcPr>
          <w:p w14:paraId="38F0A9E1" w14:textId="77777777" w:rsidR="00634133" w:rsidRPr="00FD5D16" w:rsidRDefault="00634133" w:rsidP="00BE6FBC">
            <w:pPr>
              <w:rPr>
                <w:lang w:val="en-GB"/>
              </w:rPr>
            </w:pPr>
            <w:proofErr w:type="spellStart"/>
            <w:r w:rsidRPr="00FD5D16">
              <w:rPr>
                <w:lang w:val="en-GB"/>
              </w:rPr>
              <w:t>DAFvent</w:t>
            </w:r>
            <w:proofErr w:type="spellEnd"/>
            <w:r w:rsidRPr="00FD5D16">
              <w:rPr>
                <w:vertAlign w:val="superscript"/>
                <w:lang w:val="en-GB"/>
              </w:rPr>
              <w:endnoteReference w:id="23"/>
            </w:r>
          </w:p>
        </w:tc>
        <w:tc>
          <w:tcPr>
            <w:tcW w:w="1843" w:type="dxa"/>
          </w:tcPr>
          <w:p w14:paraId="418253E1" w14:textId="713988DF" w:rsidR="00634133" w:rsidRPr="00FD5D16" w:rsidRDefault="00634133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0.795 – 1.251</w:t>
            </w:r>
          </w:p>
        </w:tc>
        <w:tc>
          <w:tcPr>
            <w:tcW w:w="1843" w:type="dxa"/>
          </w:tcPr>
          <w:p w14:paraId="3FD8AFA9" w14:textId="09584532" w:rsidR="00634133" w:rsidRPr="00FD5D16" w:rsidRDefault="00634133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</w:t>
            </w:r>
            <w:r w:rsidR="00AF3E29" w:rsidRPr="00FD5D16">
              <w:rPr>
                <w:lang w:val="en-GB"/>
              </w:rPr>
              <w:t xml:space="preserve">619 </w:t>
            </w:r>
            <w:r w:rsidRPr="00FD5D16">
              <w:rPr>
                <w:lang w:val="en-GB"/>
              </w:rPr>
              <w:t>– 1.</w:t>
            </w:r>
            <w:r w:rsidR="00AF3E29" w:rsidRPr="00FD5D16">
              <w:rPr>
                <w:lang w:val="en-GB"/>
              </w:rPr>
              <w:t>242</w:t>
            </w:r>
          </w:p>
        </w:tc>
        <w:tc>
          <w:tcPr>
            <w:tcW w:w="1843" w:type="dxa"/>
          </w:tcPr>
          <w:p w14:paraId="76D7C6D3" w14:textId="4938A6C9" w:rsidR="00634133" w:rsidRPr="00FD5D16" w:rsidRDefault="00634133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</w:t>
            </w:r>
            <w:r w:rsidR="00AF3E29" w:rsidRPr="00FD5D16">
              <w:rPr>
                <w:lang w:val="en-GB"/>
              </w:rPr>
              <w:t>465</w:t>
            </w:r>
            <w:r w:rsidRPr="00FD5D16">
              <w:rPr>
                <w:lang w:val="en-GB"/>
              </w:rPr>
              <w:t xml:space="preserve"> – 1.</w:t>
            </w:r>
            <w:r w:rsidR="00AF3E29" w:rsidRPr="00FD5D16">
              <w:rPr>
                <w:lang w:val="en-GB"/>
              </w:rPr>
              <w:t>362</w:t>
            </w:r>
          </w:p>
        </w:tc>
        <w:tc>
          <w:tcPr>
            <w:tcW w:w="1657" w:type="dxa"/>
          </w:tcPr>
          <w:p w14:paraId="1C80F612" w14:textId="6295E112" w:rsidR="00634133" w:rsidRPr="00FD5D16" w:rsidRDefault="00AF3E29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0.746 – 1.361</w:t>
            </w:r>
          </w:p>
        </w:tc>
      </w:tr>
      <w:tr w:rsidR="00634133" w:rsidRPr="00FD5D16" w14:paraId="3223776A" w14:textId="59720195" w:rsidTr="00634133">
        <w:trPr>
          <w:gridAfter w:val="1"/>
          <w:wAfter w:w="4589" w:type="dxa"/>
        </w:trPr>
        <w:tc>
          <w:tcPr>
            <w:tcW w:w="2268" w:type="dxa"/>
          </w:tcPr>
          <w:p w14:paraId="6F1F2E82" w14:textId="77777777" w:rsidR="00634133" w:rsidRPr="00FD5D16" w:rsidRDefault="00634133" w:rsidP="00BE6FBC">
            <w:pPr>
              <w:rPr>
                <w:lang w:val="en-GB"/>
              </w:rPr>
            </w:pPr>
            <w:proofErr w:type="spellStart"/>
            <w:r w:rsidRPr="00FD5D16">
              <w:rPr>
                <w:lang w:val="en-GB"/>
              </w:rPr>
              <w:t>DAFcirc</w:t>
            </w:r>
            <w:proofErr w:type="spellEnd"/>
            <w:r w:rsidRPr="00FD5D16">
              <w:rPr>
                <w:vertAlign w:val="superscript"/>
                <w:lang w:val="en-GB"/>
              </w:rPr>
              <w:endnoteReference w:id="24"/>
            </w:r>
          </w:p>
        </w:tc>
        <w:tc>
          <w:tcPr>
            <w:tcW w:w="1843" w:type="dxa"/>
          </w:tcPr>
          <w:p w14:paraId="22D25C78" w14:textId="3563DA29" w:rsidR="00634133" w:rsidRPr="00FD5D16" w:rsidRDefault="00634133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0.671 – 1.144</w:t>
            </w:r>
          </w:p>
        </w:tc>
        <w:tc>
          <w:tcPr>
            <w:tcW w:w="1843" w:type="dxa"/>
          </w:tcPr>
          <w:p w14:paraId="7B321E37" w14:textId="6AA2CBE5" w:rsidR="00634133" w:rsidRPr="00FD5D16" w:rsidRDefault="00634133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0.837 – 1.833</w:t>
            </w:r>
          </w:p>
        </w:tc>
        <w:tc>
          <w:tcPr>
            <w:tcW w:w="1843" w:type="dxa"/>
          </w:tcPr>
          <w:p w14:paraId="4CBE0DC7" w14:textId="7E832E32" w:rsidR="00634133" w:rsidRPr="00FD5D16" w:rsidRDefault="00634133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0.449 – 1.629</w:t>
            </w:r>
          </w:p>
        </w:tc>
        <w:tc>
          <w:tcPr>
            <w:tcW w:w="1657" w:type="dxa"/>
          </w:tcPr>
          <w:p w14:paraId="05B38C19" w14:textId="794D3396" w:rsidR="00634133" w:rsidRPr="00FD5D16" w:rsidRDefault="00383185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0.705 – 1.416</w:t>
            </w:r>
          </w:p>
        </w:tc>
      </w:tr>
      <w:tr w:rsidR="00634133" w:rsidRPr="00FD5D16" w14:paraId="70FDC86E" w14:textId="5A8DF5F4" w:rsidTr="00634133">
        <w:trPr>
          <w:gridAfter w:val="1"/>
          <w:wAfter w:w="4589" w:type="dxa"/>
        </w:trPr>
        <w:tc>
          <w:tcPr>
            <w:tcW w:w="2268" w:type="dxa"/>
          </w:tcPr>
          <w:p w14:paraId="15A8FB79" w14:textId="4833F4A3" w:rsidR="00634133" w:rsidRPr="00FD5D16" w:rsidRDefault="00634133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SOFA-max</w:t>
            </w:r>
            <w:r w:rsidRPr="00FD5D16">
              <w:rPr>
                <w:vertAlign w:val="superscript"/>
                <w:lang w:val="en-GB"/>
              </w:rPr>
              <w:endnoteReference w:id="25"/>
            </w:r>
          </w:p>
        </w:tc>
        <w:tc>
          <w:tcPr>
            <w:tcW w:w="1843" w:type="dxa"/>
          </w:tcPr>
          <w:p w14:paraId="0377D37F" w14:textId="4EB36E50" w:rsidR="00634133" w:rsidRPr="00FD5D16" w:rsidRDefault="00634133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0.706 – 1.172</w:t>
            </w:r>
          </w:p>
        </w:tc>
        <w:tc>
          <w:tcPr>
            <w:tcW w:w="1843" w:type="dxa"/>
          </w:tcPr>
          <w:p w14:paraId="26F952A8" w14:textId="5B62794D" w:rsidR="00634133" w:rsidRPr="00FD5D16" w:rsidRDefault="00634133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0.664 – 1.437</w:t>
            </w:r>
          </w:p>
        </w:tc>
        <w:tc>
          <w:tcPr>
            <w:tcW w:w="1843" w:type="dxa"/>
          </w:tcPr>
          <w:p w14:paraId="45E4AE41" w14:textId="4790886E" w:rsidR="00634133" w:rsidRPr="00FD5D16" w:rsidRDefault="00634133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0.2</w:t>
            </w:r>
            <w:r w:rsidR="006305B0" w:rsidRPr="00FD5D16">
              <w:rPr>
                <w:lang w:val="en-GB"/>
              </w:rPr>
              <w:t>75</w:t>
            </w:r>
            <w:r w:rsidRPr="00FD5D16">
              <w:rPr>
                <w:lang w:val="en-GB"/>
              </w:rPr>
              <w:t xml:space="preserve"> – 1.07</w:t>
            </w:r>
            <w:r w:rsidR="006305B0" w:rsidRPr="00FD5D16">
              <w:rPr>
                <w:lang w:val="en-GB"/>
              </w:rPr>
              <w:t>8</w:t>
            </w:r>
          </w:p>
        </w:tc>
        <w:tc>
          <w:tcPr>
            <w:tcW w:w="1657" w:type="dxa"/>
          </w:tcPr>
          <w:p w14:paraId="1321657D" w14:textId="0225E1F5" w:rsidR="00634133" w:rsidRPr="00FD5D16" w:rsidRDefault="006305B0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0.679 – 1.316</w:t>
            </w:r>
          </w:p>
        </w:tc>
      </w:tr>
      <w:tr w:rsidR="00634133" w:rsidRPr="00FD5D16" w14:paraId="6274D4FA" w14:textId="292FA832" w:rsidTr="00634133">
        <w:trPr>
          <w:gridAfter w:val="1"/>
          <w:wAfter w:w="4589" w:type="dxa"/>
        </w:trPr>
        <w:tc>
          <w:tcPr>
            <w:tcW w:w="2268" w:type="dxa"/>
          </w:tcPr>
          <w:p w14:paraId="52FF157A" w14:textId="5427DB8B" w:rsidR="00634133" w:rsidRPr="00FD5D16" w:rsidRDefault="00634133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Length-of-stay</w:t>
            </w:r>
          </w:p>
        </w:tc>
        <w:tc>
          <w:tcPr>
            <w:tcW w:w="1843" w:type="dxa"/>
          </w:tcPr>
          <w:p w14:paraId="77E0C291" w14:textId="32C83C60" w:rsidR="00634133" w:rsidRPr="00FD5D16" w:rsidRDefault="00634133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0.75</w:t>
            </w:r>
            <w:r w:rsidR="006305B0" w:rsidRPr="00FD5D16">
              <w:rPr>
                <w:lang w:val="en-GB"/>
              </w:rPr>
              <w:t>9</w:t>
            </w:r>
            <w:r w:rsidRPr="00FD5D16">
              <w:rPr>
                <w:lang w:val="en-GB"/>
              </w:rPr>
              <w:t xml:space="preserve"> – 1.1</w:t>
            </w:r>
            <w:r w:rsidR="006305B0" w:rsidRPr="00FD5D16">
              <w:rPr>
                <w:lang w:val="en-GB"/>
              </w:rPr>
              <w:t>73</w:t>
            </w:r>
          </w:p>
        </w:tc>
        <w:tc>
          <w:tcPr>
            <w:tcW w:w="1843" w:type="dxa"/>
          </w:tcPr>
          <w:p w14:paraId="049526DF" w14:textId="6C778865" w:rsidR="00634133" w:rsidRPr="00FD5D16" w:rsidRDefault="00634133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0.52</w:t>
            </w:r>
            <w:r w:rsidR="006305B0" w:rsidRPr="00FD5D16">
              <w:rPr>
                <w:lang w:val="en-GB"/>
              </w:rPr>
              <w:t>7</w:t>
            </w:r>
            <w:r w:rsidRPr="00FD5D16">
              <w:rPr>
                <w:lang w:val="en-GB"/>
              </w:rPr>
              <w:t xml:space="preserve"> – 1.0</w:t>
            </w:r>
            <w:r w:rsidR="006305B0" w:rsidRPr="00FD5D16">
              <w:rPr>
                <w:lang w:val="en-GB"/>
              </w:rPr>
              <w:t>18</w:t>
            </w:r>
          </w:p>
        </w:tc>
        <w:tc>
          <w:tcPr>
            <w:tcW w:w="1843" w:type="dxa"/>
          </w:tcPr>
          <w:p w14:paraId="6900E598" w14:textId="53C0A8BA" w:rsidR="00634133" w:rsidRPr="00FD5D16" w:rsidRDefault="00634133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0.53</w:t>
            </w:r>
            <w:r w:rsidR="006305B0" w:rsidRPr="00FD5D16">
              <w:rPr>
                <w:lang w:val="en-GB"/>
              </w:rPr>
              <w:t>2</w:t>
            </w:r>
            <w:r w:rsidRPr="00FD5D16">
              <w:rPr>
                <w:lang w:val="en-GB"/>
              </w:rPr>
              <w:t xml:space="preserve"> – 1.47</w:t>
            </w:r>
            <w:r w:rsidR="006305B0" w:rsidRPr="00FD5D16">
              <w:rPr>
                <w:lang w:val="en-GB"/>
              </w:rPr>
              <w:t>6</w:t>
            </w:r>
          </w:p>
        </w:tc>
        <w:tc>
          <w:tcPr>
            <w:tcW w:w="1657" w:type="dxa"/>
          </w:tcPr>
          <w:p w14:paraId="24545CC9" w14:textId="4E4559DE" w:rsidR="00634133" w:rsidRPr="00FD5D16" w:rsidRDefault="006305B0" w:rsidP="00BE6FBC">
            <w:pPr>
              <w:rPr>
                <w:lang w:val="en-GB"/>
              </w:rPr>
            </w:pPr>
            <w:r w:rsidRPr="00FD5D16">
              <w:rPr>
                <w:lang w:val="en-GB"/>
              </w:rPr>
              <w:t>0.593 – 1.060</w:t>
            </w:r>
          </w:p>
        </w:tc>
      </w:tr>
    </w:tbl>
    <w:p w14:paraId="268CFC8B" w14:textId="09C11B2B" w:rsidR="00BE6FBC" w:rsidRPr="00FD5D16" w:rsidRDefault="00BE6FBC">
      <w:pPr>
        <w:rPr>
          <w:lang w:val="en-GB"/>
        </w:rPr>
      </w:pPr>
    </w:p>
    <w:p w14:paraId="503BFCB7" w14:textId="77777777" w:rsidR="00BE6FBC" w:rsidRPr="00FD5D16" w:rsidRDefault="00BE6FBC">
      <w:pPr>
        <w:rPr>
          <w:lang w:val="en-GB"/>
        </w:rPr>
      </w:pPr>
    </w:p>
    <w:sectPr w:rsidR="00BE6FBC" w:rsidRPr="00FD5D16" w:rsidSect="00BE6FBC">
      <w:endnotePr>
        <w:numFmt w:val="lowerLetter"/>
        <w:numRestart w:val="eachSect"/>
      </w:endnotePr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90147" w14:textId="77777777" w:rsidR="004F49D8" w:rsidRDefault="004F49D8" w:rsidP="00BE6FBC">
      <w:r>
        <w:separator/>
      </w:r>
    </w:p>
  </w:endnote>
  <w:endnote w:type="continuationSeparator" w:id="0">
    <w:p w14:paraId="528A20EA" w14:textId="77777777" w:rsidR="004F49D8" w:rsidRDefault="004F49D8" w:rsidP="00BE6FBC">
      <w:r>
        <w:continuationSeparator/>
      </w:r>
    </w:p>
  </w:endnote>
  <w:endnote w:id="1">
    <w:p w14:paraId="581FD295" w14:textId="260083D2" w:rsidR="0038181C" w:rsidRPr="00C24C41" w:rsidRDefault="0038181C" w:rsidP="00BE6FBC">
      <w:pPr>
        <w:pStyle w:val="Slutnotstext"/>
        <w:rPr>
          <w:rFonts w:ascii="Times New Roman" w:hAnsi="Times New Roman" w:cs="Times New Roman"/>
          <w:lang w:val="en-US"/>
        </w:rPr>
      </w:pPr>
      <w:r w:rsidRPr="00C24C41">
        <w:rPr>
          <w:rStyle w:val="Slutnotsreferens"/>
          <w:rFonts w:ascii="Times New Roman" w:hAnsi="Times New Roman" w:cs="Times New Roman"/>
        </w:rPr>
        <w:endnoteRef/>
      </w:r>
      <w:r w:rsidRPr="00C24C41">
        <w:rPr>
          <w:rFonts w:ascii="Times New Roman" w:hAnsi="Times New Roman" w:cs="Times New Roman"/>
          <w:lang w:val="en-US"/>
        </w:rPr>
        <w:t xml:space="preserve"> </w:t>
      </w:r>
      <w:r w:rsidRPr="00C24C41">
        <w:rPr>
          <w:rFonts w:ascii="Times New Roman" w:hAnsi="Times New Roman" w:cs="Times New Roman"/>
          <w:b/>
          <w:bCs/>
          <w:lang w:val="en-US"/>
        </w:rPr>
        <w:t>All</w:t>
      </w:r>
      <w:r w:rsidRPr="00C24C41">
        <w:rPr>
          <w:rFonts w:ascii="Times New Roman" w:hAnsi="Times New Roman" w:cs="Times New Roman"/>
          <w:lang w:val="en-US"/>
        </w:rPr>
        <w:t xml:space="preserve"> </w:t>
      </w:r>
      <w:r w:rsidRPr="00C24C41">
        <w:rPr>
          <w:rFonts w:ascii="Times New Roman" w:hAnsi="Times New Roman" w:cs="Times New Roman"/>
          <w:b/>
          <w:bCs/>
          <w:lang w:val="en-US"/>
        </w:rPr>
        <w:t>analyses were corrected for age and sex</w:t>
      </w:r>
      <w:r w:rsidRPr="00C24C41">
        <w:rPr>
          <w:rFonts w:ascii="Times New Roman" w:hAnsi="Times New Roman" w:cs="Times New Roman"/>
          <w:lang w:val="en-US"/>
        </w:rPr>
        <w:t xml:space="preserve">. All outcomes were </w:t>
      </w:r>
      <w:r w:rsidR="00FD5D16">
        <w:rPr>
          <w:rFonts w:ascii="Times New Roman" w:hAnsi="Times New Roman" w:cs="Times New Roman"/>
          <w:lang w:val="en-US"/>
        </w:rPr>
        <w:t xml:space="preserve">analyzed </w:t>
      </w:r>
      <w:r w:rsidRPr="00C24C41">
        <w:rPr>
          <w:rFonts w:ascii="Times New Roman" w:hAnsi="Times New Roman" w:cs="Times New Roman"/>
          <w:lang w:val="en-US"/>
        </w:rPr>
        <w:t>in separate multivariable regression models</w:t>
      </w:r>
      <w:r w:rsidRPr="00C24C41">
        <w:rPr>
          <w:rFonts w:ascii="Times New Roman" w:hAnsi="Times New Roman" w:cs="Times New Roman"/>
          <w:lang w:val="en-GB"/>
        </w:rPr>
        <w:t xml:space="preserve"> resulting in odds or hazard ratio for each </w:t>
      </w:r>
      <w:r w:rsidR="00071C24" w:rsidRPr="00071C24">
        <w:rPr>
          <w:rFonts w:ascii="Times New Roman" w:hAnsi="Times New Roman" w:cs="Times New Roman"/>
          <w:lang w:val="en-GB"/>
        </w:rPr>
        <w:t>ABO blood group</w:t>
      </w:r>
      <w:r w:rsidRPr="00C24C41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Pr="00C24C41">
        <w:rPr>
          <w:rFonts w:ascii="Times New Roman" w:hAnsi="Times New Roman" w:cs="Times New Roman"/>
          <w:lang w:val="en-GB"/>
        </w:rPr>
        <w:t>RhD</w:t>
      </w:r>
      <w:proofErr w:type="spellEnd"/>
      <w:r w:rsidRPr="00C24C41">
        <w:rPr>
          <w:rFonts w:ascii="Times New Roman" w:hAnsi="Times New Roman" w:cs="Times New Roman"/>
          <w:lang w:val="en-GB"/>
        </w:rPr>
        <w:t xml:space="preserve"> status using </w:t>
      </w:r>
      <w:r w:rsidR="00071C24" w:rsidRPr="00071C24">
        <w:rPr>
          <w:rFonts w:ascii="Times New Roman" w:hAnsi="Times New Roman" w:cs="Times New Roman"/>
          <w:lang w:val="en-GB"/>
        </w:rPr>
        <w:t>ABO blood group</w:t>
      </w:r>
      <w:r w:rsidRPr="00C24C41">
        <w:rPr>
          <w:rFonts w:ascii="Times New Roman" w:hAnsi="Times New Roman" w:cs="Times New Roman"/>
          <w:lang w:val="en-GB"/>
        </w:rPr>
        <w:t xml:space="preserve"> O and </w:t>
      </w:r>
      <w:proofErr w:type="spellStart"/>
      <w:r w:rsidRPr="00C24C41">
        <w:rPr>
          <w:rFonts w:ascii="Times New Roman" w:hAnsi="Times New Roman" w:cs="Times New Roman"/>
          <w:lang w:val="en-GB"/>
        </w:rPr>
        <w:t>RhD</w:t>
      </w:r>
      <w:proofErr w:type="spellEnd"/>
      <w:r w:rsidRPr="00C24C41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negative</w:t>
      </w:r>
      <w:r w:rsidRPr="00C24C41">
        <w:rPr>
          <w:rFonts w:ascii="Times New Roman" w:hAnsi="Times New Roman" w:cs="Times New Roman"/>
          <w:lang w:val="en-GB"/>
        </w:rPr>
        <w:t xml:space="preserve"> as references</w:t>
      </w:r>
    </w:p>
  </w:endnote>
  <w:endnote w:id="2">
    <w:p w14:paraId="68036074" w14:textId="77777777" w:rsidR="0038181C" w:rsidRPr="00451DD8" w:rsidRDefault="0038181C" w:rsidP="00C24C41">
      <w:pPr>
        <w:pStyle w:val="Slutnotstext"/>
        <w:rPr>
          <w:lang w:val="en-US"/>
        </w:rPr>
      </w:pPr>
      <w:r>
        <w:rPr>
          <w:rStyle w:val="Slutnotsreferens"/>
        </w:rPr>
        <w:endnoteRef/>
      </w:r>
      <w:r w:rsidRPr="00451DD8">
        <w:rPr>
          <w:lang w:val="en-US"/>
        </w:rPr>
        <w:t xml:space="preserve"> </w:t>
      </w:r>
      <w:r w:rsidRPr="0038181C">
        <w:rPr>
          <w:rFonts w:ascii="Times New Roman" w:hAnsi="Times New Roman" w:cs="Times New Roman"/>
          <w:lang w:val="en-US"/>
        </w:rPr>
        <w:t>Cox regression</w:t>
      </w:r>
    </w:p>
  </w:endnote>
  <w:endnote w:id="3">
    <w:p w14:paraId="6F6C2A4A" w14:textId="77777777" w:rsidR="0038181C" w:rsidRPr="00C24C41" w:rsidRDefault="0038181C" w:rsidP="00BE6FBC">
      <w:pPr>
        <w:pStyle w:val="Slutnotstext"/>
        <w:rPr>
          <w:rFonts w:ascii="Times New Roman" w:hAnsi="Times New Roman" w:cs="Times New Roman"/>
          <w:lang w:val="en-US"/>
        </w:rPr>
      </w:pPr>
      <w:r w:rsidRPr="00C24C41">
        <w:rPr>
          <w:rStyle w:val="Slutnotsreferens"/>
          <w:rFonts w:ascii="Times New Roman" w:hAnsi="Times New Roman" w:cs="Times New Roman"/>
        </w:rPr>
        <w:endnoteRef/>
      </w:r>
      <w:r w:rsidRPr="00C24C41">
        <w:rPr>
          <w:rFonts w:ascii="Times New Roman" w:hAnsi="Times New Roman" w:cs="Times New Roman"/>
          <w:lang w:val="en-US"/>
        </w:rPr>
        <w:t xml:space="preserve"> Days alive and free of invasive ventilation</w:t>
      </w:r>
    </w:p>
  </w:endnote>
  <w:endnote w:id="4">
    <w:p w14:paraId="239F56C4" w14:textId="77777777" w:rsidR="0038181C" w:rsidRPr="00C24C41" w:rsidRDefault="0038181C" w:rsidP="00BE6FBC">
      <w:pPr>
        <w:pStyle w:val="Slutnotstext"/>
        <w:rPr>
          <w:rFonts w:ascii="Times New Roman" w:hAnsi="Times New Roman" w:cs="Times New Roman"/>
          <w:lang w:val="en-US"/>
        </w:rPr>
      </w:pPr>
      <w:r w:rsidRPr="00C24C41">
        <w:rPr>
          <w:rStyle w:val="Slutnotsreferens"/>
          <w:rFonts w:ascii="Times New Roman" w:hAnsi="Times New Roman" w:cs="Times New Roman"/>
        </w:rPr>
        <w:endnoteRef/>
      </w:r>
      <w:r w:rsidRPr="00C24C41">
        <w:rPr>
          <w:rFonts w:ascii="Times New Roman" w:hAnsi="Times New Roman" w:cs="Times New Roman"/>
          <w:lang w:val="en-US"/>
        </w:rPr>
        <w:t xml:space="preserve"> Days alive and free of circulatory support</w:t>
      </w:r>
    </w:p>
  </w:endnote>
  <w:endnote w:id="5">
    <w:p w14:paraId="32D056AD" w14:textId="44C784CF" w:rsidR="0038181C" w:rsidRPr="00C24C41" w:rsidRDefault="0038181C" w:rsidP="00BE6FBC">
      <w:pPr>
        <w:pStyle w:val="Slutnotstext"/>
        <w:rPr>
          <w:rFonts w:ascii="Times New Roman" w:hAnsi="Times New Roman" w:cs="Times New Roman"/>
          <w:lang w:val="en-US"/>
        </w:rPr>
      </w:pPr>
      <w:r w:rsidRPr="00C24C41">
        <w:rPr>
          <w:rStyle w:val="Slutnotsreferens"/>
          <w:rFonts w:ascii="Times New Roman" w:hAnsi="Times New Roman" w:cs="Times New Roman"/>
        </w:rPr>
        <w:endnoteRef/>
      </w:r>
      <w:r w:rsidRPr="00C24C41">
        <w:rPr>
          <w:rFonts w:ascii="Times New Roman" w:hAnsi="Times New Roman" w:cs="Times New Roman"/>
          <w:lang w:val="en-US"/>
        </w:rPr>
        <w:t xml:space="preserve"> Maximum Sequential Organ Failure Assessment score during the length of stay</w:t>
      </w:r>
    </w:p>
    <w:p w14:paraId="7D99EA89" w14:textId="49911CE8" w:rsidR="0038181C" w:rsidRPr="00C24C41" w:rsidRDefault="0038181C" w:rsidP="00BE6FBC">
      <w:pPr>
        <w:pStyle w:val="Slutnotstext"/>
        <w:rPr>
          <w:rFonts w:ascii="Times New Roman" w:hAnsi="Times New Roman" w:cs="Times New Roman"/>
          <w:lang w:val="en-US"/>
        </w:rPr>
      </w:pPr>
    </w:p>
  </w:endnote>
  <w:endnote w:id="6">
    <w:p w14:paraId="0BE72781" w14:textId="5EBCD29B" w:rsidR="00831F23" w:rsidRPr="00C24C41" w:rsidRDefault="00831F23" w:rsidP="00BE6FBC">
      <w:pPr>
        <w:pStyle w:val="Slutnotstext"/>
        <w:rPr>
          <w:rFonts w:ascii="Times New Roman" w:hAnsi="Times New Roman" w:cs="Times New Roman"/>
          <w:lang w:val="en-US"/>
        </w:rPr>
      </w:pPr>
      <w:r w:rsidRPr="00C24C41">
        <w:rPr>
          <w:rStyle w:val="Slutnotsreferens"/>
          <w:rFonts w:ascii="Times New Roman" w:hAnsi="Times New Roman" w:cs="Times New Roman"/>
        </w:rPr>
        <w:endnoteRef/>
      </w:r>
      <w:r w:rsidRPr="00C24C41">
        <w:rPr>
          <w:rFonts w:ascii="Times New Roman" w:hAnsi="Times New Roman" w:cs="Times New Roman"/>
          <w:lang w:val="en-US"/>
        </w:rPr>
        <w:t xml:space="preserve"> </w:t>
      </w:r>
      <w:r w:rsidRPr="00C24C41">
        <w:rPr>
          <w:rFonts w:ascii="Times New Roman" w:hAnsi="Times New Roman" w:cs="Times New Roman"/>
          <w:b/>
          <w:bCs/>
          <w:lang w:val="en-US"/>
        </w:rPr>
        <w:t>All</w:t>
      </w:r>
      <w:r w:rsidRPr="00C24C41">
        <w:rPr>
          <w:rFonts w:ascii="Times New Roman" w:hAnsi="Times New Roman" w:cs="Times New Roman"/>
          <w:lang w:val="en-US"/>
        </w:rPr>
        <w:t xml:space="preserve"> </w:t>
      </w:r>
      <w:r w:rsidRPr="00C24C41">
        <w:rPr>
          <w:rFonts w:ascii="Times New Roman" w:hAnsi="Times New Roman" w:cs="Times New Roman"/>
          <w:b/>
          <w:bCs/>
          <w:lang w:val="en-US"/>
        </w:rPr>
        <w:t>analyses were corrected for age and sex</w:t>
      </w:r>
      <w:r w:rsidRPr="00C24C41">
        <w:rPr>
          <w:rFonts w:ascii="Times New Roman" w:hAnsi="Times New Roman" w:cs="Times New Roman"/>
          <w:lang w:val="en-US"/>
        </w:rPr>
        <w:t xml:space="preserve">. All outcomes were </w:t>
      </w:r>
      <w:r w:rsidR="00FD5D16">
        <w:rPr>
          <w:rFonts w:ascii="Times New Roman" w:hAnsi="Times New Roman" w:cs="Times New Roman"/>
          <w:lang w:val="en-US"/>
        </w:rPr>
        <w:t xml:space="preserve">analyzed </w:t>
      </w:r>
      <w:r w:rsidRPr="00C24C41">
        <w:rPr>
          <w:rFonts w:ascii="Times New Roman" w:hAnsi="Times New Roman" w:cs="Times New Roman"/>
          <w:lang w:val="en-US"/>
        </w:rPr>
        <w:t>in separate multivariable regression models</w:t>
      </w:r>
      <w:r w:rsidRPr="00C24C41">
        <w:rPr>
          <w:rFonts w:ascii="Times New Roman" w:hAnsi="Times New Roman" w:cs="Times New Roman"/>
          <w:lang w:val="en-GB"/>
        </w:rPr>
        <w:t xml:space="preserve"> resulting in odds or hazard ratio for each </w:t>
      </w:r>
      <w:r w:rsidR="00071C24" w:rsidRPr="00071C24">
        <w:rPr>
          <w:rFonts w:ascii="Times New Roman" w:hAnsi="Times New Roman" w:cs="Times New Roman"/>
          <w:lang w:val="en-GB"/>
        </w:rPr>
        <w:t>ABO blood group</w:t>
      </w:r>
      <w:r w:rsidRPr="00C24C41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Pr="00C24C41">
        <w:rPr>
          <w:rFonts w:ascii="Times New Roman" w:hAnsi="Times New Roman" w:cs="Times New Roman"/>
          <w:lang w:val="en-GB"/>
        </w:rPr>
        <w:t>RhD</w:t>
      </w:r>
      <w:proofErr w:type="spellEnd"/>
      <w:r w:rsidRPr="00C24C41">
        <w:rPr>
          <w:rFonts w:ascii="Times New Roman" w:hAnsi="Times New Roman" w:cs="Times New Roman"/>
          <w:lang w:val="en-GB"/>
        </w:rPr>
        <w:t xml:space="preserve"> status using </w:t>
      </w:r>
      <w:r w:rsidR="00071C24" w:rsidRPr="00071C24">
        <w:rPr>
          <w:rFonts w:ascii="Times New Roman" w:hAnsi="Times New Roman" w:cs="Times New Roman"/>
          <w:lang w:val="en-GB"/>
        </w:rPr>
        <w:t>ABO blood group</w:t>
      </w:r>
      <w:r w:rsidRPr="00C24C41">
        <w:rPr>
          <w:rFonts w:ascii="Times New Roman" w:hAnsi="Times New Roman" w:cs="Times New Roman"/>
          <w:lang w:val="en-GB"/>
        </w:rPr>
        <w:t xml:space="preserve"> O and </w:t>
      </w:r>
      <w:proofErr w:type="spellStart"/>
      <w:r w:rsidRPr="00C24C41">
        <w:rPr>
          <w:rFonts w:ascii="Times New Roman" w:hAnsi="Times New Roman" w:cs="Times New Roman"/>
          <w:lang w:val="en-GB"/>
        </w:rPr>
        <w:t>RhD</w:t>
      </w:r>
      <w:proofErr w:type="spellEnd"/>
      <w:r w:rsidRPr="00C24C41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negative</w:t>
      </w:r>
      <w:r w:rsidRPr="00C24C41">
        <w:rPr>
          <w:rFonts w:ascii="Times New Roman" w:hAnsi="Times New Roman" w:cs="Times New Roman"/>
          <w:lang w:val="en-GB"/>
        </w:rPr>
        <w:t xml:space="preserve"> as references</w:t>
      </w:r>
    </w:p>
  </w:endnote>
  <w:endnote w:id="7">
    <w:p w14:paraId="264D656B" w14:textId="77777777" w:rsidR="00831F23" w:rsidRPr="0038181C" w:rsidRDefault="00831F23" w:rsidP="00C24C41">
      <w:pPr>
        <w:pStyle w:val="Slutnotstext"/>
        <w:rPr>
          <w:rFonts w:ascii="Times New Roman" w:hAnsi="Times New Roman" w:cs="Times New Roman"/>
          <w:lang w:val="en-US"/>
        </w:rPr>
      </w:pPr>
      <w:r>
        <w:rPr>
          <w:rStyle w:val="Slutnotsreferens"/>
        </w:rPr>
        <w:endnoteRef/>
      </w:r>
      <w:r w:rsidRPr="00451DD8">
        <w:rPr>
          <w:lang w:val="en-US"/>
        </w:rPr>
        <w:t xml:space="preserve"> </w:t>
      </w:r>
      <w:r w:rsidRPr="0038181C">
        <w:rPr>
          <w:rFonts w:ascii="Times New Roman" w:hAnsi="Times New Roman" w:cs="Times New Roman"/>
          <w:lang w:val="en-US"/>
        </w:rPr>
        <w:t>Cox regression</w:t>
      </w:r>
    </w:p>
  </w:endnote>
  <w:endnote w:id="8">
    <w:p w14:paraId="5E6D128D" w14:textId="77777777" w:rsidR="00831F23" w:rsidRPr="00C24C41" w:rsidRDefault="00831F23" w:rsidP="00BE6FBC">
      <w:pPr>
        <w:pStyle w:val="Slutnotstext"/>
        <w:rPr>
          <w:rFonts w:ascii="Times New Roman" w:hAnsi="Times New Roman" w:cs="Times New Roman"/>
          <w:lang w:val="en-US"/>
        </w:rPr>
      </w:pPr>
      <w:r w:rsidRPr="00C24C41">
        <w:rPr>
          <w:rStyle w:val="Slutnotsreferens"/>
          <w:rFonts w:ascii="Times New Roman" w:hAnsi="Times New Roman" w:cs="Times New Roman"/>
        </w:rPr>
        <w:endnoteRef/>
      </w:r>
      <w:r w:rsidRPr="00C24C41">
        <w:rPr>
          <w:rFonts w:ascii="Times New Roman" w:hAnsi="Times New Roman" w:cs="Times New Roman"/>
          <w:lang w:val="en-US"/>
        </w:rPr>
        <w:t xml:space="preserve"> Days alive and free of invasive ventilation</w:t>
      </w:r>
    </w:p>
  </w:endnote>
  <w:endnote w:id="9">
    <w:p w14:paraId="196D9F37" w14:textId="77777777" w:rsidR="00831F23" w:rsidRPr="00C24C41" w:rsidRDefault="00831F23" w:rsidP="00BE6FBC">
      <w:pPr>
        <w:pStyle w:val="Slutnotstext"/>
        <w:rPr>
          <w:rFonts w:ascii="Times New Roman" w:hAnsi="Times New Roman" w:cs="Times New Roman"/>
          <w:lang w:val="en-US"/>
        </w:rPr>
      </w:pPr>
      <w:r w:rsidRPr="00C24C41">
        <w:rPr>
          <w:rStyle w:val="Slutnotsreferens"/>
          <w:rFonts w:ascii="Times New Roman" w:hAnsi="Times New Roman" w:cs="Times New Roman"/>
        </w:rPr>
        <w:endnoteRef/>
      </w:r>
      <w:r w:rsidRPr="00C24C41">
        <w:rPr>
          <w:rFonts w:ascii="Times New Roman" w:hAnsi="Times New Roman" w:cs="Times New Roman"/>
          <w:lang w:val="en-US"/>
        </w:rPr>
        <w:t xml:space="preserve"> Days alive and free of circulatory support</w:t>
      </w:r>
    </w:p>
  </w:endnote>
  <w:endnote w:id="10">
    <w:p w14:paraId="1D81BB5A" w14:textId="00C253B9" w:rsidR="00831F23" w:rsidRPr="00C24C41" w:rsidRDefault="00831F23" w:rsidP="00BE6FBC">
      <w:pPr>
        <w:pStyle w:val="Slutnotstext"/>
        <w:rPr>
          <w:rFonts w:ascii="Times New Roman" w:hAnsi="Times New Roman" w:cs="Times New Roman"/>
          <w:lang w:val="en-US"/>
        </w:rPr>
      </w:pPr>
      <w:r w:rsidRPr="00C24C41">
        <w:rPr>
          <w:rStyle w:val="Slutnotsreferens"/>
          <w:rFonts w:ascii="Times New Roman" w:hAnsi="Times New Roman" w:cs="Times New Roman"/>
        </w:rPr>
        <w:endnoteRef/>
      </w:r>
      <w:r w:rsidRPr="00C24C41">
        <w:rPr>
          <w:rFonts w:ascii="Times New Roman" w:hAnsi="Times New Roman" w:cs="Times New Roman"/>
          <w:lang w:val="en-US"/>
        </w:rPr>
        <w:t xml:space="preserve"> Maximum Sequential Organ Failure Assessment score during the length of stay</w:t>
      </w:r>
    </w:p>
    <w:p w14:paraId="14FD3248" w14:textId="77777777" w:rsidR="00831F23" w:rsidRPr="00C24C41" w:rsidRDefault="00831F23" w:rsidP="00BE6FBC">
      <w:pPr>
        <w:pStyle w:val="Slutnotstext"/>
        <w:rPr>
          <w:rFonts w:ascii="Times New Roman" w:hAnsi="Times New Roman" w:cs="Times New Roman"/>
          <w:lang w:val="en-US"/>
        </w:rPr>
      </w:pPr>
      <w:r w:rsidRPr="00C24C41">
        <w:rPr>
          <w:rFonts w:ascii="Times New Roman" w:hAnsi="Times New Roman" w:cs="Times New Roman"/>
          <w:lang w:val="en-US"/>
        </w:rPr>
        <w:t>* P &lt; 0.05</w:t>
      </w:r>
    </w:p>
  </w:endnote>
  <w:endnote w:id="11">
    <w:p w14:paraId="199724AA" w14:textId="43D6CCFB" w:rsidR="0032261A" w:rsidRPr="0038181C" w:rsidRDefault="0032261A" w:rsidP="00BE6FBC">
      <w:pPr>
        <w:pStyle w:val="Slutnotstext"/>
        <w:rPr>
          <w:rFonts w:ascii="Times New Roman" w:hAnsi="Times New Roman" w:cs="Times New Roman"/>
          <w:lang w:val="en-US"/>
        </w:rPr>
      </w:pPr>
      <w:r w:rsidRPr="00C24C41">
        <w:rPr>
          <w:rStyle w:val="Slutnotsreferens"/>
          <w:rFonts w:ascii="Times New Roman" w:hAnsi="Times New Roman" w:cs="Times New Roman"/>
        </w:rPr>
        <w:endnoteRef/>
      </w:r>
      <w:r w:rsidRPr="00C24C41">
        <w:rPr>
          <w:rFonts w:ascii="Times New Roman" w:hAnsi="Times New Roman" w:cs="Times New Roman"/>
          <w:lang w:val="en-US"/>
        </w:rPr>
        <w:t xml:space="preserve"> </w:t>
      </w:r>
      <w:r w:rsidRPr="00C24C41">
        <w:rPr>
          <w:rFonts w:ascii="Times New Roman" w:hAnsi="Times New Roman" w:cs="Times New Roman"/>
          <w:b/>
          <w:bCs/>
          <w:lang w:val="en-US"/>
        </w:rPr>
        <w:t>All</w:t>
      </w:r>
      <w:r w:rsidRPr="00C24C41">
        <w:rPr>
          <w:rFonts w:ascii="Times New Roman" w:hAnsi="Times New Roman" w:cs="Times New Roman"/>
          <w:lang w:val="en-US"/>
        </w:rPr>
        <w:t xml:space="preserve"> </w:t>
      </w:r>
      <w:r w:rsidRPr="00C24C41">
        <w:rPr>
          <w:rFonts w:ascii="Times New Roman" w:hAnsi="Times New Roman" w:cs="Times New Roman"/>
          <w:b/>
          <w:bCs/>
          <w:lang w:val="en-US"/>
        </w:rPr>
        <w:t>analyses were corrected for age and sex</w:t>
      </w:r>
      <w:r w:rsidRPr="00C24C41">
        <w:rPr>
          <w:rFonts w:ascii="Times New Roman" w:hAnsi="Times New Roman" w:cs="Times New Roman"/>
          <w:lang w:val="en-US"/>
        </w:rPr>
        <w:t xml:space="preserve">. All outcomes were </w:t>
      </w:r>
      <w:r w:rsidR="00FD5D16">
        <w:rPr>
          <w:rFonts w:ascii="Times New Roman" w:hAnsi="Times New Roman" w:cs="Times New Roman"/>
          <w:lang w:val="en-US"/>
        </w:rPr>
        <w:t xml:space="preserve">analyzed </w:t>
      </w:r>
      <w:r w:rsidRPr="00C24C41">
        <w:rPr>
          <w:rFonts w:ascii="Times New Roman" w:hAnsi="Times New Roman" w:cs="Times New Roman"/>
          <w:lang w:val="en-US"/>
        </w:rPr>
        <w:t>in separate multivariable regression models</w:t>
      </w:r>
      <w:r w:rsidRPr="00C24C41">
        <w:rPr>
          <w:rFonts w:ascii="Times New Roman" w:hAnsi="Times New Roman" w:cs="Times New Roman"/>
          <w:lang w:val="en-GB"/>
        </w:rPr>
        <w:t xml:space="preserve"> resulting in odds or hazard ratio for each </w:t>
      </w:r>
      <w:r w:rsidR="00071C24" w:rsidRPr="00071C24">
        <w:rPr>
          <w:rFonts w:ascii="Times New Roman" w:hAnsi="Times New Roman" w:cs="Times New Roman"/>
          <w:lang w:val="en-GB"/>
        </w:rPr>
        <w:t>ABO blood group</w:t>
      </w:r>
      <w:r w:rsidRPr="00C24C41">
        <w:rPr>
          <w:rFonts w:ascii="Times New Roman" w:hAnsi="Times New Roman" w:cs="Times New Roman"/>
          <w:lang w:val="en-GB"/>
        </w:rPr>
        <w:t xml:space="preserve"> </w:t>
      </w:r>
      <w:r w:rsidRPr="0038181C">
        <w:rPr>
          <w:rFonts w:ascii="Times New Roman" w:hAnsi="Times New Roman" w:cs="Times New Roman"/>
          <w:lang w:val="en-GB"/>
        </w:rPr>
        <w:t xml:space="preserve">and </w:t>
      </w:r>
      <w:proofErr w:type="spellStart"/>
      <w:r w:rsidRPr="0038181C">
        <w:rPr>
          <w:rFonts w:ascii="Times New Roman" w:hAnsi="Times New Roman" w:cs="Times New Roman"/>
          <w:lang w:val="en-GB"/>
        </w:rPr>
        <w:t>RhD</w:t>
      </w:r>
      <w:proofErr w:type="spellEnd"/>
      <w:r w:rsidRPr="0038181C">
        <w:rPr>
          <w:rFonts w:ascii="Times New Roman" w:hAnsi="Times New Roman" w:cs="Times New Roman"/>
          <w:lang w:val="en-GB"/>
        </w:rPr>
        <w:t xml:space="preserve"> status using </w:t>
      </w:r>
      <w:r w:rsidR="00071C24" w:rsidRPr="00071C24">
        <w:rPr>
          <w:rFonts w:ascii="Times New Roman" w:hAnsi="Times New Roman" w:cs="Times New Roman"/>
          <w:lang w:val="en-GB"/>
        </w:rPr>
        <w:t>ABO blood group</w:t>
      </w:r>
      <w:r w:rsidRPr="0038181C">
        <w:rPr>
          <w:rFonts w:ascii="Times New Roman" w:hAnsi="Times New Roman" w:cs="Times New Roman"/>
          <w:lang w:val="en-GB"/>
        </w:rPr>
        <w:t xml:space="preserve"> O and </w:t>
      </w:r>
      <w:proofErr w:type="spellStart"/>
      <w:r w:rsidRPr="0038181C">
        <w:rPr>
          <w:rFonts w:ascii="Times New Roman" w:hAnsi="Times New Roman" w:cs="Times New Roman"/>
          <w:lang w:val="en-GB"/>
        </w:rPr>
        <w:t>RhD</w:t>
      </w:r>
      <w:proofErr w:type="spellEnd"/>
      <w:r w:rsidRPr="0038181C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negative</w:t>
      </w:r>
      <w:r w:rsidRPr="0038181C">
        <w:rPr>
          <w:rFonts w:ascii="Times New Roman" w:hAnsi="Times New Roman" w:cs="Times New Roman"/>
          <w:lang w:val="en-GB"/>
        </w:rPr>
        <w:t xml:space="preserve"> as references</w:t>
      </w:r>
    </w:p>
  </w:endnote>
  <w:endnote w:id="12">
    <w:p w14:paraId="37343D9D" w14:textId="77777777" w:rsidR="0032261A" w:rsidRPr="0038181C" w:rsidRDefault="0032261A" w:rsidP="00C24C41">
      <w:pPr>
        <w:pStyle w:val="Slutnotstext"/>
        <w:rPr>
          <w:rFonts w:ascii="Times New Roman" w:hAnsi="Times New Roman" w:cs="Times New Roman"/>
          <w:lang w:val="en-US"/>
        </w:rPr>
      </w:pPr>
      <w:r w:rsidRPr="0038181C">
        <w:rPr>
          <w:rStyle w:val="Slutnotsreferens"/>
          <w:rFonts w:ascii="Times New Roman" w:hAnsi="Times New Roman" w:cs="Times New Roman"/>
        </w:rPr>
        <w:endnoteRef/>
      </w:r>
      <w:r w:rsidRPr="0038181C">
        <w:rPr>
          <w:rFonts w:ascii="Times New Roman" w:hAnsi="Times New Roman" w:cs="Times New Roman"/>
          <w:lang w:val="en-US"/>
        </w:rPr>
        <w:t xml:space="preserve"> Cox regression</w:t>
      </w:r>
    </w:p>
  </w:endnote>
  <w:endnote w:id="13">
    <w:p w14:paraId="6877B067" w14:textId="77777777" w:rsidR="0032261A" w:rsidRPr="0038181C" w:rsidRDefault="0032261A" w:rsidP="00BE6FBC">
      <w:pPr>
        <w:pStyle w:val="Slutnotstext"/>
        <w:rPr>
          <w:rFonts w:ascii="Times New Roman" w:hAnsi="Times New Roman" w:cs="Times New Roman"/>
          <w:lang w:val="en-US"/>
        </w:rPr>
      </w:pPr>
      <w:r w:rsidRPr="0038181C">
        <w:rPr>
          <w:rStyle w:val="Slutnotsreferens"/>
          <w:rFonts w:ascii="Times New Roman" w:hAnsi="Times New Roman" w:cs="Times New Roman"/>
        </w:rPr>
        <w:endnoteRef/>
      </w:r>
      <w:r w:rsidRPr="0038181C">
        <w:rPr>
          <w:rFonts w:ascii="Times New Roman" w:hAnsi="Times New Roman" w:cs="Times New Roman"/>
          <w:lang w:val="en-US"/>
        </w:rPr>
        <w:t xml:space="preserve"> Days alive and free of invasive ventilation</w:t>
      </w:r>
    </w:p>
  </w:endnote>
  <w:endnote w:id="14">
    <w:p w14:paraId="52B74F23" w14:textId="77777777" w:rsidR="0032261A" w:rsidRPr="0038181C" w:rsidRDefault="0032261A" w:rsidP="00BE6FBC">
      <w:pPr>
        <w:pStyle w:val="Slutnotstext"/>
        <w:rPr>
          <w:rFonts w:ascii="Times New Roman" w:hAnsi="Times New Roman" w:cs="Times New Roman"/>
          <w:lang w:val="en-US"/>
        </w:rPr>
      </w:pPr>
      <w:r w:rsidRPr="0038181C">
        <w:rPr>
          <w:rStyle w:val="Slutnotsreferens"/>
          <w:rFonts w:ascii="Times New Roman" w:hAnsi="Times New Roman" w:cs="Times New Roman"/>
        </w:rPr>
        <w:endnoteRef/>
      </w:r>
      <w:r w:rsidRPr="0038181C">
        <w:rPr>
          <w:rFonts w:ascii="Times New Roman" w:hAnsi="Times New Roman" w:cs="Times New Roman"/>
          <w:lang w:val="en-US"/>
        </w:rPr>
        <w:t xml:space="preserve"> Days alive and free of circulatory support</w:t>
      </w:r>
    </w:p>
  </w:endnote>
  <w:endnote w:id="15">
    <w:p w14:paraId="5D63C4E2" w14:textId="07668C9C" w:rsidR="0032261A" w:rsidRPr="0038181C" w:rsidRDefault="0032261A" w:rsidP="00BE6FBC">
      <w:pPr>
        <w:pStyle w:val="Slutnotstext"/>
        <w:rPr>
          <w:rFonts w:ascii="Times New Roman" w:hAnsi="Times New Roman" w:cs="Times New Roman"/>
          <w:lang w:val="en-US"/>
        </w:rPr>
      </w:pPr>
      <w:r w:rsidRPr="0038181C">
        <w:rPr>
          <w:rStyle w:val="Slutnotsreferens"/>
          <w:rFonts w:ascii="Times New Roman" w:hAnsi="Times New Roman" w:cs="Times New Roman"/>
        </w:rPr>
        <w:endnoteRef/>
      </w:r>
      <w:r w:rsidRPr="0038181C">
        <w:rPr>
          <w:rFonts w:ascii="Times New Roman" w:hAnsi="Times New Roman" w:cs="Times New Roman"/>
          <w:lang w:val="en-US"/>
        </w:rPr>
        <w:t xml:space="preserve"> Maximum Sequential Organ Failure Assessment score during the length of stay</w:t>
      </w:r>
    </w:p>
    <w:p w14:paraId="578503C4" w14:textId="77777777" w:rsidR="0032261A" w:rsidRPr="0038181C" w:rsidRDefault="0032261A" w:rsidP="00BE6FBC">
      <w:pPr>
        <w:pStyle w:val="Slutnotstext"/>
        <w:rPr>
          <w:rFonts w:ascii="Times New Roman" w:hAnsi="Times New Roman" w:cs="Times New Roman"/>
          <w:lang w:val="en-US"/>
        </w:rPr>
      </w:pPr>
      <w:r w:rsidRPr="0038181C">
        <w:rPr>
          <w:rFonts w:ascii="Times New Roman" w:hAnsi="Times New Roman" w:cs="Times New Roman"/>
          <w:lang w:val="en-US"/>
        </w:rPr>
        <w:t>* P &lt; 0.05</w:t>
      </w:r>
    </w:p>
  </w:endnote>
  <w:endnote w:id="16">
    <w:p w14:paraId="11B6E04D" w14:textId="577A7D88" w:rsidR="005975B6" w:rsidRPr="00C24C41" w:rsidRDefault="005975B6" w:rsidP="00BE6FBC">
      <w:pPr>
        <w:pStyle w:val="Slutnotstext"/>
        <w:rPr>
          <w:rFonts w:ascii="Times New Roman" w:hAnsi="Times New Roman" w:cs="Times New Roman"/>
          <w:lang w:val="en-US"/>
        </w:rPr>
      </w:pPr>
      <w:r w:rsidRPr="00C24C41">
        <w:rPr>
          <w:rStyle w:val="Slutnotsreferens"/>
          <w:rFonts w:ascii="Times New Roman" w:hAnsi="Times New Roman" w:cs="Times New Roman"/>
        </w:rPr>
        <w:endnoteRef/>
      </w:r>
      <w:r w:rsidRPr="00C24C41">
        <w:rPr>
          <w:rFonts w:ascii="Times New Roman" w:hAnsi="Times New Roman" w:cs="Times New Roman"/>
          <w:lang w:val="en-US"/>
        </w:rPr>
        <w:t xml:space="preserve"> </w:t>
      </w:r>
      <w:r w:rsidRPr="00C24C41">
        <w:rPr>
          <w:rFonts w:ascii="Times New Roman" w:hAnsi="Times New Roman" w:cs="Times New Roman"/>
          <w:b/>
          <w:bCs/>
          <w:lang w:val="en-US"/>
        </w:rPr>
        <w:t>All</w:t>
      </w:r>
      <w:r w:rsidRPr="00C24C41">
        <w:rPr>
          <w:rFonts w:ascii="Times New Roman" w:hAnsi="Times New Roman" w:cs="Times New Roman"/>
          <w:lang w:val="en-US"/>
        </w:rPr>
        <w:t xml:space="preserve"> </w:t>
      </w:r>
      <w:r w:rsidRPr="00C24C41">
        <w:rPr>
          <w:rFonts w:ascii="Times New Roman" w:hAnsi="Times New Roman" w:cs="Times New Roman"/>
          <w:b/>
          <w:bCs/>
          <w:lang w:val="en-US"/>
        </w:rPr>
        <w:t>analyses were corrected for age and sex</w:t>
      </w:r>
      <w:r w:rsidRPr="00C24C41">
        <w:rPr>
          <w:rFonts w:ascii="Times New Roman" w:hAnsi="Times New Roman" w:cs="Times New Roman"/>
          <w:lang w:val="en-US"/>
        </w:rPr>
        <w:t xml:space="preserve">. All outcomes were </w:t>
      </w:r>
      <w:r w:rsidR="00FD5D16">
        <w:rPr>
          <w:rFonts w:ascii="Times New Roman" w:hAnsi="Times New Roman" w:cs="Times New Roman"/>
          <w:lang w:val="en-US"/>
        </w:rPr>
        <w:t xml:space="preserve">analyzed </w:t>
      </w:r>
      <w:r w:rsidRPr="00C24C41">
        <w:rPr>
          <w:rFonts w:ascii="Times New Roman" w:hAnsi="Times New Roman" w:cs="Times New Roman"/>
          <w:lang w:val="en-US"/>
        </w:rPr>
        <w:t>in separate multivariable regression models</w:t>
      </w:r>
      <w:r w:rsidRPr="00C24C41">
        <w:rPr>
          <w:rFonts w:ascii="Times New Roman" w:hAnsi="Times New Roman" w:cs="Times New Roman"/>
          <w:lang w:val="en-GB"/>
        </w:rPr>
        <w:t xml:space="preserve"> resulting in odds or hazard ratio for each </w:t>
      </w:r>
      <w:r w:rsidR="00071C24" w:rsidRPr="00071C24">
        <w:rPr>
          <w:rFonts w:ascii="Times New Roman" w:hAnsi="Times New Roman" w:cs="Times New Roman"/>
          <w:lang w:val="en-GB"/>
        </w:rPr>
        <w:t>ABO blood group</w:t>
      </w:r>
      <w:r w:rsidRPr="00C24C41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Pr="00C24C41">
        <w:rPr>
          <w:rFonts w:ascii="Times New Roman" w:hAnsi="Times New Roman" w:cs="Times New Roman"/>
          <w:lang w:val="en-GB"/>
        </w:rPr>
        <w:t>RhD</w:t>
      </w:r>
      <w:proofErr w:type="spellEnd"/>
      <w:r w:rsidRPr="00C24C41">
        <w:rPr>
          <w:rFonts w:ascii="Times New Roman" w:hAnsi="Times New Roman" w:cs="Times New Roman"/>
          <w:lang w:val="en-GB"/>
        </w:rPr>
        <w:t xml:space="preserve"> status using </w:t>
      </w:r>
      <w:r w:rsidR="00071C24" w:rsidRPr="00071C24">
        <w:rPr>
          <w:rFonts w:ascii="Times New Roman" w:hAnsi="Times New Roman" w:cs="Times New Roman"/>
          <w:lang w:val="en-GB"/>
        </w:rPr>
        <w:t>ABO blood group</w:t>
      </w:r>
      <w:r w:rsidRPr="00C24C41">
        <w:rPr>
          <w:rFonts w:ascii="Times New Roman" w:hAnsi="Times New Roman" w:cs="Times New Roman"/>
          <w:lang w:val="en-GB"/>
        </w:rPr>
        <w:t xml:space="preserve"> O and </w:t>
      </w:r>
      <w:proofErr w:type="spellStart"/>
      <w:r w:rsidRPr="00C24C41">
        <w:rPr>
          <w:rFonts w:ascii="Times New Roman" w:hAnsi="Times New Roman" w:cs="Times New Roman"/>
          <w:lang w:val="en-GB"/>
        </w:rPr>
        <w:t>RhD</w:t>
      </w:r>
      <w:proofErr w:type="spellEnd"/>
      <w:r w:rsidRPr="00C24C41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negative</w:t>
      </w:r>
      <w:r w:rsidRPr="00C24C41">
        <w:rPr>
          <w:rFonts w:ascii="Times New Roman" w:hAnsi="Times New Roman" w:cs="Times New Roman"/>
          <w:lang w:val="en-GB"/>
        </w:rPr>
        <w:t xml:space="preserve"> as references</w:t>
      </w:r>
    </w:p>
  </w:endnote>
  <w:endnote w:id="17">
    <w:p w14:paraId="20B47CFB" w14:textId="77777777" w:rsidR="005975B6" w:rsidRPr="0038181C" w:rsidRDefault="005975B6" w:rsidP="00C24C41">
      <w:pPr>
        <w:pStyle w:val="Slutnotstext"/>
        <w:rPr>
          <w:rFonts w:ascii="Times New Roman" w:hAnsi="Times New Roman" w:cs="Times New Roman"/>
          <w:lang w:val="en-US"/>
        </w:rPr>
      </w:pPr>
      <w:r>
        <w:rPr>
          <w:rStyle w:val="Slutnotsreferens"/>
        </w:rPr>
        <w:endnoteRef/>
      </w:r>
      <w:r w:rsidRPr="00451DD8">
        <w:rPr>
          <w:lang w:val="en-US"/>
        </w:rPr>
        <w:t xml:space="preserve"> </w:t>
      </w:r>
      <w:r w:rsidRPr="0038181C">
        <w:rPr>
          <w:rFonts w:ascii="Times New Roman" w:hAnsi="Times New Roman" w:cs="Times New Roman"/>
          <w:lang w:val="en-US"/>
        </w:rPr>
        <w:t>Cox regression</w:t>
      </w:r>
    </w:p>
  </w:endnote>
  <w:endnote w:id="18">
    <w:p w14:paraId="3771E0CC" w14:textId="77777777" w:rsidR="005975B6" w:rsidRPr="00C24C41" w:rsidRDefault="005975B6" w:rsidP="00BE6FBC">
      <w:pPr>
        <w:pStyle w:val="Slutnotstext"/>
        <w:rPr>
          <w:rFonts w:ascii="Times New Roman" w:hAnsi="Times New Roman" w:cs="Times New Roman"/>
          <w:lang w:val="en-US"/>
        </w:rPr>
      </w:pPr>
      <w:r w:rsidRPr="00C24C41">
        <w:rPr>
          <w:rStyle w:val="Slutnotsreferens"/>
          <w:rFonts w:ascii="Times New Roman" w:hAnsi="Times New Roman" w:cs="Times New Roman"/>
        </w:rPr>
        <w:endnoteRef/>
      </w:r>
      <w:r w:rsidRPr="00C24C41">
        <w:rPr>
          <w:rFonts w:ascii="Times New Roman" w:hAnsi="Times New Roman" w:cs="Times New Roman"/>
          <w:lang w:val="en-US"/>
        </w:rPr>
        <w:t xml:space="preserve"> Days alive and free of invasive ventilation</w:t>
      </w:r>
    </w:p>
  </w:endnote>
  <w:endnote w:id="19">
    <w:p w14:paraId="26C9BFC6" w14:textId="77777777" w:rsidR="005975B6" w:rsidRPr="00C24C41" w:rsidRDefault="005975B6" w:rsidP="00BE6FBC">
      <w:pPr>
        <w:pStyle w:val="Slutnotstext"/>
        <w:rPr>
          <w:rFonts w:ascii="Times New Roman" w:hAnsi="Times New Roman" w:cs="Times New Roman"/>
          <w:lang w:val="en-US"/>
        </w:rPr>
      </w:pPr>
      <w:r w:rsidRPr="00C24C41">
        <w:rPr>
          <w:rStyle w:val="Slutnotsreferens"/>
          <w:rFonts w:ascii="Times New Roman" w:hAnsi="Times New Roman" w:cs="Times New Roman"/>
        </w:rPr>
        <w:endnoteRef/>
      </w:r>
      <w:r w:rsidRPr="00C24C41">
        <w:rPr>
          <w:rFonts w:ascii="Times New Roman" w:hAnsi="Times New Roman" w:cs="Times New Roman"/>
          <w:lang w:val="en-US"/>
        </w:rPr>
        <w:t xml:space="preserve"> Days alive and free of circulatory support</w:t>
      </w:r>
    </w:p>
  </w:endnote>
  <w:endnote w:id="20">
    <w:p w14:paraId="2F744E5F" w14:textId="54C3A59C" w:rsidR="005975B6" w:rsidRPr="00035F00" w:rsidRDefault="005975B6" w:rsidP="00BE6FBC">
      <w:pPr>
        <w:pStyle w:val="Slutnotstext"/>
        <w:rPr>
          <w:rFonts w:ascii="Times New Roman" w:hAnsi="Times New Roman" w:cs="Times New Roman"/>
          <w:lang w:val="en-US"/>
        </w:rPr>
      </w:pPr>
      <w:r w:rsidRPr="00C24C41">
        <w:rPr>
          <w:rStyle w:val="Slutnotsreferens"/>
          <w:rFonts w:ascii="Times New Roman" w:hAnsi="Times New Roman" w:cs="Times New Roman"/>
        </w:rPr>
        <w:endnoteRef/>
      </w:r>
      <w:r w:rsidRPr="00C24C41">
        <w:rPr>
          <w:rFonts w:ascii="Times New Roman" w:hAnsi="Times New Roman" w:cs="Times New Roman"/>
          <w:lang w:val="en-US"/>
        </w:rPr>
        <w:t xml:space="preserve"> Maximum of Sequential Organ Failure Assessment score during the length of stay</w:t>
      </w:r>
    </w:p>
  </w:endnote>
  <w:endnote w:id="21">
    <w:p w14:paraId="371B7614" w14:textId="0D380A16" w:rsidR="00634133" w:rsidRPr="00C24C41" w:rsidRDefault="00634133" w:rsidP="00BE6FBC">
      <w:pPr>
        <w:pStyle w:val="Slutnotstext"/>
        <w:rPr>
          <w:rFonts w:ascii="Times New Roman" w:hAnsi="Times New Roman" w:cs="Times New Roman"/>
          <w:lang w:val="en-US"/>
        </w:rPr>
      </w:pPr>
      <w:r w:rsidRPr="00C24C41">
        <w:rPr>
          <w:rStyle w:val="Slutnotsreferens"/>
          <w:rFonts w:ascii="Times New Roman" w:hAnsi="Times New Roman" w:cs="Times New Roman"/>
        </w:rPr>
        <w:endnoteRef/>
      </w:r>
      <w:r w:rsidRPr="00C24C41">
        <w:rPr>
          <w:rFonts w:ascii="Times New Roman" w:hAnsi="Times New Roman" w:cs="Times New Roman"/>
          <w:lang w:val="en-US"/>
        </w:rPr>
        <w:t xml:space="preserve"> </w:t>
      </w:r>
      <w:r w:rsidRPr="00C24C41">
        <w:rPr>
          <w:rFonts w:ascii="Times New Roman" w:hAnsi="Times New Roman" w:cs="Times New Roman"/>
          <w:b/>
          <w:bCs/>
          <w:lang w:val="en-US"/>
        </w:rPr>
        <w:t>All</w:t>
      </w:r>
      <w:r w:rsidRPr="00C24C41">
        <w:rPr>
          <w:rFonts w:ascii="Times New Roman" w:hAnsi="Times New Roman" w:cs="Times New Roman"/>
          <w:lang w:val="en-US"/>
        </w:rPr>
        <w:t xml:space="preserve"> </w:t>
      </w:r>
      <w:r w:rsidRPr="00C24C41">
        <w:rPr>
          <w:rFonts w:ascii="Times New Roman" w:hAnsi="Times New Roman" w:cs="Times New Roman"/>
          <w:b/>
          <w:bCs/>
          <w:lang w:val="en-US"/>
        </w:rPr>
        <w:t>analyses were corrected for age and sex</w:t>
      </w:r>
      <w:r w:rsidRPr="00C24C41">
        <w:rPr>
          <w:rFonts w:ascii="Times New Roman" w:hAnsi="Times New Roman" w:cs="Times New Roman"/>
          <w:lang w:val="en-US"/>
        </w:rPr>
        <w:t xml:space="preserve">. All outcomes were </w:t>
      </w:r>
      <w:r w:rsidR="00FD5D16">
        <w:rPr>
          <w:rFonts w:ascii="Times New Roman" w:hAnsi="Times New Roman" w:cs="Times New Roman"/>
          <w:lang w:val="en-US"/>
        </w:rPr>
        <w:t xml:space="preserve">analyzed </w:t>
      </w:r>
      <w:r w:rsidRPr="00C24C41">
        <w:rPr>
          <w:rFonts w:ascii="Times New Roman" w:hAnsi="Times New Roman" w:cs="Times New Roman"/>
          <w:lang w:val="en-US"/>
        </w:rPr>
        <w:t>in separate multivariable regression models</w:t>
      </w:r>
      <w:r w:rsidRPr="00C24C41">
        <w:rPr>
          <w:rFonts w:ascii="Times New Roman" w:hAnsi="Times New Roman" w:cs="Times New Roman"/>
          <w:lang w:val="en-GB"/>
        </w:rPr>
        <w:t xml:space="preserve"> resulting in odds or hazard ratio for each </w:t>
      </w:r>
      <w:r w:rsidR="00071C24" w:rsidRPr="00071C24">
        <w:rPr>
          <w:rFonts w:ascii="Times New Roman" w:hAnsi="Times New Roman" w:cs="Times New Roman"/>
          <w:lang w:val="en-GB"/>
        </w:rPr>
        <w:t>ABO blood group</w:t>
      </w:r>
      <w:r w:rsidRPr="00C24C41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Pr="00C24C41">
        <w:rPr>
          <w:rFonts w:ascii="Times New Roman" w:hAnsi="Times New Roman" w:cs="Times New Roman"/>
          <w:lang w:val="en-GB"/>
        </w:rPr>
        <w:t>RhD</w:t>
      </w:r>
      <w:proofErr w:type="spellEnd"/>
      <w:r w:rsidRPr="00C24C41">
        <w:rPr>
          <w:rFonts w:ascii="Times New Roman" w:hAnsi="Times New Roman" w:cs="Times New Roman"/>
          <w:lang w:val="en-GB"/>
        </w:rPr>
        <w:t xml:space="preserve"> status using </w:t>
      </w:r>
      <w:r w:rsidR="00071C24" w:rsidRPr="00071C24">
        <w:rPr>
          <w:rFonts w:ascii="Times New Roman" w:hAnsi="Times New Roman" w:cs="Times New Roman"/>
          <w:lang w:val="en-GB"/>
        </w:rPr>
        <w:t>ABO blood group</w:t>
      </w:r>
      <w:r w:rsidRPr="00C24C41">
        <w:rPr>
          <w:rFonts w:ascii="Times New Roman" w:hAnsi="Times New Roman" w:cs="Times New Roman"/>
          <w:lang w:val="en-GB"/>
        </w:rPr>
        <w:t xml:space="preserve"> O and </w:t>
      </w:r>
      <w:proofErr w:type="spellStart"/>
      <w:r w:rsidRPr="00C24C41">
        <w:rPr>
          <w:rFonts w:ascii="Times New Roman" w:hAnsi="Times New Roman" w:cs="Times New Roman"/>
          <w:lang w:val="en-GB"/>
        </w:rPr>
        <w:t>RhD</w:t>
      </w:r>
      <w:proofErr w:type="spellEnd"/>
      <w:r w:rsidRPr="00C24C41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negative</w:t>
      </w:r>
      <w:r w:rsidRPr="00C24C41">
        <w:rPr>
          <w:rFonts w:ascii="Times New Roman" w:hAnsi="Times New Roman" w:cs="Times New Roman"/>
          <w:lang w:val="en-GB"/>
        </w:rPr>
        <w:t xml:space="preserve"> as references</w:t>
      </w:r>
    </w:p>
  </w:endnote>
  <w:endnote w:id="22">
    <w:p w14:paraId="1CBC00E0" w14:textId="77777777" w:rsidR="00634133" w:rsidRPr="0038181C" w:rsidRDefault="00634133" w:rsidP="00C24C41">
      <w:pPr>
        <w:pStyle w:val="Slutnotstext"/>
        <w:rPr>
          <w:rFonts w:ascii="Times New Roman" w:hAnsi="Times New Roman" w:cs="Times New Roman"/>
          <w:lang w:val="en-US"/>
        </w:rPr>
      </w:pPr>
      <w:r>
        <w:rPr>
          <w:rStyle w:val="Slutnotsreferens"/>
        </w:rPr>
        <w:endnoteRef/>
      </w:r>
      <w:r w:rsidRPr="00451DD8">
        <w:rPr>
          <w:lang w:val="en-US"/>
        </w:rPr>
        <w:t xml:space="preserve"> </w:t>
      </w:r>
      <w:r w:rsidRPr="0038181C">
        <w:rPr>
          <w:rFonts w:ascii="Times New Roman" w:hAnsi="Times New Roman" w:cs="Times New Roman"/>
          <w:lang w:val="en-US"/>
        </w:rPr>
        <w:t>Cox regression</w:t>
      </w:r>
    </w:p>
  </w:endnote>
  <w:endnote w:id="23">
    <w:p w14:paraId="3618A556" w14:textId="77777777" w:rsidR="00634133" w:rsidRPr="00C24C41" w:rsidRDefault="00634133" w:rsidP="00BE6FBC">
      <w:pPr>
        <w:pStyle w:val="Slutnotstext"/>
        <w:rPr>
          <w:rFonts w:ascii="Times New Roman" w:hAnsi="Times New Roman" w:cs="Times New Roman"/>
          <w:lang w:val="en-US"/>
        </w:rPr>
      </w:pPr>
      <w:r w:rsidRPr="00C24C41">
        <w:rPr>
          <w:rStyle w:val="Slutnotsreferens"/>
          <w:rFonts w:ascii="Times New Roman" w:hAnsi="Times New Roman" w:cs="Times New Roman"/>
        </w:rPr>
        <w:endnoteRef/>
      </w:r>
      <w:r w:rsidRPr="00C24C41">
        <w:rPr>
          <w:rFonts w:ascii="Times New Roman" w:hAnsi="Times New Roman" w:cs="Times New Roman"/>
          <w:lang w:val="en-US"/>
        </w:rPr>
        <w:t xml:space="preserve"> Days alive and free of invasive ventilation</w:t>
      </w:r>
    </w:p>
  </w:endnote>
  <w:endnote w:id="24">
    <w:p w14:paraId="6A8BA23E" w14:textId="77777777" w:rsidR="00634133" w:rsidRPr="00C24C41" w:rsidRDefault="00634133" w:rsidP="00BE6FBC">
      <w:pPr>
        <w:pStyle w:val="Slutnotstext"/>
        <w:rPr>
          <w:rFonts w:ascii="Times New Roman" w:hAnsi="Times New Roman" w:cs="Times New Roman"/>
          <w:lang w:val="en-US"/>
        </w:rPr>
      </w:pPr>
      <w:r w:rsidRPr="00C24C41">
        <w:rPr>
          <w:rStyle w:val="Slutnotsreferens"/>
          <w:rFonts w:ascii="Times New Roman" w:hAnsi="Times New Roman" w:cs="Times New Roman"/>
        </w:rPr>
        <w:endnoteRef/>
      </w:r>
      <w:r w:rsidRPr="00C24C41">
        <w:rPr>
          <w:rFonts w:ascii="Times New Roman" w:hAnsi="Times New Roman" w:cs="Times New Roman"/>
          <w:lang w:val="en-US"/>
        </w:rPr>
        <w:t xml:space="preserve"> Days alive and free of circulatory support</w:t>
      </w:r>
    </w:p>
  </w:endnote>
  <w:endnote w:id="25">
    <w:p w14:paraId="583B61A3" w14:textId="2B1E9FE7" w:rsidR="00634133" w:rsidRPr="00FC6F39" w:rsidRDefault="00634133" w:rsidP="00BE6FBC">
      <w:pPr>
        <w:pStyle w:val="Slutnotstext"/>
        <w:rPr>
          <w:rFonts w:ascii="Times New Roman" w:hAnsi="Times New Roman" w:cs="Times New Roman"/>
          <w:lang w:val="en-US"/>
        </w:rPr>
      </w:pPr>
      <w:r w:rsidRPr="00C24C41">
        <w:rPr>
          <w:rStyle w:val="Slutnotsreferens"/>
          <w:rFonts w:ascii="Times New Roman" w:hAnsi="Times New Roman" w:cs="Times New Roman"/>
        </w:rPr>
        <w:endnoteRef/>
      </w:r>
      <w:r w:rsidRPr="00C24C41">
        <w:rPr>
          <w:rFonts w:ascii="Times New Roman" w:hAnsi="Times New Roman" w:cs="Times New Roman"/>
          <w:lang w:val="en-US"/>
        </w:rPr>
        <w:t xml:space="preserve"> Maximum of Sequential Organ Failure Assessment score during the length of stay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D3C6" w14:textId="77777777" w:rsidR="004F49D8" w:rsidRDefault="004F49D8" w:rsidP="00BE6FBC">
      <w:r>
        <w:separator/>
      </w:r>
    </w:p>
  </w:footnote>
  <w:footnote w:type="continuationSeparator" w:id="0">
    <w:p w14:paraId="21117EC0" w14:textId="77777777" w:rsidR="004F49D8" w:rsidRDefault="004F49D8" w:rsidP="00BE6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BC"/>
    <w:rsid w:val="00004AE7"/>
    <w:rsid w:val="00012677"/>
    <w:rsid w:val="00034115"/>
    <w:rsid w:val="00035F00"/>
    <w:rsid w:val="00055F9C"/>
    <w:rsid w:val="00056228"/>
    <w:rsid w:val="00070858"/>
    <w:rsid w:val="00070D91"/>
    <w:rsid w:val="00071C24"/>
    <w:rsid w:val="0009372C"/>
    <w:rsid w:val="00095E09"/>
    <w:rsid w:val="000B188D"/>
    <w:rsid w:val="000C04DE"/>
    <w:rsid w:val="000C07D7"/>
    <w:rsid w:val="000E1F7F"/>
    <w:rsid w:val="000E3C60"/>
    <w:rsid w:val="000E4635"/>
    <w:rsid w:val="000F1AEE"/>
    <w:rsid w:val="000F387B"/>
    <w:rsid w:val="00102931"/>
    <w:rsid w:val="00105817"/>
    <w:rsid w:val="001060B4"/>
    <w:rsid w:val="00115AEC"/>
    <w:rsid w:val="001249C7"/>
    <w:rsid w:val="001428B2"/>
    <w:rsid w:val="00145BDD"/>
    <w:rsid w:val="00146A79"/>
    <w:rsid w:val="00161263"/>
    <w:rsid w:val="00180126"/>
    <w:rsid w:val="001A2B53"/>
    <w:rsid w:val="001C201A"/>
    <w:rsid w:val="001C47D4"/>
    <w:rsid w:val="001E5996"/>
    <w:rsid w:val="001E6EC0"/>
    <w:rsid w:val="001E7F6B"/>
    <w:rsid w:val="001F3B5A"/>
    <w:rsid w:val="001F56A1"/>
    <w:rsid w:val="00206EB3"/>
    <w:rsid w:val="00211A75"/>
    <w:rsid w:val="002157AE"/>
    <w:rsid w:val="00224B0D"/>
    <w:rsid w:val="00236C51"/>
    <w:rsid w:val="00274491"/>
    <w:rsid w:val="00281A43"/>
    <w:rsid w:val="002965C2"/>
    <w:rsid w:val="00296A3E"/>
    <w:rsid w:val="002B53FB"/>
    <w:rsid w:val="002C0D90"/>
    <w:rsid w:val="002C0E08"/>
    <w:rsid w:val="002C2A1C"/>
    <w:rsid w:val="002D6EA2"/>
    <w:rsid w:val="002E194E"/>
    <w:rsid w:val="002E2634"/>
    <w:rsid w:val="002E6F6D"/>
    <w:rsid w:val="002F0B60"/>
    <w:rsid w:val="00310218"/>
    <w:rsid w:val="00320C12"/>
    <w:rsid w:val="0032261A"/>
    <w:rsid w:val="003256C7"/>
    <w:rsid w:val="00331389"/>
    <w:rsid w:val="00334C66"/>
    <w:rsid w:val="003364B0"/>
    <w:rsid w:val="00346C85"/>
    <w:rsid w:val="003708E8"/>
    <w:rsid w:val="00372454"/>
    <w:rsid w:val="0038181C"/>
    <w:rsid w:val="00383185"/>
    <w:rsid w:val="0038786C"/>
    <w:rsid w:val="00387DE3"/>
    <w:rsid w:val="003B2948"/>
    <w:rsid w:val="003C706F"/>
    <w:rsid w:val="003C7866"/>
    <w:rsid w:val="003D4010"/>
    <w:rsid w:val="003E5258"/>
    <w:rsid w:val="00441AF5"/>
    <w:rsid w:val="00473CB9"/>
    <w:rsid w:val="00496AF8"/>
    <w:rsid w:val="004A1483"/>
    <w:rsid w:val="004A3BD3"/>
    <w:rsid w:val="004D0CA7"/>
    <w:rsid w:val="004D23F2"/>
    <w:rsid w:val="004D23F5"/>
    <w:rsid w:val="004F49D8"/>
    <w:rsid w:val="004F7232"/>
    <w:rsid w:val="00504FEF"/>
    <w:rsid w:val="00513688"/>
    <w:rsid w:val="00522BCA"/>
    <w:rsid w:val="0053061B"/>
    <w:rsid w:val="005360E4"/>
    <w:rsid w:val="005461EE"/>
    <w:rsid w:val="00551B86"/>
    <w:rsid w:val="00564EA0"/>
    <w:rsid w:val="00571339"/>
    <w:rsid w:val="00580FE3"/>
    <w:rsid w:val="00597595"/>
    <w:rsid w:val="005975B6"/>
    <w:rsid w:val="005A32C1"/>
    <w:rsid w:val="005A5104"/>
    <w:rsid w:val="005A5672"/>
    <w:rsid w:val="005B55D2"/>
    <w:rsid w:val="005E012D"/>
    <w:rsid w:val="005E2D5B"/>
    <w:rsid w:val="005E59DF"/>
    <w:rsid w:val="005F0871"/>
    <w:rsid w:val="005F0D96"/>
    <w:rsid w:val="005F7537"/>
    <w:rsid w:val="00601393"/>
    <w:rsid w:val="00602004"/>
    <w:rsid w:val="00612513"/>
    <w:rsid w:val="006305B0"/>
    <w:rsid w:val="006323D2"/>
    <w:rsid w:val="00634133"/>
    <w:rsid w:val="00643F46"/>
    <w:rsid w:val="00645FF9"/>
    <w:rsid w:val="00646C89"/>
    <w:rsid w:val="0065182E"/>
    <w:rsid w:val="00656ACD"/>
    <w:rsid w:val="00662508"/>
    <w:rsid w:val="00663C94"/>
    <w:rsid w:val="00663F57"/>
    <w:rsid w:val="006650E7"/>
    <w:rsid w:val="0067600E"/>
    <w:rsid w:val="00695C47"/>
    <w:rsid w:val="0069643F"/>
    <w:rsid w:val="006A4B44"/>
    <w:rsid w:val="006A6961"/>
    <w:rsid w:val="006D4A93"/>
    <w:rsid w:val="006E62E7"/>
    <w:rsid w:val="00711B82"/>
    <w:rsid w:val="00723AD4"/>
    <w:rsid w:val="00724FC7"/>
    <w:rsid w:val="0073596C"/>
    <w:rsid w:val="007360ED"/>
    <w:rsid w:val="00737725"/>
    <w:rsid w:val="00744111"/>
    <w:rsid w:val="007452EF"/>
    <w:rsid w:val="00755330"/>
    <w:rsid w:val="007618F8"/>
    <w:rsid w:val="00772BB6"/>
    <w:rsid w:val="007772CE"/>
    <w:rsid w:val="00781320"/>
    <w:rsid w:val="00787A7F"/>
    <w:rsid w:val="00796E96"/>
    <w:rsid w:val="007A02BF"/>
    <w:rsid w:val="007B0DCA"/>
    <w:rsid w:val="007C0A99"/>
    <w:rsid w:val="007C70DC"/>
    <w:rsid w:val="007E55AB"/>
    <w:rsid w:val="007F4303"/>
    <w:rsid w:val="007F74DF"/>
    <w:rsid w:val="008000CB"/>
    <w:rsid w:val="008029C6"/>
    <w:rsid w:val="008122AE"/>
    <w:rsid w:val="00815827"/>
    <w:rsid w:val="00821BC5"/>
    <w:rsid w:val="008242AE"/>
    <w:rsid w:val="00830E5A"/>
    <w:rsid w:val="00831F23"/>
    <w:rsid w:val="00832040"/>
    <w:rsid w:val="008462C1"/>
    <w:rsid w:val="00856619"/>
    <w:rsid w:val="0086179E"/>
    <w:rsid w:val="00873791"/>
    <w:rsid w:val="00873C54"/>
    <w:rsid w:val="008766B7"/>
    <w:rsid w:val="008847EF"/>
    <w:rsid w:val="008A4D6C"/>
    <w:rsid w:val="008A5459"/>
    <w:rsid w:val="008E2768"/>
    <w:rsid w:val="00907C26"/>
    <w:rsid w:val="00916482"/>
    <w:rsid w:val="009209AF"/>
    <w:rsid w:val="00922BB6"/>
    <w:rsid w:val="0092661A"/>
    <w:rsid w:val="00944AF3"/>
    <w:rsid w:val="00967E5F"/>
    <w:rsid w:val="00970936"/>
    <w:rsid w:val="00975AC1"/>
    <w:rsid w:val="009853EC"/>
    <w:rsid w:val="0099323D"/>
    <w:rsid w:val="009B371A"/>
    <w:rsid w:val="009B4EFE"/>
    <w:rsid w:val="009C20B3"/>
    <w:rsid w:val="009E70E4"/>
    <w:rsid w:val="009F676B"/>
    <w:rsid w:val="009F75C0"/>
    <w:rsid w:val="00A17ED1"/>
    <w:rsid w:val="00A263E4"/>
    <w:rsid w:val="00A3191C"/>
    <w:rsid w:val="00A550EC"/>
    <w:rsid w:val="00A578D8"/>
    <w:rsid w:val="00A73E55"/>
    <w:rsid w:val="00A86D82"/>
    <w:rsid w:val="00A948D7"/>
    <w:rsid w:val="00AA0C6A"/>
    <w:rsid w:val="00AA3AB8"/>
    <w:rsid w:val="00AA4A8B"/>
    <w:rsid w:val="00AA5D40"/>
    <w:rsid w:val="00AB19A2"/>
    <w:rsid w:val="00AC50B6"/>
    <w:rsid w:val="00AF3E29"/>
    <w:rsid w:val="00B07F8C"/>
    <w:rsid w:val="00B21105"/>
    <w:rsid w:val="00B3403B"/>
    <w:rsid w:val="00B419EE"/>
    <w:rsid w:val="00B44004"/>
    <w:rsid w:val="00B46A97"/>
    <w:rsid w:val="00B647A0"/>
    <w:rsid w:val="00B948D9"/>
    <w:rsid w:val="00BA63DD"/>
    <w:rsid w:val="00BB6848"/>
    <w:rsid w:val="00BC3867"/>
    <w:rsid w:val="00BD4A65"/>
    <w:rsid w:val="00BE6FBC"/>
    <w:rsid w:val="00BF3C5F"/>
    <w:rsid w:val="00C225F9"/>
    <w:rsid w:val="00C24C41"/>
    <w:rsid w:val="00C2618D"/>
    <w:rsid w:val="00C32478"/>
    <w:rsid w:val="00C40183"/>
    <w:rsid w:val="00C46802"/>
    <w:rsid w:val="00C622E1"/>
    <w:rsid w:val="00C83F51"/>
    <w:rsid w:val="00C87FFD"/>
    <w:rsid w:val="00C943E3"/>
    <w:rsid w:val="00CA0BF9"/>
    <w:rsid w:val="00CB0524"/>
    <w:rsid w:val="00CB0B30"/>
    <w:rsid w:val="00CB5AA5"/>
    <w:rsid w:val="00CB680A"/>
    <w:rsid w:val="00CB7162"/>
    <w:rsid w:val="00CF50FB"/>
    <w:rsid w:val="00D03C98"/>
    <w:rsid w:val="00D05E07"/>
    <w:rsid w:val="00D06DC4"/>
    <w:rsid w:val="00D1419E"/>
    <w:rsid w:val="00D15BEE"/>
    <w:rsid w:val="00D318B2"/>
    <w:rsid w:val="00D42886"/>
    <w:rsid w:val="00D42B8B"/>
    <w:rsid w:val="00D47518"/>
    <w:rsid w:val="00D547BD"/>
    <w:rsid w:val="00D57B14"/>
    <w:rsid w:val="00D65399"/>
    <w:rsid w:val="00D80CF2"/>
    <w:rsid w:val="00D8360D"/>
    <w:rsid w:val="00D857BD"/>
    <w:rsid w:val="00D877D7"/>
    <w:rsid w:val="00D9274A"/>
    <w:rsid w:val="00DD7E6B"/>
    <w:rsid w:val="00DE10E5"/>
    <w:rsid w:val="00E11EF4"/>
    <w:rsid w:val="00E206A9"/>
    <w:rsid w:val="00E73747"/>
    <w:rsid w:val="00E83287"/>
    <w:rsid w:val="00E91481"/>
    <w:rsid w:val="00E91734"/>
    <w:rsid w:val="00ED7FA2"/>
    <w:rsid w:val="00EE4F2C"/>
    <w:rsid w:val="00EE5464"/>
    <w:rsid w:val="00F102A7"/>
    <w:rsid w:val="00F33C61"/>
    <w:rsid w:val="00F44363"/>
    <w:rsid w:val="00F44772"/>
    <w:rsid w:val="00F53C69"/>
    <w:rsid w:val="00F62383"/>
    <w:rsid w:val="00F65F14"/>
    <w:rsid w:val="00F675F5"/>
    <w:rsid w:val="00F805C5"/>
    <w:rsid w:val="00F8573F"/>
    <w:rsid w:val="00F94D46"/>
    <w:rsid w:val="00FA498A"/>
    <w:rsid w:val="00FB0AC0"/>
    <w:rsid w:val="00FC6F39"/>
    <w:rsid w:val="00FD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C367BF"/>
  <w15:chartTrackingRefBased/>
  <w15:docId w15:val="{B597C4EE-0D66-3C40-B105-072C46EA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303030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E6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notstext">
    <w:name w:val="endnote text"/>
    <w:basedOn w:val="Normal"/>
    <w:link w:val="SlutnotstextChar"/>
    <w:uiPriority w:val="99"/>
    <w:unhideWhenUsed/>
    <w:rsid w:val="00BE6FBC"/>
    <w:pPr>
      <w:jc w:val="both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BE6FBC"/>
    <w:rPr>
      <w:rFonts w:asciiTheme="minorHAnsi" w:eastAsiaTheme="minorEastAsia" w:hAnsiTheme="minorHAnsi" w:cstheme="minorBidi"/>
      <w:color w:val="auto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BE6FBC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46A9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6A9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6A9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6A9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6A9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1263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12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574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Kander</dc:creator>
  <cp:keywords/>
  <dc:description/>
  <cp:lastModifiedBy>Thomas Kander</cp:lastModifiedBy>
  <cp:revision>3</cp:revision>
  <dcterms:created xsi:type="dcterms:W3CDTF">2021-11-09T07:45:00Z</dcterms:created>
  <dcterms:modified xsi:type="dcterms:W3CDTF">2021-11-09T07:47:00Z</dcterms:modified>
</cp:coreProperties>
</file>