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6655" w14:textId="77777777" w:rsidR="00B514F6" w:rsidRDefault="00B514F6" w:rsidP="00B514F6">
      <w:pPr>
        <w:jc w:val="center"/>
        <w:rPr>
          <w:b/>
          <w:bCs/>
          <w:sz w:val="28"/>
          <w:szCs w:val="28"/>
        </w:rPr>
      </w:pPr>
    </w:p>
    <w:p w14:paraId="76C0D492" w14:textId="77777777" w:rsidR="00B514F6" w:rsidRDefault="00B514F6" w:rsidP="00656AA8">
      <w:pPr>
        <w:rPr>
          <w:b/>
          <w:bCs/>
          <w:sz w:val="32"/>
          <w:szCs w:val="32"/>
        </w:rPr>
      </w:pPr>
    </w:p>
    <w:p w14:paraId="675D8C83" w14:textId="77777777" w:rsidR="00B514F6" w:rsidRDefault="00B514F6" w:rsidP="00B514F6">
      <w:pPr>
        <w:jc w:val="center"/>
        <w:rPr>
          <w:b/>
          <w:bCs/>
          <w:sz w:val="32"/>
          <w:szCs w:val="32"/>
        </w:rPr>
      </w:pPr>
    </w:p>
    <w:p w14:paraId="7B0D37C1" w14:textId="0AE460A6" w:rsidR="00B514F6" w:rsidRDefault="00B514F6" w:rsidP="00B514F6">
      <w:pPr>
        <w:jc w:val="center"/>
        <w:rPr>
          <w:b/>
          <w:bCs/>
          <w:sz w:val="32"/>
          <w:szCs w:val="32"/>
        </w:rPr>
      </w:pPr>
      <w:r>
        <w:rPr>
          <w:b/>
          <w:bCs/>
          <w:sz w:val="32"/>
          <w:szCs w:val="32"/>
        </w:rPr>
        <w:t>Discriminators of pseudoprogression and true progression in high-grade gliomas: A systematic review and meta-analysis</w:t>
      </w:r>
    </w:p>
    <w:p w14:paraId="7A5970F3" w14:textId="77777777" w:rsidR="00B514F6" w:rsidRDefault="00B514F6" w:rsidP="00656AA8">
      <w:pPr>
        <w:rPr>
          <w:b/>
          <w:bCs/>
          <w:sz w:val="28"/>
          <w:szCs w:val="28"/>
        </w:rPr>
      </w:pPr>
    </w:p>
    <w:p w14:paraId="3E4569B0" w14:textId="77777777" w:rsidR="00B514F6" w:rsidRDefault="00B514F6" w:rsidP="00B514F6">
      <w:pPr>
        <w:jc w:val="center"/>
        <w:rPr>
          <w:b/>
          <w:bCs/>
          <w:sz w:val="28"/>
          <w:szCs w:val="28"/>
        </w:rPr>
      </w:pPr>
    </w:p>
    <w:p w14:paraId="30C3A88B" w14:textId="549048CB" w:rsidR="00B514F6" w:rsidRDefault="00B514F6" w:rsidP="00B514F6">
      <w:pPr>
        <w:jc w:val="center"/>
        <w:rPr>
          <w:b/>
          <w:bCs/>
          <w:sz w:val="28"/>
          <w:szCs w:val="28"/>
        </w:rPr>
      </w:pPr>
      <w:r>
        <w:rPr>
          <w:b/>
          <w:bCs/>
          <w:sz w:val="28"/>
          <w:szCs w:val="28"/>
        </w:rPr>
        <w:t>Supplementary Material</w:t>
      </w:r>
    </w:p>
    <w:p w14:paraId="5D25B283" w14:textId="61CA3775" w:rsidR="00B514F6" w:rsidRDefault="00B514F6" w:rsidP="00B514F6">
      <w:pPr>
        <w:rPr>
          <w:b/>
          <w:bCs/>
          <w:sz w:val="26"/>
          <w:szCs w:val="26"/>
        </w:rPr>
      </w:pPr>
    </w:p>
    <w:p w14:paraId="3804EAEC" w14:textId="77777777" w:rsidR="00656AA8" w:rsidRDefault="00656AA8" w:rsidP="00656AA8">
      <w:pPr>
        <w:jc w:val="both"/>
      </w:pPr>
    </w:p>
    <w:p w14:paraId="0179DA9C" w14:textId="4BD4A684" w:rsidR="00656AA8" w:rsidRPr="00A47013" w:rsidRDefault="00656AA8" w:rsidP="00656AA8">
      <w:pPr>
        <w:jc w:val="both"/>
      </w:pPr>
      <w:r w:rsidRPr="00A47013">
        <w:t>Chris Taylor BSc</w:t>
      </w:r>
      <w:r w:rsidRPr="00A47013">
        <w:rPr>
          <w:vertAlign w:val="superscript"/>
        </w:rPr>
        <w:t>1*</w:t>
      </w:r>
      <w:r w:rsidRPr="00A47013">
        <w:t xml:space="preserve">, Justyna </w:t>
      </w:r>
      <w:r>
        <w:t xml:space="preserve">O. </w:t>
      </w:r>
      <w:proofErr w:type="spellStart"/>
      <w:r w:rsidRPr="00A47013">
        <w:t>Ekert</w:t>
      </w:r>
      <w:proofErr w:type="spellEnd"/>
      <w:r w:rsidRPr="00E16E65">
        <w:t xml:space="preserve"> MPhil</w:t>
      </w:r>
      <w:r w:rsidRPr="00A47013">
        <w:rPr>
          <w:vertAlign w:val="superscript"/>
        </w:rPr>
        <w:t>2</w:t>
      </w:r>
      <w:r w:rsidRPr="00A47013">
        <w:t xml:space="preserve">, </w:t>
      </w:r>
      <w:r w:rsidRPr="0078458B">
        <w:rPr>
          <w:bCs/>
          <w:color w:val="000000" w:themeColor="text1"/>
          <w:lang w:val="en-US"/>
        </w:rPr>
        <w:t xml:space="preserve">Viktoria </w:t>
      </w:r>
      <w:proofErr w:type="spellStart"/>
      <w:r w:rsidRPr="0078458B">
        <w:rPr>
          <w:bCs/>
          <w:color w:val="000000" w:themeColor="text1"/>
          <w:lang w:val="en-US"/>
        </w:rPr>
        <w:t>Sefcikova</w:t>
      </w:r>
      <w:proofErr w:type="spellEnd"/>
      <w:r w:rsidRPr="0078458B">
        <w:rPr>
          <w:bCs/>
          <w:color w:val="000000" w:themeColor="text1"/>
          <w:lang w:val="en-US"/>
        </w:rPr>
        <w:t xml:space="preserve"> MSc</w:t>
      </w:r>
      <w:r>
        <w:rPr>
          <w:bCs/>
          <w:color w:val="000000" w:themeColor="text1"/>
          <w:vertAlign w:val="superscript"/>
          <w:lang w:val="en-US"/>
        </w:rPr>
        <w:t>1</w:t>
      </w:r>
      <w:r>
        <w:rPr>
          <w:bCs/>
          <w:color w:val="000000" w:themeColor="text1"/>
          <w:lang w:val="en-US"/>
        </w:rPr>
        <w:t>,</w:t>
      </w:r>
      <w:r w:rsidRPr="00A47013">
        <w:t xml:space="preserve"> </w:t>
      </w:r>
      <w:r>
        <w:t xml:space="preserve">Naomi </w:t>
      </w:r>
      <w:proofErr w:type="spellStart"/>
      <w:r>
        <w:t>Fersht</w:t>
      </w:r>
      <w:proofErr w:type="spellEnd"/>
      <w:r>
        <w:t xml:space="preserve"> </w:t>
      </w:r>
      <w:r w:rsidRPr="005B200B">
        <w:t xml:space="preserve">MB </w:t>
      </w:r>
      <w:proofErr w:type="spellStart"/>
      <w:r w:rsidRPr="005B200B">
        <w:t>BChir</w:t>
      </w:r>
      <w:proofErr w:type="spellEnd"/>
      <w:r w:rsidRPr="005B200B">
        <w:t xml:space="preserve"> PhD MRCP FRCR</w:t>
      </w:r>
      <w:r>
        <w:rPr>
          <w:vertAlign w:val="superscript"/>
        </w:rPr>
        <w:t>3</w:t>
      </w:r>
      <w:r>
        <w:t xml:space="preserve">, </w:t>
      </w:r>
      <w:r w:rsidRPr="00A47013">
        <w:t>George Samandouras MD, FRCS</w:t>
      </w:r>
      <w:r w:rsidRPr="00A47013">
        <w:rPr>
          <w:vertAlign w:val="superscript"/>
        </w:rPr>
        <w:t>1,</w:t>
      </w:r>
      <w:r>
        <w:rPr>
          <w:vertAlign w:val="superscript"/>
        </w:rPr>
        <w:t xml:space="preserve">4 </w:t>
      </w:r>
    </w:p>
    <w:p w14:paraId="3AC45150" w14:textId="77777777" w:rsidR="00656AA8" w:rsidRPr="006D7080" w:rsidRDefault="00656AA8" w:rsidP="00656AA8">
      <w:pPr>
        <w:jc w:val="both"/>
      </w:pPr>
    </w:p>
    <w:p w14:paraId="18703E36" w14:textId="77777777" w:rsidR="00656AA8" w:rsidRPr="0078458B" w:rsidRDefault="00656AA8" w:rsidP="00656AA8">
      <w:pPr>
        <w:pStyle w:val="ListParagraph"/>
        <w:numPr>
          <w:ilvl w:val="0"/>
          <w:numId w:val="1"/>
        </w:numPr>
        <w:spacing w:line="360" w:lineRule="auto"/>
        <w:ind w:left="714" w:hanging="357"/>
        <w:jc w:val="both"/>
        <w:rPr>
          <w:rFonts w:ascii="Times New Roman" w:hAnsi="Times New Roman" w:cs="Times New Roman"/>
          <w:color w:val="000000" w:themeColor="text1"/>
        </w:rPr>
      </w:pPr>
      <w:r w:rsidRPr="0078458B">
        <w:rPr>
          <w:rFonts w:ascii="Times New Roman" w:hAnsi="Times New Roman" w:cs="Times New Roman"/>
          <w:sz w:val="24"/>
          <w:szCs w:val="24"/>
        </w:rPr>
        <w:t>UCL Queen Square Institute of Neurology</w:t>
      </w:r>
      <w:r w:rsidRPr="0078458B">
        <w:rPr>
          <w:rFonts w:ascii="Times New Roman" w:hAnsi="Times New Roman" w:cs="Times New Roman"/>
          <w:color w:val="000000" w:themeColor="text1"/>
        </w:rPr>
        <w:t>, University College London, Queen Square, London, United Kingdom</w:t>
      </w:r>
    </w:p>
    <w:p w14:paraId="250F5BE2" w14:textId="77777777" w:rsidR="00656AA8" w:rsidRDefault="00656AA8" w:rsidP="00656AA8">
      <w:pPr>
        <w:pStyle w:val="ListParagraph"/>
        <w:numPr>
          <w:ilvl w:val="0"/>
          <w:numId w:val="1"/>
        </w:numPr>
        <w:spacing w:after="0" w:line="360" w:lineRule="auto"/>
        <w:ind w:left="714" w:hanging="357"/>
        <w:jc w:val="both"/>
        <w:rPr>
          <w:rFonts w:ascii="Times New Roman" w:hAnsi="Times New Roman" w:cs="Times New Roman"/>
          <w:color w:val="000000" w:themeColor="text1"/>
        </w:rPr>
      </w:pPr>
      <w:proofErr w:type="spellStart"/>
      <w:r w:rsidRPr="006C0091">
        <w:rPr>
          <w:rFonts w:ascii="Times New Roman" w:hAnsi="Times New Roman" w:cs="Times New Roman"/>
          <w:color w:val="000000" w:themeColor="text1"/>
        </w:rPr>
        <w:t>Wellcome</w:t>
      </w:r>
      <w:proofErr w:type="spellEnd"/>
      <w:r w:rsidRPr="006C0091">
        <w:rPr>
          <w:rFonts w:ascii="Times New Roman" w:hAnsi="Times New Roman" w:cs="Times New Roman"/>
          <w:color w:val="000000" w:themeColor="text1"/>
        </w:rPr>
        <w:t xml:space="preserve"> Centre for Human Neuroimaging, University College London, 12 Queen Square, London, United Kingdom</w:t>
      </w:r>
    </w:p>
    <w:p w14:paraId="5944C4C4" w14:textId="77777777" w:rsidR="00656AA8" w:rsidRPr="006C0091" w:rsidRDefault="00656AA8" w:rsidP="00656AA8">
      <w:pPr>
        <w:pStyle w:val="ListParagraph"/>
        <w:numPr>
          <w:ilvl w:val="0"/>
          <w:numId w:val="1"/>
        </w:numPr>
        <w:spacing w:after="0" w:line="360" w:lineRule="auto"/>
        <w:ind w:left="714" w:hanging="357"/>
        <w:jc w:val="both"/>
        <w:rPr>
          <w:rFonts w:ascii="Times New Roman" w:hAnsi="Times New Roman" w:cs="Times New Roman"/>
          <w:color w:val="000000" w:themeColor="text1"/>
        </w:rPr>
      </w:pPr>
      <w:r w:rsidRPr="005C4B71">
        <w:rPr>
          <w:rFonts w:ascii="Times New Roman" w:hAnsi="Times New Roman" w:cs="Times New Roman"/>
          <w:color w:val="000000" w:themeColor="text1"/>
        </w:rPr>
        <w:t>Department of Oncology, University College London Hospitals NHS Foundation Trust, London, United Kingdom.</w:t>
      </w:r>
    </w:p>
    <w:p w14:paraId="3E3D80F9" w14:textId="77777777" w:rsidR="00656AA8" w:rsidRPr="0078458B" w:rsidRDefault="00656AA8" w:rsidP="00656AA8">
      <w:pPr>
        <w:pStyle w:val="ListParagraph"/>
        <w:numPr>
          <w:ilvl w:val="0"/>
          <w:numId w:val="1"/>
        </w:numPr>
        <w:spacing w:after="0" w:line="360" w:lineRule="auto"/>
        <w:ind w:left="714" w:hanging="357"/>
        <w:jc w:val="both"/>
        <w:rPr>
          <w:rFonts w:ascii="Times New Roman" w:hAnsi="Times New Roman" w:cs="Times New Roman"/>
          <w:color w:val="000000" w:themeColor="text1"/>
        </w:rPr>
      </w:pPr>
      <w:r w:rsidRPr="006C0091">
        <w:rPr>
          <w:rFonts w:ascii="Times New Roman" w:hAnsi="Times New Roman" w:cs="Times New Roman"/>
          <w:color w:val="000000" w:themeColor="text1"/>
        </w:rPr>
        <w:t>Victor Horsley Department of Neurosurgery, The National Hospital for Neurology and Neurosurgery, Queen Square, London, United Kingdom</w:t>
      </w:r>
    </w:p>
    <w:p w14:paraId="5889AE44" w14:textId="77777777" w:rsidR="00656AA8" w:rsidRDefault="00656AA8" w:rsidP="00656AA8">
      <w:pPr>
        <w:jc w:val="both"/>
      </w:pPr>
    </w:p>
    <w:p w14:paraId="34EF506E" w14:textId="77777777" w:rsidR="00656AA8" w:rsidRDefault="00656AA8" w:rsidP="00656AA8">
      <w:pPr>
        <w:jc w:val="both"/>
      </w:pPr>
      <w:r>
        <w:t xml:space="preserve">*Corresponding Author: </w:t>
      </w:r>
    </w:p>
    <w:p w14:paraId="5BED4AC0" w14:textId="77777777" w:rsidR="00656AA8" w:rsidRDefault="00656AA8" w:rsidP="00656AA8">
      <w:pPr>
        <w:ind w:firstLine="2552"/>
      </w:pPr>
      <w:r>
        <w:t>Chris Taylor</w:t>
      </w:r>
    </w:p>
    <w:p w14:paraId="395989D5" w14:textId="77777777" w:rsidR="00656AA8" w:rsidRDefault="00656AA8" w:rsidP="00656AA8">
      <w:pPr>
        <w:ind w:firstLine="2552"/>
      </w:pPr>
      <w:r>
        <w:t>UCL Queen Square Institute of Neurology</w:t>
      </w:r>
    </w:p>
    <w:p w14:paraId="3B09814D" w14:textId="77777777" w:rsidR="00656AA8" w:rsidRDefault="00656AA8" w:rsidP="00656AA8">
      <w:pPr>
        <w:ind w:firstLine="2552"/>
      </w:pPr>
      <w:r>
        <w:t>Gower St, Bloomsbury, London</w:t>
      </w:r>
    </w:p>
    <w:p w14:paraId="76B24767" w14:textId="77777777" w:rsidR="00656AA8" w:rsidRDefault="00656AA8" w:rsidP="00656AA8">
      <w:pPr>
        <w:ind w:firstLine="2552"/>
      </w:pPr>
      <w:r>
        <w:t>WC1E 6BT</w:t>
      </w:r>
    </w:p>
    <w:p w14:paraId="306A31DB" w14:textId="77777777" w:rsidR="00656AA8" w:rsidRDefault="00656AA8" w:rsidP="00656AA8">
      <w:pPr>
        <w:ind w:firstLine="2552"/>
      </w:pPr>
      <w:r>
        <w:t>skgtayl@ucl.ac.uk</w:t>
      </w:r>
    </w:p>
    <w:p w14:paraId="750766B6" w14:textId="77777777" w:rsidR="00656AA8" w:rsidRDefault="00656AA8" w:rsidP="00656AA8">
      <w:pPr>
        <w:ind w:firstLine="2552"/>
      </w:pPr>
      <w:r>
        <w:t>07523016269</w:t>
      </w:r>
    </w:p>
    <w:p w14:paraId="37FC5140" w14:textId="77777777" w:rsidR="00656AA8" w:rsidRDefault="00656AA8" w:rsidP="00656AA8">
      <w:pPr>
        <w:ind w:firstLine="2552"/>
      </w:pPr>
      <w:r w:rsidRPr="00937D50">
        <w:rPr>
          <w:color w:val="000000" w:themeColor="text1"/>
        </w:rPr>
        <w:t>0000-0002-3289-5860</w:t>
      </w:r>
    </w:p>
    <w:p w14:paraId="25BE6FED" w14:textId="15D8AA92" w:rsidR="00656AA8" w:rsidRDefault="00656AA8" w:rsidP="00B514F6">
      <w:pPr>
        <w:rPr>
          <w:b/>
          <w:bCs/>
          <w:sz w:val="26"/>
          <w:szCs w:val="26"/>
        </w:rPr>
      </w:pPr>
    </w:p>
    <w:p w14:paraId="341463DA" w14:textId="0D47809C" w:rsidR="00656AA8" w:rsidRDefault="00656AA8" w:rsidP="00B514F6">
      <w:pPr>
        <w:rPr>
          <w:b/>
          <w:bCs/>
          <w:sz w:val="26"/>
          <w:szCs w:val="26"/>
        </w:rPr>
      </w:pPr>
    </w:p>
    <w:p w14:paraId="24DD5D1E" w14:textId="5B4A0B8F" w:rsidR="00656AA8" w:rsidRDefault="00656AA8" w:rsidP="00B514F6">
      <w:pPr>
        <w:rPr>
          <w:b/>
          <w:bCs/>
          <w:sz w:val="26"/>
          <w:szCs w:val="26"/>
        </w:rPr>
      </w:pPr>
    </w:p>
    <w:p w14:paraId="42AA479D" w14:textId="77777777" w:rsidR="00656AA8" w:rsidRDefault="00656AA8" w:rsidP="00B514F6">
      <w:pPr>
        <w:rPr>
          <w:b/>
          <w:bCs/>
          <w:sz w:val="26"/>
          <w:szCs w:val="26"/>
        </w:rPr>
      </w:pPr>
    </w:p>
    <w:p w14:paraId="6213CC25" w14:textId="2C8B828E" w:rsidR="00656AA8" w:rsidRDefault="00656AA8" w:rsidP="00B514F6">
      <w:pPr>
        <w:rPr>
          <w:b/>
          <w:bCs/>
          <w:sz w:val="26"/>
          <w:szCs w:val="26"/>
        </w:rPr>
      </w:pPr>
    </w:p>
    <w:p w14:paraId="7F1C56A0" w14:textId="7D343E8B" w:rsidR="00656AA8" w:rsidRDefault="00656AA8" w:rsidP="00B514F6">
      <w:pPr>
        <w:rPr>
          <w:b/>
          <w:bCs/>
          <w:sz w:val="26"/>
          <w:szCs w:val="26"/>
        </w:rPr>
      </w:pPr>
    </w:p>
    <w:p w14:paraId="5850559A" w14:textId="1CF0DF92" w:rsidR="00656AA8" w:rsidRDefault="00656AA8" w:rsidP="00B514F6">
      <w:pPr>
        <w:rPr>
          <w:b/>
          <w:bCs/>
          <w:sz w:val="26"/>
          <w:szCs w:val="26"/>
        </w:rPr>
      </w:pPr>
    </w:p>
    <w:p w14:paraId="5FBDA9B9" w14:textId="77777777" w:rsidR="00656AA8" w:rsidRDefault="00656AA8" w:rsidP="00B514F6">
      <w:pPr>
        <w:rPr>
          <w:b/>
          <w:bCs/>
          <w:sz w:val="26"/>
          <w:szCs w:val="26"/>
        </w:rPr>
      </w:pPr>
    </w:p>
    <w:p w14:paraId="1DB45BF6" w14:textId="34F46580" w:rsidR="00656AA8" w:rsidRDefault="00B514F6">
      <w:pPr>
        <w:spacing w:after="160" w:line="259" w:lineRule="auto"/>
        <w:rPr>
          <w:b/>
          <w:bCs/>
          <w:sz w:val="26"/>
          <w:szCs w:val="26"/>
        </w:rPr>
      </w:pPr>
      <w:r>
        <w:rPr>
          <w:b/>
          <w:bCs/>
          <w:sz w:val="26"/>
          <w:szCs w:val="26"/>
        </w:rPr>
        <w:br w:type="page"/>
      </w:r>
    </w:p>
    <w:p w14:paraId="0A3E3983" w14:textId="3207F55D" w:rsidR="00B514F6" w:rsidRDefault="00B514F6" w:rsidP="00B514F6">
      <w:pPr>
        <w:rPr>
          <w:b/>
          <w:bCs/>
          <w:sz w:val="26"/>
          <w:szCs w:val="26"/>
        </w:rPr>
      </w:pPr>
      <w:r>
        <w:rPr>
          <w:b/>
          <w:bCs/>
          <w:sz w:val="26"/>
          <w:szCs w:val="26"/>
        </w:rPr>
        <w:lastRenderedPageBreak/>
        <w:t>Supplementary Material A</w:t>
      </w:r>
    </w:p>
    <w:p w14:paraId="117891C7" w14:textId="77777777" w:rsidR="00656AA8" w:rsidRDefault="00656AA8" w:rsidP="00B514F6">
      <w:pPr>
        <w:rPr>
          <w:sz w:val="26"/>
          <w:szCs w:val="26"/>
        </w:rPr>
      </w:pPr>
    </w:p>
    <w:p w14:paraId="10311BFA" w14:textId="1EE6A5EF" w:rsidR="00B514F6" w:rsidRDefault="00B514F6" w:rsidP="00B514F6">
      <w:pPr>
        <w:rPr>
          <w:sz w:val="26"/>
          <w:szCs w:val="26"/>
        </w:rPr>
      </w:pPr>
      <w:r>
        <w:rPr>
          <w:sz w:val="26"/>
          <w:szCs w:val="26"/>
        </w:rPr>
        <w:t>Search Strategy</w:t>
      </w:r>
    </w:p>
    <w:p w14:paraId="470B00F0" w14:textId="77777777" w:rsidR="00B514F6" w:rsidRDefault="00B514F6" w:rsidP="00B514F6">
      <w:pPr>
        <w:ind w:left="720"/>
        <w:jc w:val="both"/>
      </w:pPr>
      <w:r>
        <w:t>1.</w:t>
      </w:r>
      <w:r>
        <w:tab/>
        <w:t>exp oligodendroglioma/ or oligodendroglioma$.mp. or exp astrocytoma/ or astrocytoma$.mp. or exp glioblastoma/ or glioblastoma$.mp. or GBM.mp. or exp glioma/ or glioma$.mp. or brain tumour$.mp. or brain tumor$.mp. or LGG.mp. or HGG.mp. or exp low-grade-glioma/ or low-grade-glioma.mp. or exp high-grade-glioma/ or high-grade-glioma.mp.</w:t>
      </w:r>
    </w:p>
    <w:p w14:paraId="0C2FDD18" w14:textId="77777777" w:rsidR="00B514F6" w:rsidRDefault="00B514F6" w:rsidP="00B514F6">
      <w:pPr>
        <w:ind w:left="720"/>
        <w:jc w:val="both"/>
      </w:pPr>
      <w:r>
        <w:t>2.</w:t>
      </w:r>
      <w:r>
        <w:tab/>
        <w:t>pseudoprogression.mp. or pseudo-progression.mp. or treatment-related change$.mp. or treatment related change$.mp. or psPD.mp. or PsP.mp.</w:t>
      </w:r>
    </w:p>
    <w:p w14:paraId="23419665" w14:textId="77777777" w:rsidR="00B514F6" w:rsidRDefault="00B514F6" w:rsidP="00B514F6">
      <w:pPr>
        <w:ind w:left="720"/>
        <w:jc w:val="both"/>
      </w:pPr>
      <w:r>
        <w:t>3.</w:t>
      </w:r>
      <w:r>
        <w:tab/>
        <w:t>(progressive supranuclear palsy or primary spontaneous pneumothorax).</w:t>
      </w:r>
      <w:proofErr w:type="spellStart"/>
      <w:r>
        <w:t>mp</w:t>
      </w:r>
      <w:proofErr w:type="spellEnd"/>
      <w:r>
        <w:t>.</w:t>
      </w:r>
    </w:p>
    <w:p w14:paraId="26336EC5" w14:textId="77777777" w:rsidR="00B514F6" w:rsidRDefault="00B514F6" w:rsidP="00B514F6">
      <w:pPr>
        <w:ind w:left="720"/>
        <w:jc w:val="both"/>
      </w:pPr>
      <w:r>
        <w:t>4.</w:t>
      </w:r>
      <w:r>
        <w:tab/>
        <w:t>(1 and 2) not 3</w:t>
      </w:r>
    </w:p>
    <w:p w14:paraId="1E2D3962" w14:textId="77777777" w:rsidR="00B514F6" w:rsidRDefault="00B514F6" w:rsidP="00B514F6">
      <w:pPr>
        <w:jc w:val="both"/>
        <w:rPr>
          <w:sz w:val="20"/>
          <w:szCs w:val="20"/>
        </w:rPr>
      </w:pPr>
    </w:p>
    <w:p w14:paraId="47FF38D2" w14:textId="77777777" w:rsidR="00B514F6" w:rsidRDefault="00B514F6" w:rsidP="00B514F6">
      <w:pPr>
        <w:rPr>
          <w:sz w:val="20"/>
          <w:szCs w:val="20"/>
        </w:rPr>
      </w:pPr>
      <w:r>
        <w:rPr>
          <w:sz w:val="20"/>
          <w:szCs w:val="20"/>
        </w:rPr>
        <w:br w:type="page"/>
      </w:r>
    </w:p>
    <w:p w14:paraId="2533B06D" w14:textId="597D2B80" w:rsidR="00B514F6" w:rsidRDefault="00B514F6" w:rsidP="00B514F6">
      <w:pPr>
        <w:rPr>
          <w:b/>
          <w:bCs/>
          <w:sz w:val="26"/>
          <w:szCs w:val="26"/>
        </w:rPr>
      </w:pPr>
      <w:r>
        <w:rPr>
          <w:b/>
          <w:bCs/>
          <w:sz w:val="26"/>
          <w:szCs w:val="26"/>
        </w:rPr>
        <w:lastRenderedPageBreak/>
        <w:t>Supplementary Material B1</w:t>
      </w:r>
    </w:p>
    <w:p w14:paraId="31FAADC9" w14:textId="77777777" w:rsidR="00656AA8" w:rsidRDefault="00656AA8" w:rsidP="00B514F6">
      <w:pPr>
        <w:rPr>
          <w:b/>
          <w:bCs/>
          <w:sz w:val="26"/>
          <w:szCs w:val="26"/>
        </w:rPr>
      </w:pPr>
    </w:p>
    <w:p w14:paraId="4B03FACC" w14:textId="027D6D99" w:rsidR="00B514F6" w:rsidRDefault="00B514F6" w:rsidP="00B514F6">
      <w:pPr>
        <w:jc w:val="both"/>
      </w:pPr>
      <w:r>
        <w:rPr>
          <w:noProof/>
        </w:rPr>
        <w:drawing>
          <wp:anchor distT="0" distB="0" distL="114300" distR="114300" simplePos="0" relativeHeight="251657216" behindDoc="0" locked="0" layoutInCell="1" allowOverlap="1" wp14:anchorId="0D552FDC" wp14:editId="152EA2C8">
            <wp:simplePos x="0" y="0"/>
            <wp:positionH relativeFrom="margin">
              <wp:posOffset>815340</wp:posOffset>
            </wp:positionH>
            <wp:positionV relativeFrom="paragraph">
              <wp:posOffset>850900</wp:posOffset>
            </wp:positionV>
            <wp:extent cx="3816350" cy="7012305"/>
            <wp:effectExtent l="0" t="0" r="0" b="0"/>
            <wp:wrapTopAndBottom/>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hart&#10;&#10;Description automatically generated"/>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816350" cy="7012305"/>
                    </a:xfrm>
                    <a:prstGeom prst="rect">
                      <a:avLst/>
                    </a:prstGeom>
                    <a:noFill/>
                  </pic:spPr>
                </pic:pic>
              </a:graphicData>
            </a:graphic>
            <wp14:sizeRelH relativeFrom="margin">
              <wp14:pctWidth>0</wp14:pctWidth>
            </wp14:sizeRelH>
            <wp14:sizeRelV relativeFrom="margin">
              <wp14:pctHeight>0</wp14:pctHeight>
            </wp14:sizeRelV>
          </wp:anchor>
        </w:drawing>
      </w:r>
      <w:r>
        <w:t>Risk of bias and applicability table assessing the quality of included studies according to the Quality Assessment of Diagnostic Accuracy Studies-2 (QUADAS-2) tool.</w:t>
      </w:r>
      <w:r>
        <w:rPr>
          <w:vertAlign w:val="superscript"/>
        </w:rPr>
        <w:t xml:space="preserve"> </w:t>
      </w:r>
      <w:r>
        <w:t>Martinez et al., Kerkhof et al., Kong et al., Mangla 2010 et al., Song et al., and Thomas et al., were all found to include at least one patient that had received steroid treatment.</w:t>
      </w:r>
    </w:p>
    <w:p w14:paraId="72B93C99" w14:textId="77777777" w:rsidR="00B514F6" w:rsidRDefault="00B514F6" w:rsidP="00B514F6">
      <w:pPr>
        <w:jc w:val="both"/>
      </w:pPr>
    </w:p>
    <w:p w14:paraId="4756A747" w14:textId="77777777" w:rsidR="00B514F6" w:rsidRDefault="00B514F6" w:rsidP="00B514F6">
      <w:pPr>
        <w:rPr>
          <w:b/>
          <w:bCs/>
          <w:sz w:val="26"/>
          <w:szCs w:val="26"/>
        </w:rPr>
      </w:pPr>
    </w:p>
    <w:p w14:paraId="625C25A2" w14:textId="77777777" w:rsidR="00B514F6" w:rsidRDefault="00B514F6" w:rsidP="00B514F6"/>
    <w:p w14:paraId="041CA5B3" w14:textId="77777777" w:rsidR="00B514F6" w:rsidRDefault="00B514F6" w:rsidP="00B514F6"/>
    <w:p w14:paraId="5A0D8271" w14:textId="78E9BB27" w:rsidR="00B514F6" w:rsidRDefault="00B514F6" w:rsidP="00B514F6">
      <w:pPr>
        <w:rPr>
          <w:b/>
          <w:bCs/>
          <w:sz w:val="26"/>
          <w:szCs w:val="26"/>
        </w:rPr>
      </w:pPr>
      <w:r>
        <w:rPr>
          <w:b/>
          <w:bCs/>
          <w:sz w:val="26"/>
          <w:szCs w:val="26"/>
        </w:rPr>
        <w:t>Supplementary Material B2</w:t>
      </w:r>
    </w:p>
    <w:p w14:paraId="39BDBDC8" w14:textId="77777777" w:rsidR="00656AA8" w:rsidRDefault="00656AA8" w:rsidP="00B514F6">
      <w:pPr>
        <w:rPr>
          <w:b/>
          <w:bCs/>
          <w:sz w:val="26"/>
          <w:szCs w:val="26"/>
        </w:rPr>
      </w:pPr>
    </w:p>
    <w:p w14:paraId="53520EA7" w14:textId="77777777" w:rsidR="00B514F6" w:rsidRDefault="00B514F6" w:rsidP="00B514F6">
      <w:r>
        <w:t>Summary of risk of bias across all studies according to the risk of bias table in Figure 5 assessing the quality of included studies according to the Quality Assessment of Diagnostic Accuracy Studies-2 (QUADAS-2) tool</w:t>
      </w:r>
      <w:r>
        <w:rPr>
          <w:noProof/>
        </w:rPr>
        <w:t>.</w:t>
      </w:r>
    </w:p>
    <w:p w14:paraId="0E090233" w14:textId="7D2BD32F" w:rsidR="00B514F6" w:rsidRDefault="00B514F6" w:rsidP="00B514F6">
      <w:r>
        <w:rPr>
          <w:noProof/>
        </w:rPr>
        <w:drawing>
          <wp:anchor distT="0" distB="0" distL="114300" distR="114300" simplePos="0" relativeHeight="251658240" behindDoc="0" locked="0" layoutInCell="1" allowOverlap="1" wp14:anchorId="1819CC69" wp14:editId="3927951E">
            <wp:simplePos x="0" y="0"/>
            <wp:positionH relativeFrom="margin">
              <wp:posOffset>-176530</wp:posOffset>
            </wp:positionH>
            <wp:positionV relativeFrom="paragraph">
              <wp:posOffset>191770</wp:posOffset>
            </wp:positionV>
            <wp:extent cx="5731510" cy="1725930"/>
            <wp:effectExtent l="0" t="0" r="2540" b="7620"/>
            <wp:wrapTopAndBottom/>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bar chart&#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31510" cy="1725930"/>
                    </a:xfrm>
                    <a:prstGeom prst="rect">
                      <a:avLst/>
                    </a:prstGeom>
                    <a:noFill/>
                  </pic:spPr>
                </pic:pic>
              </a:graphicData>
            </a:graphic>
            <wp14:sizeRelH relativeFrom="margin">
              <wp14:pctWidth>0</wp14:pctWidth>
            </wp14:sizeRelH>
            <wp14:sizeRelV relativeFrom="margin">
              <wp14:pctHeight>0</wp14:pctHeight>
            </wp14:sizeRelV>
          </wp:anchor>
        </w:drawing>
      </w:r>
    </w:p>
    <w:p w14:paraId="0AA616BA" w14:textId="77777777" w:rsidR="00B514F6" w:rsidRDefault="00B514F6" w:rsidP="00B514F6"/>
    <w:p w14:paraId="4D514B83" w14:textId="77777777" w:rsidR="002E1BB3" w:rsidRDefault="002E1BB3"/>
    <w:sectPr w:rsidR="002E1B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3DC4" w14:textId="77777777" w:rsidR="008807B9" w:rsidRDefault="008807B9" w:rsidP="00656AA8">
      <w:r>
        <w:separator/>
      </w:r>
    </w:p>
  </w:endnote>
  <w:endnote w:type="continuationSeparator" w:id="0">
    <w:p w14:paraId="64525325" w14:textId="77777777" w:rsidR="008807B9" w:rsidRDefault="008807B9" w:rsidP="0065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2333" w14:textId="77777777" w:rsidR="008807B9" w:rsidRDefault="008807B9" w:rsidP="00656AA8">
      <w:r>
        <w:separator/>
      </w:r>
    </w:p>
  </w:footnote>
  <w:footnote w:type="continuationSeparator" w:id="0">
    <w:p w14:paraId="77F4BF02" w14:textId="77777777" w:rsidR="008807B9" w:rsidRDefault="008807B9" w:rsidP="0065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DA77" w14:textId="77777777" w:rsidR="00656AA8" w:rsidRPr="00656AA8" w:rsidRDefault="00656AA8" w:rsidP="00656AA8">
    <w:r w:rsidRPr="00656AA8">
      <w:t>Journal of Neuro-Oncology</w:t>
    </w:r>
  </w:p>
  <w:p w14:paraId="5F41D40E" w14:textId="77777777" w:rsidR="00656AA8" w:rsidRPr="00656AA8" w:rsidRDefault="00656AA8" w:rsidP="0065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823AC"/>
    <w:multiLevelType w:val="hybridMultilevel"/>
    <w:tmpl w:val="4B52E05A"/>
    <w:lvl w:ilvl="0" w:tplc="449A3916">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F6"/>
    <w:rsid w:val="00223D1F"/>
    <w:rsid w:val="002E1BB3"/>
    <w:rsid w:val="00656AA8"/>
    <w:rsid w:val="008807B9"/>
    <w:rsid w:val="00B5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889C"/>
  <w15:chartTrackingRefBased/>
  <w15:docId w15:val="{2B8AC2F8-1FFE-4C54-A05F-F3AB0E9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A8"/>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656AA8"/>
    <w:pPr>
      <w:tabs>
        <w:tab w:val="center" w:pos="4513"/>
        <w:tab w:val="right" w:pos="9026"/>
      </w:tabs>
    </w:pPr>
  </w:style>
  <w:style w:type="character" w:customStyle="1" w:styleId="HeaderChar">
    <w:name w:val="Header Char"/>
    <w:basedOn w:val="DefaultParagraphFont"/>
    <w:link w:val="Header"/>
    <w:uiPriority w:val="99"/>
    <w:rsid w:val="00656A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6AA8"/>
    <w:pPr>
      <w:tabs>
        <w:tab w:val="center" w:pos="4513"/>
        <w:tab w:val="right" w:pos="9026"/>
      </w:tabs>
    </w:pPr>
  </w:style>
  <w:style w:type="character" w:customStyle="1" w:styleId="FooterChar">
    <w:name w:val="Footer Char"/>
    <w:basedOn w:val="DefaultParagraphFont"/>
    <w:link w:val="Footer"/>
    <w:uiPriority w:val="99"/>
    <w:rsid w:val="00656A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125">
      <w:bodyDiv w:val="1"/>
      <w:marLeft w:val="0"/>
      <w:marRight w:val="0"/>
      <w:marTop w:val="0"/>
      <w:marBottom w:val="0"/>
      <w:divBdr>
        <w:top w:val="none" w:sz="0" w:space="0" w:color="auto"/>
        <w:left w:val="none" w:sz="0" w:space="0" w:color="auto"/>
        <w:bottom w:val="none" w:sz="0" w:space="0" w:color="auto"/>
        <w:right w:val="none" w:sz="0" w:space="0" w:color="auto"/>
      </w:divBdr>
    </w:div>
    <w:div w:id="18348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Chris</dc:creator>
  <cp:keywords/>
  <dc:description/>
  <cp:lastModifiedBy>Taylor, Chris</cp:lastModifiedBy>
  <cp:revision>2</cp:revision>
  <dcterms:created xsi:type="dcterms:W3CDTF">2021-09-24T12:29:00Z</dcterms:created>
  <dcterms:modified xsi:type="dcterms:W3CDTF">2021-09-24T12:29:00Z</dcterms:modified>
</cp:coreProperties>
</file>