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Arial" w:hAnsi="DejaVu Sans" w:eastAsia="DejaVu Sans" w:cs="DejaVu Sans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 T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7: </w:t>
      </w:r>
      <w:r>
        <w:rPr>
          <w:rFonts w:ascii="Times New Roman" w:hAnsi="Times New Roman" w:cs="Times New Roman"/>
          <w:sz w:val="24"/>
          <w:szCs w:val="24"/>
        </w:rPr>
        <w:t>Univariate and multivariate survival results (Progression Free Interva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of prognostic covariates in </w:t>
      </w:r>
      <w:r>
        <w:rPr>
          <w:rFonts w:ascii="Times New Roman" w:hAnsi="Times New Roman" w:cs="Times New Roman"/>
          <w:sz w:val="24"/>
          <w:szCs w:val="24"/>
        </w:rPr>
        <w:t>PAAD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patients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1"/>
        <w:gridCol w:w="2151"/>
        <w:gridCol w:w="1011"/>
        <w:gridCol w:w="461"/>
        <w:gridCol w:w="2151"/>
        <w:gridCol w:w="1011"/>
      </w:tblGrid>
      <w:tr>
        <w:trPr>
          <w:cantSplit/>
          <w:trHeight w:val="0" w:hRule="atLeast"/>
          <w:tblHeader/>
          <w:jc w:val="center"/>
        </w:trPr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Total(N)</w:t>
            </w:r>
          </w:p>
        </w:tc>
        <w:tc>
          <w:tcPr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Univariate analysis</w:t>
            </w:r>
          </w:p>
        </w:tc>
        <w:tc>
          <w:tcPr>
            <w:vMerge w:val="restart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6" w:space="0"/>
              <w:bottom w:val="single" w:color="666666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Multivariate analysis</w:t>
            </w:r>
          </w:p>
        </w:tc>
      </w:tr>
      <w:tr>
        <w:trPr>
          <w:cantSplit/>
          <w:trHeight w:val="0" w:hRule="atLeast"/>
          <w:tblHeader/>
          <w:jc w:val="center"/>
        </w:trPr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Hazard ratio (95% CI)</w:t>
            </w: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P value</w:t>
            </w:r>
          </w:p>
        </w:tc>
        <w:tc>
          <w:tcPr>
            <w:vMerge w:val="continue"/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Hazard ratio (95% CI)</w:t>
            </w:r>
          </w:p>
        </w:tc>
        <w:tc>
          <w:tcPr>
            <w:tcBorders>
              <w:top w:val="single" w:color="666666" w:sz="8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P value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T stage (T3&amp;T4 vs. T1&amp;T2)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176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2.414 (1.309-4.452)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0.005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1.303 (0.512-3.318)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0.579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N stage (N1 vs. N0)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1.735 (1.113-2.705)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0.015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1.601 (0.882-2.908)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0.122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M stage (M1 vs. M0)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84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0.837 (0.300-2.336)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0.734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Pathologic stage (Stage II&amp;Stage III&amp;Stage IV vs. Stage I)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175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2.966 (1.355-6.494)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0.007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0.677 (0.181-2.531)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0.562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Radiation therapy (Yes vs. No)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163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0.744 (0.474-1.168)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0.199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Primary therapy outcome (CR&amp;PR vs. PD&amp;SD)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139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0.336 (0.216-0.524)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0.424 (0.258-0.696)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Gender (Male vs. Female)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178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0.968 (0.658-1.423)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0.867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Race (White vs. Asian&amp;Black or African American)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1.021 (0.530-1.967)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0.949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Age (&gt;65 vs. &lt;=65)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178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1.256 (0.848-1.861)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0.256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Residual tumor (R1&amp;R2 vs. R0)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164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2.253 (1.494-3.398)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1.606 (0.989-2.609)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0.056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Histologic grade (G3&amp;G4 vs. G1&amp;G2)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176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1.684 (1.114-2.546)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0.013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1.518 (0.923-2.494)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0.100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Anatomic neoplasm subdivision (Other vs. Head of Pancreas)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178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0.495 (0.299-0.820)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0.006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0.507 (0.270-0.953)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0.035</w:t>
            </w:r>
          </w:p>
        </w:tc>
      </w:tr>
      <w:tr>
        <w:trPr>
          <w:cantSplit/>
          <w:trHeight w:val="0" w:hRule="atLeast"/>
          <w:jc w:val="center"/>
        </w:trPr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ARMC10 (High vs. Low)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178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2.246 (1.506-3.349)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color w:val="000000"/>
                <w:sz w:val="18"/>
                <w:szCs w:val="18"/>
              </w:rPr>
              <w:t>2.063 (1.227-3.468)</w:t>
            </w:r>
          </w:p>
        </w:tc>
        <w:tc>
          <w:tcPr>
            <w:tcBorders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100" w:right="100" w:firstLine="0"/>
              <w:jc w:val="center"/>
              <w:rPr>
                <w:rFonts w:hint="default"/>
              </w:rPr>
            </w:pPr>
            <w:r>
              <w:rPr>
                <w:rFonts w:hint="default" w:ascii="Arial" w:hAnsi="DejaVu Sans" w:eastAsia="DejaVu Sans" w:cs="DejaVu Sans"/>
                <w:b/>
                <w:color w:val="000000"/>
                <w:sz w:val="18"/>
                <w:szCs w:val="18"/>
              </w:rPr>
              <w:t>0.006</w:t>
            </w:r>
          </w:p>
        </w:tc>
      </w:tr>
    </w:tbl>
    <w:p/>
    <w:sectPr>
      <w:type w:val="continuous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S Mincho">
    <w:altName w:val="Hiragino Sans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ＭＳ 明朝">
    <w:altName w:val="Hiragino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ＭＳ 明朝">
    <w:altName w:val="Hiragin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@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FD"/>
    <w:multiLevelType w:val="multilevel"/>
    <w:tmpl w:val="07E925FD"/>
    <w:lvl w:ilvl="0" w:tentative="0">
      <w:start w:val="1"/>
      <w:numFmt w:val="decimal"/>
      <w:pStyle w:val="2"/>
      <w:lvlText w:val="%1."/>
      <w:lvlJc w:val="left"/>
      <w:pPr>
        <w:ind w:left="360" w:hanging="360"/>
      </w:pPr>
    </w:lvl>
    <w:lvl w:ilvl="1" w:tentative="0">
      <w:start w:val="1"/>
      <w:numFmt w:val="decimal"/>
      <w:pStyle w:val="3"/>
      <w:lvlText w:val="%1.%2."/>
      <w:lvlJc w:val="left"/>
      <w:pPr>
        <w:ind w:left="792" w:hanging="432"/>
      </w:pPr>
    </w:lvl>
    <w:lvl w:ilvl="2" w:tentative="0">
      <w:start w:val="1"/>
      <w:numFmt w:val="decimal"/>
      <w:pStyle w:val="4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 w:val="1"/>
  <w:bordersDoNotSurroundFooter w:val="1"/>
  <w:documentProtection w:enforcement="0"/>
  <w:defaultTabStop w:val="708"/>
  <w:hyphenationZone w:val="425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  <w:rsid w:val="7C5E785E"/>
    <w:rsid w:val="CE4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iPriority="99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pBdr>
        <w:bottom w:val="single" w:color="auto" w:sz="4" w:space="1"/>
      </w:pBdr>
      <w:spacing w:before="48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hAnsiTheme="majorHAnsi" w:eastAsiaTheme="majorEastAsia" w:cstheme="majorBidi"/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99"/>
    <w:rPr>
      <w:rFonts w:ascii="Lucida Grande" w:hAnsi="Lucida Grande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spacing w:after="100"/>
    </w:pPr>
  </w:style>
  <w:style w:type="paragraph" w:styleId="7">
    <w:name w:val="toc 2"/>
    <w:basedOn w:val="1"/>
    <w:next w:val="1"/>
    <w:unhideWhenUsed/>
    <w:qFormat/>
    <w:uiPriority w:val="39"/>
    <w:pPr>
      <w:spacing w:after="100"/>
      <w:ind w:left="240"/>
    </w:pPr>
  </w:style>
  <w:style w:type="table" w:styleId="10">
    <w:name w:val="Table Professional"/>
    <w:basedOn w:val="9"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11">
    <w:name w:val="Light List Accent 2"/>
    <w:basedOn w:val="9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character" w:customStyle="1" w:styleId="12">
    <w:name w:val="strong"/>
    <w:basedOn w:val="8"/>
    <w:qFormat/>
    <w:uiPriority w:val="1"/>
    <w:rPr>
      <w:b/>
    </w:rPr>
  </w:style>
  <w:style w:type="paragraph" w:customStyle="1" w:styleId="13">
    <w:name w:val="centered"/>
    <w:basedOn w:val="1"/>
    <w:qFormat/>
    <w:uiPriority w:val="0"/>
    <w:pPr>
      <w:jc w:val="center"/>
    </w:pPr>
  </w:style>
  <w:style w:type="table" w:customStyle="1" w:styleId="14">
    <w:name w:val="table_template"/>
    <w:basedOn w:val="9"/>
    <w:qFormat/>
    <w:uiPriority w:val="59"/>
    <w:pPr>
      <w:jc w:val="right"/>
    </w:pPr>
    <w:tblPr>
      <w:jc w:val="center"/>
      <w:tblBorders>
        <w:top w:val="single" w:color="auto" w:sz="8" w:space="0"/>
        <w:bottom w:val="single" w:color="auto" w:sz="8" w:space="0"/>
        <w:insideH w:val="single" w:color="auto" w:sz="8" w:space="0"/>
      </w:tblBorders>
    </w:tblPr>
    <w:trPr>
      <w:jc w:val="center"/>
    </w:trPr>
    <w:tblStylePr w:type="firstRow">
      <w:rPr>
        <w:b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">
    <w:name w:val="Titre 1 C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Titre 2 C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7">
    <w:name w:val="Titre 3 C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paragraph" w:customStyle="1" w:styleId="18">
    <w:name w:val="Image Caption"/>
    <w:basedOn w:val="1"/>
    <w:qFormat/>
    <w:uiPriority w:val="0"/>
    <w:pPr>
      <w:jc w:val="center"/>
    </w:pPr>
    <w:rPr>
      <w:b/>
      <w:i/>
    </w:rPr>
  </w:style>
  <w:style w:type="paragraph" w:customStyle="1" w:styleId="19">
    <w:name w:val="Table Caption"/>
    <w:basedOn w:val="18"/>
    <w:qFormat/>
    <w:uiPriority w:val="0"/>
  </w:style>
  <w:style w:type="character" w:customStyle="1" w:styleId="20">
    <w:name w:val="Texte de bulles Car"/>
    <w:basedOn w:val="8"/>
    <w:link w:val="5"/>
    <w:semiHidden/>
    <w:qFormat/>
    <w:uiPriority w:val="99"/>
    <w:rPr>
      <w:rFonts w:ascii="Lucida Grande" w:hAnsi="Lucida Grande"/>
      <w:sz w:val="18"/>
      <w:szCs w:val="18"/>
    </w:rPr>
  </w:style>
  <w:style w:type="character" w:customStyle="1" w:styleId="21">
    <w:name w:val="reference_id"/>
    <w:basedOn w:val="8"/>
    <w:qFormat/>
    <w:uiPriority w:val="1"/>
    <w:rPr>
      <w:vertAlign w:val="superscript"/>
    </w:rPr>
  </w:style>
  <w:style w:type="paragraph" w:customStyle="1" w:styleId="22">
    <w:name w:val="graphic title"/>
    <w:basedOn w:val="18"/>
    <w:next w:val="1"/>
    <w:qFormat/>
    <w:uiPriority w:val="0"/>
  </w:style>
  <w:style w:type="paragraph" w:customStyle="1" w:styleId="23">
    <w:name w:val="table title"/>
    <w:basedOn w:val="19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2017-03-01T03:18:00Z</dcterms:created>
  <dc:creator>laraine</dc:creator>
  <cp:lastModifiedBy>laraine</cp:lastModifiedBy>
  <dcterms:modified xsi:type="dcterms:W3CDTF">2021-05-12T22:18:01Z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