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9F" w:rsidRPr="005951EB" w:rsidRDefault="005C029F" w:rsidP="005C029F">
      <w:pPr>
        <w:spacing w:line="480" w:lineRule="auto"/>
        <w:rPr>
          <w:rFonts w:ascii="Times New Roman" w:hAnsi="Times New Roman"/>
          <w:sz w:val="24"/>
          <w:szCs w:val="24"/>
        </w:rPr>
      </w:pPr>
      <w:r w:rsidRPr="005951EB">
        <w:rPr>
          <w:rFonts w:ascii="Times New Roman" w:hAnsi="Times New Roman"/>
          <w:b/>
          <w:bCs/>
          <w:color w:val="000000"/>
          <w:sz w:val="24"/>
          <w:szCs w:val="24"/>
        </w:rPr>
        <w:t>Table 1. Baseline clinical characteristics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556"/>
        <w:gridCol w:w="1558"/>
        <w:gridCol w:w="1556"/>
        <w:gridCol w:w="1558"/>
        <w:gridCol w:w="850"/>
      </w:tblGrid>
      <w:tr w:rsidR="005C029F" w:rsidRPr="005951EB" w:rsidTr="0018197F">
        <w:tc>
          <w:tcPr>
            <w:tcW w:w="10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/>
                <w:bCs/>
                <w:sz w:val="15"/>
                <w:szCs w:val="15"/>
              </w:rPr>
              <w:t>Characteristics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/>
                <w:bCs/>
                <w:sz w:val="15"/>
                <w:szCs w:val="15"/>
              </w:rPr>
              <w:t>Demographic characteristics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Age, years, median (IQR), y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Male, n (%)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BMI (kg/m</w:t>
            </w:r>
            <w:r w:rsidRPr="005951EB">
              <w:rPr>
                <w:rFonts w:ascii="Times New Roman" w:hAnsi="Times New Roman"/>
                <w:sz w:val="15"/>
                <w:szCs w:val="15"/>
                <w:vertAlign w:val="superscript"/>
              </w:rPr>
              <w:t>2</w:t>
            </w:r>
            <w:r w:rsidRPr="005951EB">
              <w:rPr>
                <w:rFonts w:ascii="Times New Roman" w:hAnsi="Times New Roman"/>
                <w:sz w:val="15"/>
                <w:szCs w:val="15"/>
              </w:rPr>
              <w:t>), median (IQR)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Current smoker, n (%)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/>
                <w:bCs/>
                <w:sz w:val="15"/>
                <w:szCs w:val="15"/>
              </w:rPr>
              <w:t>Medical history, n (%)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Hypertension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Diabetes mellitus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Lipid metabolism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Disorders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/>
                <w:bCs/>
                <w:sz w:val="15"/>
                <w:szCs w:val="15"/>
              </w:rPr>
              <w:t>TOAST subtype, n (%)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LAA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Non-LAA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/>
                <w:sz w:val="15"/>
                <w:szCs w:val="15"/>
              </w:rPr>
              <w:t>TIA, n (%)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/>
                <w:bCs/>
                <w:sz w:val="15"/>
                <w:szCs w:val="15"/>
              </w:rPr>
              <w:t>Laboratory test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SBP at admission (mmHg), median (IQR)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FPG (mM), median (IQR)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Baseline LDL-C (mg/dL), median (IQR)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Baseline HDL-C (mM), median (IQR)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Baseline TG (mM), median (IQR)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Baseline hsCRP (mg/L), median (IQR)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Baseline Lp-PLA</w:t>
            </w:r>
            <w:r w:rsidRPr="005951EB">
              <w:rPr>
                <w:rFonts w:ascii="Times New Roman" w:hAnsi="Times New Roman"/>
                <w:sz w:val="15"/>
                <w:szCs w:val="15"/>
                <w:vertAlign w:val="subscript"/>
              </w:rPr>
              <w:t>2</w:t>
            </w:r>
            <w:r w:rsidRPr="005951EB">
              <w:rPr>
                <w:rFonts w:ascii="Times New Roman" w:hAnsi="Times New Roman"/>
                <w:sz w:val="15"/>
                <w:szCs w:val="15"/>
              </w:rPr>
              <w:t xml:space="preserve"> (ng/ml), median (IQR)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5951EB">
              <w:rPr>
                <w:rFonts w:ascii="Times New Roman" w:hAnsi="Times New Roman"/>
                <w:b/>
                <w:bCs/>
                <w:sz w:val="13"/>
                <w:szCs w:val="13"/>
              </w:rPr>
              <w:t>Discharge medication, n (%)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Lipid-lowering drugs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Antiplatelet agents</w:t>
            </w:r>
          </w:p>
        </w:tc>
        <w:tc>
          <w:tcPr>
            <w:tcW w:w="3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29F" w:rsidRPr="005951EB" w:rsidRDefault="005C029F" w:rsidP="0018197F">
            <w:pPr>
              <w:spacing w:line="48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eastAsia="DengXian" w:hAnsi="Times New Roman"/>
                <w:b/>
                <w:bCs/>
                <w:sz w:val="15"/>
                <w:szCs w:val="15"/>
              </w:rPr>
              <w:t>Lp(a) (mg/dL)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BB17F1">
              <w:rPr>
                <w:rFonts w:ascii="Times New Roman" w:hAnsi="Times New Roman"/>
                <w:i/>
                <w:sz w:val="15"/>
                <w:szCs w:val="15"/>
              </w:rPr>
              <w:t>p</w:t>
            </w:r>
            <w:r w:rsidRPr="005951EB">
              <w:rPr>
                <w:rFonts w:ascii="Times New Roman" w:hAnsi="Times New Roman"/>
                <w:i/>
                <w:sz w:val="15"/>
                <w:szCs w:val="15"/>
              </w:rPr>
              <w:t>-</w:t>
            </w:r>
            <w:r w:rsidRPr="005951EB">
              <w:rPr>
                <w:rFonts w:ascii="Times New Roman" w:hAnsi="Times New Roman"/>
                <w:sz w:val="15"/>
                <w:szCs w:val="15"/>
              </w:rPr>
              <w:t>value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&lt;0.0001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0.1381</w:t>
            </w:r>
            <w:r w:rsidRPr="005951EB">
              <w:rPr>
                <w:rFonts w:ascii="Times New Roman" w:hAnsi="Times New Roman"/>
                <w:sz w:val="15"/>
                <w:szCs w:val="15"/>
              </w:rPr>
              <w:br/>
              <w:t>0.0004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0.8587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0.7948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0.1836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0.3022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&lt;0.0001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0.3660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0.2607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0.0185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&lt;0.0001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&lt;0.0001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&lt;0.0001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&lt;0.0001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&lt;0.0001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 w:hint="eastAsia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0.1910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0.7240</w:t>
            </w:r>
          </w:p>
        </w:tc>
      </w:tr>
      <w:tr w:rsidR="005C029F" w:rsidRPr="005951EB" w:rsidTr="0018197F">
        <w:tc>
          <w:tcPr>
            <w:tcW w:w="10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29F" w:rsidRPr="005951EB" w:rsidRDefault="005C029F" w:rsidP="0018197F">
            <w:pPr>
              <w:widowControl/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3D0928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Quartile</w:t>
            </w:r>
            <w:r w:rsidRPr="005951E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 (n=2606)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&lt;8.87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62.00 (53.00, 70.00)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1820 (69.84)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24.62 (22.86, 26.64)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824 (31.62)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1652 (63.39)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658 (25.25)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201 (7.71)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595 (22.83)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2011 (77.17)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198 (7.60)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148.00(135.00, 163.00)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5.61 (4.92, 7.09)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79.34 (58.05, 104.10)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1.04 (0.87, 1.25)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1.47 (1.08, 2.10)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1.51 (0.80, 3.68)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167.71 (119.74, 216.38)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 w:hint="eastAsia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2402 (92.31)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2397 (92.12)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3D0928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Quartile</w:t>
            </w:r>
            <w:r w:rsidRPr="005951E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2 (n=2605)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(8.87, 18.07)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63.00 (54.00, 71.00)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1798 (69.02)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24.49 (22.60, 26.61)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815 (31.29)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1620 (62.19)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631 (24.22)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214 (8.21)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634 (24.34)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1971 (75.66)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171 (6.56)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148.50(136.00, 165.00)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5.53 (4.92, 7.00)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87.08 (66.18, 111.07)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1.06 (0.90, 1.25)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1.38 (1.04, 1.90)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1.75 (0.82, 4.56)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169.48 (123.32, 217.70)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 w:hint="eastAsia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2421 (93.26)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2379 (91.64)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3D0928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Quartile</w:t>
            </w:r>
            <w:r w:rsidRPr="005951E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3 (n=2606)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(18.07, 35.7</w:t>
            </w: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63.00 (56.00, 70.00)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1770 (67.92)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24.47 (22.58, 26.57)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831 (31.89)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1638 (62.85)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600 (23.02)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209 (8.02)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655 (25.13)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1951 (74.87)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174 (6.68)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149.00(134.00, 164.50)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5.49(4.86, 6.79)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93.65(71.60, 118.81)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1.09(0.91, 1.29)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1.35(1.02, 1.81)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1.87(0.83, 4.79)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176.78 (132.24, 227.84)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 w:hint="eastAsia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2415 (92.88)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2405 (92.50)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3D0928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Quartile</w:t>
            </w:r>
            <w:r w:rsidRPr="005951E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4 (n=2605)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(≥35.7)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63.00 (55.00, 70.00)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1746 (67.02)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24.22 (22.48, 26.33)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803 (30.83)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1623 (62.30)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601 (23.07)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237 (9.10)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743 (28.52)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1862 (71.84)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170 (6.53)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148.00(135.00, 164.00)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5.52(4.89, 6.70)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99.07(75.85, 127.32)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1.11(0.94, 1.33)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1.27(0.98, 1.71)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1.98(0.86, 5.79)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186.30 (137.32, 237.94)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 w:hint="eastAsia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2437 (93.80)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sz w:val="15"/>
                <w:szCs w:val="15"/>
              </w:rPr>
              <w:t>2392 (92.07)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029F" w:rsidRPr="005951EB" w:rsidRDefault="005C029F" w:rsidP="0018197F">
            <w:pPr>
              <w:widowControl/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5C029F" w:rsidRPr="005951EB" w:rsidRDefault="005C029F" w:rsidP="005C029F">
      <w:pPr>
        <w:spacing w:line="480" w:lineRule="auto"/>
        <w:rPr>
          <w:rFonts w:ascii="Times New Roman" w:hAnsi="Times New Roman"/>
          <w:sz w:val="15"/>
          <w:szCs w:val="15"/>
        </w:rPr>
      </w:pPr>
      <w:r w:rsidRPr="005951EB">
        <w:rPr>
          <w:rFonts w:ascii="Times New Roman" w:hAnsi="Times New Roman"/>
          <w:sz w:val="15"/>
          <w:szCs w:val="15"/>
        </w:rPr>
        <w:t xml:space="preserve">Continuous data are 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 xml:space="preserve">resented as median (interquartile range, IQR), and categorical variables are 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resented as %.</w:t>
      </w:r>
    </w:p>
    <w:p w:rsidR="005C029F" w:rsidRDefault="005C029F" w:rsidP="005C029F">
      <w:pPr>
        <w:spacing w:line="480" w:lineRule="auto"/>
        <w:rPr>
          <w:rFonts w:ascii="Times New Roman" w:hAnsi="Times New Roman"/>
          <w:noProof/>
          <w:sz w:val="15"/>
          <w:szCs w:val="15"/>
        </w:rPr>
      </w:pPr>
      <w:r w:rsidRPr="005951EB">
        <w:rPr>
          <w:rFonts w:ascii="Times New Roman" w:hAnsi="Times New Roman"/>
          <w:noProof/>
          <w:sz w:val="15"/>
          <w:szCs w:val="15"/>
        </w:rPr>
        <w:t>Abbreviations: BMI: body mass index; LAA: large-artery atherosclerosis; SB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 xml:space="preserve">: systolic blood 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>ressure; F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 xml:space="preserve">G: fasting 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>lasma glucose; LDL-C: low-</w:t>
      </w:r>
      <w:r w:rsidRPr="005951EB">
        <w:rPr>
          <w:rFonts w:ascii="Times New Roman" w:hAnsi="Times New Roman"/>
          <w:noProof/>
          <w:sz w:val="15"/>
          <w:szCs w:val="15"/>
        </w:rPr>
        <w:lastRenderedPageBreak/>
        <w:t>density li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>o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>rotein cholesterol; HDL-C: high-density li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>o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>rotein cholesterol; TG: triglyceride; hsCR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 xml:space="preserve">: high-sensitivity C-reactive 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>rotein; L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>(a): li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>o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>rotein(a); L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>-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>LA</w:t>
      </w:r>
      <w:r w:rsidRPr="005951EB">
        <w:rPr>
          <w:rFonts w:ascii="Times New Roman" w:hAnsi="Times New Roman"/>
          <w:noProof/>
          <w:sz w:val="15"/>
          <w:szCs w:val="15"/>
          <w:vertAlign w:val="subscript"/>
        </w:rPr>
        <w:t>2</w:t>
      </w:r>
      <w:r w:rsidRPr="005951EB">
        <w:rPr>
          <w:rFonts w:ascii="Times New Roman" w:hAnsi="Times New Roman"/>
          <w:noProof/>
          <w:sz w:val="15"/>
          <w:szCs w:val="15"/>
        </w:rPr>
        <w:t>: li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>o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 xml:space="preserve">rotein-associated 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>hos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>holi</w:t>
      </w:r>
      <w:r>
        <w:rPr>
          <w:rFonts w:ascii="Times New Roman" w:hAnsi="Times New Roman"/>
          <w:noProof/>
          <w:sz w:val="15"/>
          <w:szCs w:val="15"/>
        </w:rPr>
        <w:t>p</w:t>
      </w:r>
      <w:r w:rsidRPr="005951EB">
        <w:rPr>
          <w:rFonts w:ascii="Times New Roman" w:hAnsi="Times New Roman"/>
          <w:noProof/>
          <w:sz w:val="15"/>
          <w:szCs w:val="15"/>
        </w:rPr>
        <w:t>ase A</w:t>
      </w:r>
      <w:r w:rsidRPr="005951EB">
        <w:rPr>
          <w:rFonts w:ascii="Times New Roman" w:hAnsi="Times New Roman"/>
          <w:noProof/>
          <w:sz w:val="15"/>
          <w:szCs w:val="15"/>
          <w:vertAlign w:val="subscript"/>
        </w:rPr>
        <w:t>2</w:t>
      </w:r>
      <w:r w:rsidRPr="005951EB">
        <w:rPr>
          <w:rFonts w:ascii="Times New Roman" w:hAnsi="Times New Roman"/>
          <w:noProof/>
          <w:sz w:val="15"/>
          <w:szCs w:val="15"/>
        </w:rPr>
        <w:t>.</w:t>
      </w:r>
    </w:p>
    <w:p w:rsidR="005C029F" w:rsidRPr="005951EB" w:rsidRDefault="005C029F" w:rsidP="005C029F">
      <w:pPr>
        <w:spacing w:line="480" w:lineRule="auto"/>
        <w:rPr>
          <w:rFonts w:ascii="Times New Roman" w:hAnsi="Times New Roman" w:hint="eastAsia"/>
          <w:noProof/>
          <w:sz w:val="24"/>
          <w:szCs w:val="24"/>
        </w:rPr>
      </w:pPr>
    </w:p>
    <w:p w:rsidR="005C029F" w:rsidRPr="005951EB" w:rsidRDefault="005C029F" w:rsidP="005C029F">
      <w:pPr>
        <w:spacing w:line="480" w:lineRule="auto"/>
        <w:rPr>
          <w:rFonts w:ascii="Times New Roman" w:hAnsi="Times New Roman"/>
          <w:sz w:val="24"/>
          <w:szCs w:val="24"/>
          <w:highlight w:val="yellow"/>
        </w:rPr>
      </w:pPr>
      <w:r w:rsidRPr="005951EB">
        <w:rPr>
          <w:rFonts w:ascii="Times New Roman" w:hAnsi="Times New Roman"/>
          <w:b/>
          <w:bCs/>
          <w:color w:val="000000"/>
          <w:sz w:val="24"/>
          <w:szCs w:val="24"/>
        </w:rPr>
        <w:t>Table 2. Association between the levels of 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5951EB">
        <w:rPr>
          <w:rFonts w:ascii="Times New Roman" w:hAnsi="Times New Roman"/>
          <w:b/>
          <w:bCs/>
          <w:color w:val="000000"/>
          <w:sz w:val="24"/>
          <w:szCs w:val="24"/>
        </w:rPr>
        <w:t>(a) and stroke outcomes at 3 months and 1 year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</w:tblGrid>
      <w:tr w:rsidR="005C029F" w:rsidRPr="005951EB" w:rsidTr="0018197F">
        <w:trPr>
          <w:jc w:val="center"/>
        </w:trPr>
        <w:tc>
          <w:tcPr>
            <w:tcW w:w="1704" w:type="dxa"/>
            <w:vMerge w:val="restart"/>
            <w:shd w:val="clear" w:color="auto" w:fill="auto"/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Event rate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HR (95% confidence interval)</w:t>
            </w:r>
          </w:p>
        </w:tc>
      </w:tr>
      <w:tr w:rsidR="005C029F" w:rsidRPr="005951EB" w:rsidTr="0018197F">
        <w:trPr>
          <w:jc w:val="center"/>
        </w:trPr>
        <w:tc>
          <w:tcPr>
            <w:tcW w:w="1704" w:type="dxa"/>
            <w:vMerge/>
            <w:shd w:val="clear" w:color="auto" w:fill="auto"/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4" w:type="dxa"/>
            <w:shd w:val="clear" w:color="auto" w:fill="auto"/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Unadjusted</w:t>
            </w:r>
          </w:p>
        </w:tc>
        <w:tc>
          <w:tcPr>
            <w:tcW w:w="1705" w:type="dxa"/>
            <w:shd w:val="clear" w:color="auto" w:fill="auto"/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Adjusted</w:t>
            </w:r>
          </w:p>
        </w:tc>
      </w:tr>
      <w:tr w:rsidR="005C029F" w:rsidRPr="005951EB" w:rsidTr="0018197F">
        <w:trPr>
          <w:jc w:val="center"/>
        </w:trPr>
        <w:tc>
          <w:tcPr>
            <w:tcW w:w="1704" w:type="dxa"/>
            <w:shd w:val="clear" w:color="auto" w:fill="auto"/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mRS</w:t>
            </w: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≥</w:t>
            </w:r>
            <w:r w:rsidRPr="005951E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3 at 3 months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p</w:t>
            </w: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a(Q1)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p</w:t>
            </w: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a(Q2)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p</w:t>
            </w: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a(Q3)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p</w:t>
            </w: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a(Q4)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mRS</w:t>
            </w: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≥</w:t>
            </w:r>
            <w:r w:rsidRPr="005951EB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3 at 1 year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p</w:t>
            </w: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a(Q1)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p</w:t>
            </w: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a(Q2)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p</w:t>
            </w: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a(Q3)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p</w:t>
            </w: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a(Q4)</w:t>
            </w:r>
          </w:p>
        </w:tc>
        <w:tc>
          <w:tcPr>
            <w:tcW w:w="1704" w:type="dxa"/>
            <w:shd w:val="clear" w:color="auto" w:fill="auto"/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bCs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bCs/>
                <w:color w:val="000000"/>
                <w:sz w:val="15"/>
                <w:szCs w:val="15"/>
              </w:rPr>
              <w:t>10.94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13.21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14.12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16.28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10.63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12.48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13.01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14.93</w:t>
            </w:r>
          </w:p>
        </w:tc>
        <w:tc>
          <w:tcPr>
            <w:tcW w:w="1704" w:type="dxa"/>
            <w:shd w:val="clear" w:color="auto" w:fill="auto"/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Reference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1.24 (1.05-1.46)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1.34 (1.14-1.58)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1.58 (1.35-1.86)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Reference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1.20 (1.01-1.42)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1.26 (1.06-1.49)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1.48 (1.25-1.74)</w:t>
            </w:r>
          </w:p>
        </w:tc>
        <w:tc>
          <w:tcPr>
            <w:tcW w:w="1705" w:type="dxa"/>
            <w:shd w:val="clear" w:color="auto" w:fill="auto"/>
          </w:tcPr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Reference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1.32 (1.05-1.66)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1.37 (1.09-1.72)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1.39 (1.11-1.75)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Reference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1.12 (0.90-1.40)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1.18 (0.94-1.47)</w:t>
            </w:r>
          </w:p>
          <w:p w:rsidR="005C029F" w:rsidRPr="005951EB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5951EB">
              <w:rPr>
                <w:rFonts w:ascii="Times New Roman" w:hAnsi="Times New Roman"/>
                <w:color w:val="000000"/>
                <w:sz w:val="15"/>
                <w:szCs w:val="15"/>
              </w:rPr>
              <w:t>1.27 (1.02-1.59)</w:t>
            </w:r>
          </w:p>
        </w:tc>
      </w:tr>
    </w:tbl>
    <w:p w:rsidR="005C029F" w:rsidRPr="005951EB" w:rsidRDefault="005C029F" w:rsidP="005C029F">
      <w:pPr>
        <w:spacing w:line="480" w:lineRule="auto"/>
        <w:rPr>
          <w:rFonts w:ascii="Times New Roman" w:hAnsi="Times New Roman"/>
          <w:sz w:val="15"/>
          <w:szCs w:val="15"/>
        </w:rPr>
      </w:pPr>
      <w:r w:rsidRPr="005951EB">
        <w:rPr>
          <w:rFonts w:ascii="Times New Roman" w:hAnsi="Times New Roman"/>
          <w:sz w:val="15"/>
          <w:szCs w:val="15"/>
        </w:rPr>
        <w:t>Adjust for age, BMI, baseline variables including F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G, LDL-C, HDL-C, TG, hsCR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, L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-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LA</w:t>
      </w:r>
      <w:r w:rsidRPr="00BB17F1">
        <w:rPr>
          <w:rFonts w:ascii="Times New Roman" w:hAnsi="Times New Roman"/>
          <w:sz w:val="15"/>
          <w:szCs w:val="15"/>
          <w:vertAlign w:val="subscript"/>
        </w:rPr>
        <w:t>2</w:t>
      </w:r>
      <w:r w:rsidRPr="005951EB">
        <w:rPr>
          <w:rFonts w:ascii="Times New Roman" w:hAnsi="Times New Roman"/>
          <w:sz w:val="15"/>
          <w:szCs w:val="15"/>
        </w:rPr>
        <w:t>, sex, TOAST subty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e, and NIHSS score at admission.</w:t>
      </w:r>
    </w:p>
    <w:p w:rsidR="005C029F" w:rsidRDefault="005C029F" w:rsidP="005C029F">
      <w:pPr>
        <w:spacing w:line="480" w:lineRule="auto"/>
        <w:rPr>
          <w:rFonts w:ascii="Times New Roman" w:hAnsi="Times New Roman"/>
          <w:color w:val="000000"/>
          <w:sz w:val="15"/>
          <w:szCs w:val="15"/>
        </w:rPr>
      </w:pPr>
      <w:r w:rsidRPr="005951EB">
        <w:rPr>
          <w:rFonts w:ascii="Times New Roman" w:hAnsi="Times New Roman"/>
          <w:sz w:val="15"/>
          <w:szCs w:val="15"/>
        </w:rPr>
        <w:t>Abbreviations: BMI: body mass index; F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 xml:space="preserve">G: fasting 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lasma glucose; LDL-C: low-density li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rotein cholesterol; HDL-C: high-density li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rotein cholesterol; TG: triglyceride; hsCR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 xml:space="preserve">: high-sensitivity C-reactive 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rotein; L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-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LA</w:t>
      </w:r>
      <w:r w:rsidRPr="005951EB">
        <w:rPr>
          <w:rFonts w:ascii="Times New Roman" w:hAnsi="Times New Roman"/>
          <w:sz w:val="15"/>
          <w:szCs w:val="15"/>
          <w:vertAlign w:val="subscript"/>
        </w:rPr>
        <w:t>2</w:t>
      </w:r>
      <w:r w:rsidRPr="005951EB">
        <w:rPr>
          <w:rFonts w:ascii="Times New Roman" w:hAnsi="Times New Roman"/>
          <w:sz w:val="15"/>
          <w:szCs w:val="15"/>
        </w:rPr>
        <w:t>: li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 xml:space="preserve">rotein-associated 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hos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holi</w:t>
      </w:r>
      <w:r>
        <w:rPr>
          <w:rFonts w:ascii="Times New Roman" w:hAnsi="Times New Roman"/>
          <w:sz w:val="15"/>
          <w:szCs w:val="15"/>
        </w:rPr>
        <w:t>p</w:t>
      </w:r>
      <w:r w:rsidRPr="005951EB">
        <w:rPr>
          <w:rFonts w:ascii="Times New Roman" w:hAnsi="Times New Roman"/>
          <w:sz w:val="15"/>
          <w:szCs w:val="15"/>
        </w:rPr>
        <w:t>ase A</w:t>
      </w:r>
      <w:r w:rsidRPr="005951EB">
        <w:rPr>
          <w:rFonts w:ascii="Times New Roman" w:hAnsi="Times New Roman"/>
          <w:sz w:val="15"/>
          <w:szCs w:val="15"/>
          <w:vertAlign w:val="subscript"/>
        </w:rPr>
        <w:t>2</w:t>
      </w:r>
      <w:r w:rsidRPr="005951EB">
        <w:rPr>
          <w:rFonts w:ascii="Times New Roman" w:hAnsi="Times New Roman"/>
          <w:sz w:val="15"/>
          <w:szCs w:val="15"/>
        </w:rPr>
        <w:t>; NIHS</w:t>
      </w:r>
      <w:r w:rsidRPr="005951EB">
        <w:rPr>
          <w:rFonts w:ascii="Times New Roman" w:hAnsi="Times New Roman"/>
          <w:color w:val="000000"/>
          <w:sz w:val="15"/>
          <w:szCs w:val="15"/>
        </w:rPr>
        <w:t>S: National Institutes of Health Stroke Scale</w:t>
      </w:r>
    </w:p>
    <w:p w:rsidR="005C029F" w:rsidRDefault="005C029F" w:rsidP="005C029F">
      <w:pPr>
        <w:spacing w:line="480" w:lineRule="auto"/>
        <w:rPr>
          <w:rFonts w:ascii="Times New Roman" w:hAnsi="Times New Roman"/>
          <w:color w:val="000000"/>
          <w:sz w:val="15"/>
          <w:szCs w:val="15"/>
        </w:rPr>
      </w:pPr>
    </w:p>
    <w:p w:rsidR="005C029F" w:rsidRDefault="005C029F" w:rsidP="005C029F">
      <w:pPr>
        <w:spacing w:line="480" w:lineRule="auto"/>
        <w:rPr>
          <w:rFonts w:ascii="Times New Roman" w:hAnsi="Times New Roman"/>
          <w:color w:val="000000"/>
          <w:sz w:val="15"/>
          <w:szCs w:val="15"/>
        </w:rPr>
      </w:pPr>
    </w:p>
    <w:p w:rsidR="005C029F" w:rsidRDefault="005C029F" w:rsidP="005C029F">
      <w:pPr>
        <w:spacing w:line="480" w:lineRule="auto"/>
        <w:rPr>
          <w:rFonts w:ascii="Times New Roman" w:hAnsi="Times New Roman"/>
          <w:color w:val="000000"/>
          <w:sz w:val="15"/>
          <w:szCs w:val="15"/>
        </w:rPr>
      </w:pPr>
    </w:p>
    <w:p w:rsidR="005C029F" w:rsidRDefault="005C029F" w:rsidP="005C029F">
      <w:pPr>
        <w:spacing w:line="480" w:lineRule="auto"/>
        <w:rPr>
          <w:rFonts w:ascii="Times New Roman" w:hAnsi="Times New Roman"/>
          <w:color w:val="000000"/>
          <w:sz w:val="22"/>
        </w:rPr>
      </w:pPr>
    </w:p>
    <w:p w:rsidR="005C029F" w:rsidRDefault="005C029F" w:rsidP="005C029F">
      <w:pPr>
        <w:spacing w:line="480" w:lineRule="auto"/>
        <w:rPr>
          <w:rFonts w:ascii="Times New Roman" w:hAnsi="Times New Roman"/>
          <w:color w:val="000000"/>
          <w:sz w:val="22"/>
        </w:rPr>
      </w:pPr>
    </w:p>
    <w:p w:rsidR="005C029F" w:rsidRPr="00B12F62" w:rsidRDefault="005C029F" w:rsidP="005C029F">
      <w:pPr>
        <w:spacing w:line="480" w:lineRule="auto"/>
        <w:rPr>
          <w:rFonts w:ascii="Times New Roman" w:hAnsi="Times New Roman" w:hint="eastAsia"/>
          <w:color w:val="000000"/>
          <w:sz w:val="22"/>
        </w:rPr>
      </w:pPr>
    </w:p>
    <w:p w:rsidR="005C029F" w:rsidRPr="00A753CD" w:rsidRDefault="005C029F" w:rsidP="005C029F">
      <w:pPr>
        <w:spacing w:line="480" w:lineRule="auto"/>
        <w:rPr>
          <w:rFonts w:ascii="Times New Roman" w:eastAsia="DengXian" w:hAnsi="Times New Roman" w:hint="eastAsia"/>
          <w:b/>
          <w:bCs/>
          <w:kern w:val="0"/>
          <w:sz w:val="24"/>
          <w:szCs w:val="24"/>
        </w:rPr>
      </w:pPr>
      <w:r w:rsidRPr="00A753CD">
        <w:rPr>
          <w:rFonts w:ascii="Times New Roman" w:eastAsia="DengXian" w:hAnsi="Times New Roman"/>
          <w:b/>
          <w:bCs/>
          <w:kern w:val="0"/>
          <w:sz w:val="24"/>
          <w:szCs w:val="24"/>
        </w:rPr>
        <w:lastRenderedPageBreak/>
        <w:t>Table 3. Subgrou</w:t>
      </w:r>
      <w:r>
        <w:rPr>
          <w:rFonts w:ascii="Times New Roman" w:eastAsia="DengXian" w:hAnsi="Times New Roman"/>
          <w:b/>
          <w:bCs/>
          <w:kern w:val="0"/>
          <w:sz w:val="24"/>
          <w:szCs w:val="24"/>
        </w:rPr>
        <w:t>p</w:t>
      </w:r>
      <w:r w:rsidRPr="00A753CD">
        <w:rPr>
          <w:rFonts w:ascii="Times New Roman" w:eastAsia="DengXian" w:hAnsi="Times New Roman"/>
          <w:b/>
          <w:bCs/>
          <w:kern w:val="0"/>
          <w:sz w:val="24"/>
          <w:szCs w:val="24"/>
        </w:rPr>
        <w:t xml:space="preserve"> analysis for the association between L</w:t>
      </w:r>
      <w:r>
        <w:rPr>
          <w:rFonts w:ascii="Times New Roman" w:eastAsia="DengXian" w:hAnsi="Times New Roman"/>
          <w:b/>
          <w:bCs/>
          <w:kern w:val="0"/>
          <w:sz w:val="24"/>
          <w:szCs w:val="24"/>
        </w:rPr>
        <w:t>p</w:t>
      </w:r>
      <w:r w:rsidRPr="00A753CD">
        <w:rPr>
          <w:rFonts w:ascii="Times New Roman" w:eastAsia="DengXian" w:hAnsi="Times New Roman"/>
          <w:b/>
          <w:bCs/>
          <w:kern w:val="0"/>
          <w:sz w:val="24"/>
          <w:szCs w:val="24"/>
        </w:rPr>
        <w:t>(a</w:t>
      </w:r>
      <w:r>
        <w:rPr>
          <w:rFonts w:ascii="Times New Roman" w:eastAsia="DengXian" w:hAnsi="Times New Roman"/>
          <w:b/>
          <w:bCs/>
          <w:kern w:val="0"/>
          <w:sz w:val="24"/>
          <w:szCs w:val="24"/>
        </w:rPr>
        <w:t>) levels and mRS ≥3 at 3 months</w:t>
      </w:r>
    </w:p>
    <w:tbl>
      <w:tblPr>
        <w:tblpPr w:leftFromText="180" w:rightFromText="180" w:vertAnchor="text" w:horzAnchor="margin" w:tblpXSpec="center" w:tblpY="96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2356"/>
        <w:gridCol w:w="2334"/>
        <w:gridCol w:w="1713"/>
      </w:tblGrid>
      <w:tr w:rsidR="005C029F" w:rsidRPr="00A753CD" w:rsidTr="0018197F">
        <w:tc>
          <w:tcPr>
            <w:tcW w:w="1453" w:type="pct"/>
            <w:vMerge w:val="restart"/>
          </w:tcPr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</w:tc>
        <w:tc>
          <w:tcPr>
            <w:tcW w:w="2598" w:type="pct"/>
            <w:gridSpan w:val="2"/>
          </w:tcPr>
          <w:p w:rsidR="005C029F" w:rsidRPr="00A753CD" w:rsidRDefault="005C029F" w:rsidP="0018197F">
            <w:pPr>
              <w:spacing w:line="480" w:lineRule="auto"/>
              <w:jc w:val="left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Event rate</w:t>
            </w:r>
          </w:p>
        </w:tc>
        <w:tc>
          <w:tcPr>
            <w:tcW w:w="949" w:type="pct"/>
            <w:vMerge w:val="restart"/>
          </w:tcPr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i/>
                <w:iCs/>
                <w:kern w:val="0"/>
                <w:sz w:val="15"/>
                <w:szCs w:val="15"/>
              </w:rPr>
            </w:pPr>
            <w:r w:rsidRPr="00BB17F1">
              <w:rPr>
                <w:rFonts w:ascii="Times New Roman" w:eastAsia="DengXian" w:hAnsi="Times New Roman"/>
                <w:i/>
                <w:iCs/>
                <w:kern w:val="0"/>
                <w:sz w:val="15"/>
                <w:szCs w:val="15"/>
              </w:rPr>
              <w:t>p</w:t>
            </w: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 xml:space="preserve"> for interaction</w:t>
            </w:r>
          </w:p>
        </w:tc>
      </w:tr>
      <w:tr w:rsidR="005C029F" w:rsidRPr="00A753CD" w:rsidTr="0018197F">
        <w:tc>
          <w:tcPr>
            <w:tcW w:w="1453" w:type="pct"/>
            <w:vMerge/>
          </w:tcPr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</w:tc>
        <w:tc>
          <w:tcPr>
            <w:tcW w:w="1305" w:type="pct"/>
          </w:tcPr>
          <w:p w:rsidR="005C029F" w:rsidRPr="00A753CD" w:rsidRDefault="005C029F" w:rsidP="0018197F">
            <w:pPr>
              <w:spacing w:line="480" w:lineRule="auto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</w:rPr>
              <w:t>p</w:t>
            </w:r>
            <w:r w:rsidRPr="00A753C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</w:rPr>
              <w:t>a</w:t>
            </w:r>
            <w:r w:rsidRPr="00A753CD">
              <w:rPr>
                <w:rFonts w:ascii="Times New Roman" w:hAnsi="Times New Roman"/>
                <w:kern w:val="0"/>
                <w:sz w:val="15"/>
                <w:szCs w:val="15"/>
              </w:rPr>
              <w:t xml:space="preserve"> &lt; median</w:t>
            </w:r>
          </w:p>
        </w:tc>
        <w:tc>
          <w:tcPr>
            <w:tcW w:w="1293" w:type="pct"/>
          </w:tcPr>
          <w:p w:rsidR="005C029F" w:rsidRPr="00A753CD" w:rsidRDefault="005C029F" w:rsidP="0018197F">
            <w:pPr>
              <w:spacing w:line="480" w:lineRule="auto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</w:rPr>
              <w:t>p</w:t>
            </w:r>
            <w:r w:rsidRPr="00A753CD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</w:rPr>
              <w:t>a</w:t>
            </w:r>
            <w:r w:rsidRPr="00A753CD"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≥</w:t>
            </w:r>
            <w:r w:rsidRPr="00A753CD">
              <w:rPr>
                <w:rFonts w:ascii="Times New Roman" w:hAnsi="Times New Roman"/>
                <w:kern w:val="0"/>
                <w:sz w:val="15"/>
                <w:szCs w:val="15"/>
              </w:rPr>
              <w:t xml:space="preserve"> median</w:t>
            </w:r>
          </w:p>
        </w:tc>
        <w:tc>
          <w:tcPr>
            <w:tcW w:w="949" w:type="pct"/>
            <w:vMerge/>
          </w:tcPr>
          <w:p w:rsidR="005C029F" w:rsidRPr="00A753CD" w:rsidRDefault="005C029F" w:rsidP="0018197F">
            <w:pPr>
              <w:spacing w:line="480" w:lineRule="auto"/>
              <w:rPr>
                <w:rFonts w:ascii="Times New Roman" w:hAnsi="Times New Roman"/>
                <w:color w:val="FF0000"/>
                <w:kern w:val="0"/>
                <w:sz w:val="15"/>
                <w:szCs w:val="15"/>
              </w:rPr>
            </w:pPr>
          </w:p>
        </w:tc>
      </w:tr>
      <w:tr w:rsidR="005C029F" w:rsidRPr="00A753CD" w:rsidTr="0018197F">
        <w:trPr>
          <w:trHeight w:val="1266"/>
        </w:trPr>
        <w:tc>
          <w:tcPr>
            <w:tcW w:w="1453" w:type="pct"/>
          </w:tcPr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b/>
                <w:bCs/>
                <w:kern w:val="0"/>
                <w:sz w:val="15"/>
                <w:szCs w:val="15"/>
              </w:rPr>
              <w:t>Age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  <w:highlight w:val="yellow"/>
              </w:rPr>
            </w:pPr>
            <w:r w:rsidRPr="00A753CD">
              <w:rPr>
                <w:rFonts w:ascii="Times New Roman" w:hAnsi="Times New Roman"/>
                <w:kern w:val="0"/>
                <w:sz w:val="15"/>
                <w:szCs w:val="15"/>
              </w:rPr>
              <w:t>&lt; median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  <w:highlight w:val="yellow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≥ median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b/>
                <w:bCs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b/>
                <w:bCs/>
                <w:kern w:val="0"/>
                <w:sz w:val="15"/>
                <w:szCs w:val="15"/>
              </w:rPr>
              <w:t>Sex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male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female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b/>
                <w:color w:val="000000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b/>
                <w:color w:val="000000"/>
                <w:kern w:val="0"/>
                <w:sz w:val="15"/>
                <w:szCs w:val="15"/>
              </w:rPr>
              <w:t>NIHSS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hAnsi="Times New Roman"/>
                <w:kern w:val="0"/>
                <w:sz w:val="15"/>
                <w:szCs w:val="15"/>
              </w:rPr>
              <w:t>&lt; median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≥ median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</w:pPr>
            <w:r w:rsidRPr="00A753CD"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>TOAST subty</w:t>
            </w:r>
            <w:r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>p</w:t>
            </w:r>
            <w:r w:rsidRPr="00A753CD"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>e</w:t>
            </w:r>
            <w:r w:rsidRPr="00A753CD">
              <w:rPr>
                <w:rFonts w:ascii="Times New Roman" w:hAnsi="Times New Roman"/>
                <w:b/>
                <w:bCs/>
                <w:sz w:val="15"/>
                <w:szCs w:val="15"/>
              </w:rPr>
              <w:t>, n (%)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hAnsi="Times New Roman"/>
                <w:kern w:val="0"/>
                <w:sz w:val="15"/>
                <w:szCs w:val="15"/>
              </w:rPr>
              <w:t>LAA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hAnsi="Times New Roman"/>
                <w:kern w:val="0"/>
                <w:sz w:val="15"/>
                <w:szCs w:val="15"/>
              </w:rPr>
              <w:t>Non-LAA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</w:pPr>
            <w:r w:rsidRPr="00A753CD"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>P</w:t>
            </w:r>
            <w:r w:rsidRPr="00A753CD"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>A</w:t>
            </w:r>
            <w:r w:rsidRPr="00A753CD">
              <w:rPr>
                <w:rFonts w:ascii="Times New Roman" w:hAnsi="Times New Roman"/>
                <w:b/>
                <w:bCs/>
                <w:sz w:val="15"/>
                <w:szCs w:val="15"/>
              </w:rPr>
              <w:t>, n (%)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hAnsi="Times New Roman"/>
                <w:bCs/>
                <w:kern w:val="0"/>
                <w:sz w:val="15"/>
                <w:szCs w:val="15"/>
              </w:rPr>
            </w:pPr>
            <w:r w:rsidRPr="00A753CD">
              <w:rPr>
                <w:rFonts w:ascii="Times New Roman" w:hAnsi="Times New Roman"/>
                <w:bCs/>
                <w:kern w:val="0"/>
                <w:sz w:val="15"/>
                <w:szCs w:val="15"/>
              </w:rPr>
              <w:t>Yes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hAnsi="Times New Roman"/>
                <w:bCs/>
                <w:kern w:val="0"/>
                <w:sz w:val="15"/>
                <w:szCs w:val="15"/>
              </w:rPr>
            </w:pPr>
            <w:r w:rsidRPr="00A753CD">
              <w:rPr>
                <w:rFonts w:ascii="Times New Roman" w:hAnsi="Times New Roman"/>
                <w:bCs/>
                <w:kern w:val="0"/>
                <w:sz w:val="15"/>
                <w:szCs w:val="15"/>
              </w:rPr>
              <w:t>No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</w:pPr>
            <w:r w:rsidRPr="00A753CD"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>hsCR</w:t>
            </w:r>
            <w:r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>P</w:t>
            </w:r>
            <w:r w:rsidRPr="00A753CD"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 xml:space="preserve"> (mg/L)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hAnsi="Times New Roman"/>
                <w:bCs/>
                <w:color w:val="FF0000"/>
                <w:kern w:val="0"/>
                <w:sz w:val="15"/>
                <w:szCs w:val="15"/>
              </w:rPr>
            </w:pPr>
            <w:r w:rsidRPr="00A753CD">
              <w:rPr>
                <w:rFonts w:ascii="Times New Roman" w:hAnsi="Times New Roman"/>
                <w:kern w:val="0"/>
                <w:sz w:val="15"/>
                <w:szCs w:val="15"/>
              </w:rPr>
              <w:t>&lt; 3.0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hAnsi="Times New Roman"/>
                <w:bCs/>
                <w:color w:val="FF0000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≥ 3.0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</w:pPr>
            <w:r w:rsidRPr="00A753CD"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>p</w:t>
            </w:r>
            <w:r w:rsidRPr="00A753CD"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>P</w:t>
            </w:r>
            <w:r w:rsidRPr="00A753CD">
              <w:rPr>
                <w:rFonts w:ascii="Times New Roman" w:hAnsi="Times New Roman"/>
                <w:b/>
                <w:bCs/>
                <w:kern w:val="0"/>
                <w:sz w:val="15"/>
                <w:szCs w:val="15"/>
              </w:rPr>
              <w:t>LA</w:t>
            </w:r>
            <w:r w:rsidRPr="003657D8">
              <w:rPr>
                <w:rFonts w:ascii="Times New Roman" w:hAnsi="Times New Roman"/>
                <w:b/>
                <w:bCs/>
                <w:kern w:val="0"/>
                <w:sz w:val="15"/>
                <w:szCs w:val="15"/>
                <w:vertAlign w:val="subscript"/>
              </w:rPr>
              <w:t>2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color w:val="FF0000"/>
                <w:kern w:val="0"/>
                <w:sz w:val="15"/>
                <w:szCs w:val="15"/>
              </w:rPr>
            </w:pPr>
            <w:r w:rsidRPr="00A753CD">
              <w:rPr>
                <w:rFonts w:ascii="Times New Roman" w:hAnsi="Times New Roman"/>
                <w:kern w:val="0"/>
                <w:sz w:val="15"/>
                <w:szCs w:val="15"/>
              </w:rPr>
              <w:t>&lt; median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≥ median</w:t>
            </w:r>
          </w:p>
        </w:tc>
        <w:tc>
          <w:tcPr>
            <w:tcW w:w="1305" w:type="pct"/>
          </w:tcPr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8.48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17.05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10.64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15.32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4.49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21.36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17.98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10.24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11.96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13.22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8.39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17.01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11.95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12.20</w:t>
            </w:r>
          </w:p>
        </w:tc>
        <w:tc>
          <w:tcPr>
            <w:tcW w:w="1293" w:type="pct"/>
          </w:tcPr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11.43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20.05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14.17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17.35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5.26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25.73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21.75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12.81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15.16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15.65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9.92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21.13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13.82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16.42</w:t>
            </w:r>
          </w:p>
        </w:tc>
        <w:tc>
          <w:tcPr>
            <w:tcW w:w="949" w:type="pct"/>
          </w:tcPr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0.0563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0.8112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0.1638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0.7009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0.7245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0.6784</w:t>
            </w: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</w:p>
          <w:p w:rsidR="005C029F" w:rsidRPr="00A753CD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A753CD">
              <w:rPr>
                <w:rFonts w:ascii="Times New Roman" w:eastAsia="DengXian" w:hAnsi="Times New Roman"/>
                <w:kern w:val="0"/>
                <w:sz w:val="15"/>
                <w:szCs w:val="15"/>
              </w:rPr>
              <w:t>0.0084</w:t>
            </w:r>
          </w:p>
        </w:tc>
      </w:tr>
    </w:tbl>
    <w:p w:rsidR="005C029F" w:rsidRPr="00A753CD" w:rsidRDefault="005C029F" w:rsidP="005C029F">
      <w:pPr>
        <w:spacing w:line="480" w:lineRule="auto"/>
        <w:rPr>
          <w:rFonts w:ascii="Times New Roman" w:hAnsi="Times New Roman"/>
          <w:sz w:val="15"/>
          <w:szCs w:val="15"/>
        </w:rPr>
      </w:pPr>
      <w:r w:rsidRPr="00A753CD">
        <w:rPr>
          <w:rFonts w:ascii="Times New Roman" w:hAnsi="Times New Roman"/>
          <w:sz w:val="15"/>
          <w:szCs w:val="15"/>
        </w:rPr>
        <w:t xml:space="preserve">Continuous data are </w:t>
      </w:r>
      <w:r>
        <w:rPr>
          <w:rFonts w:ascii="Times New Roman" w:hAnsi="Times New Roman"/>
          <w:sz w:val="15"/>
          <w:szCs w:val="15"/>
        </w:rPr>
        <w:t>p</w:t>
      </w:r>
      <w:r w:rsidRPr="00A753CD">
        <w:rPr>
          <w:rFonts w:ascii="Times New Roman" w:hAnsi="Times New Roman"/>
          <w:sz w:val="15"/>
          <w:szCs w:val="15"/>
        </w:rPr>
        <w:t xml:space="preserve">resented as median (interquartile range, IQR), and categorical variables are </w:t>
      </w:r>
      <w:r>
        <w:rPr>
          <w:rFonts w:ascii="Times New Roman" w:hAnsi="Times New Roman"/>
          <w:sz w:val="15"/>
          <w:szCs w:val="15"/>
        </w:rPr>
        <w:t>p</w:t>
      </w:r>
      <w:r w:rsidRPr="00A753CD">
        <w:rPr>
          <w:rFonts w:ascii="Times New Roman" w:hAnsi="Times New Roman"/>
          <w:sz w:val="15"/>
          <w:szCs w:val="15"/>
        </w:rPr>
        <w:t>resented as %.</w:t>
      </w:r>
    </w:p>
    <w:p w:rsidR="005C029F" w:rsidRDefault="005C029F" w:rsidP="005C029F">
      <w:pPr>
        <w:spacing w:line="480" w:lineRule="auto"/>
        <w:rPr>
          <w:rFonts w:ascii="Times New Roman" w:hAnsi="Times New Roman"/>
          <w:sz w:val="15"/>
          <w:szCs w:val="15"/>
        </w:rPr>
      </w:pPr>
      <w:r w:rsidRPr="00A753CD">
        <w:rPr>
          <w:rFonts w:ascii="Times New Roman" w:hAnsi="Times New Roman"/>
          <w:sz w:val="15"/>
          <w:szCs w:val="15"/>
        </w:rPr>
        <w:t>Abbreviations: NIHSS: National Institutes of Health Stroke Scale; LAA: large artery atherosclerosis; T</w:t>
      </w:r>
      <w:r>
        <w:rPr>
          <w:rFonts w:ascii="Times New Roman" w:hAnsi="Times New Roman"/>
          <w:sz w:val="15"/>
          <w:szCs w:val="15"/>
        </w:rPr>
        <w:t>P</w:t>
      </w:r>
      <w:r w:rsidRPr="00A753CD">
        <w:rPr>
          <w:rFonts w:ascii="Times New Roman" w:hAnsi="Times New Roman"/>
          <w:sz w:val="15"/>
          <w:szCs w:val="15"/>
        </w:rPr>
        <w:t xml:space="preserve">A: tissue </w:t>
      </w:r>
      <w:r>
        <w:rPr>
          <w:rFonts w:ascii="Times New Roman" w:hAnsi="Times New Roman"/>
          <w:sz w:val="15"/>
          <w:szCs w:val="15"/>
        </w:rPr>
        <w:t>p</w:t>
      </w:r>
      <w:r w:rsidRPr="00A753CD">
        <w:rPr>
          <w:rFonts w:ascii="Times New Roman" w:hAnsi="Times New Roman"/>
          <w:sz w:val="15"/>
          <w:szCs w:val="15"/>
        </w:rPr>
        <w:t>lasminogen activator; hsCR</w:t>
      </w:r>
      <w:r>
        <w:rPr>
          <w:rFonts w:ascii="Times New Roman" w:hAnsi="Times New Roman"/>
          <w:sz w:val="15"/>
          <w:szCs w:val="15"/>
        </w:rPr>
        <w:t>P</w:t>
      </w:r>
      <w:r w:rsidRPr="00A753CD">
        <w:rPr>
          <w:rFonts w:ascii="Times New Roman" w:hAnsi="Times New Roman"/>
          <w:sz w:val="15"/>
          <w:szCs w:val="15"/>
        </w:rPr>
        <w:t xml:space="preserve">: high-sensitivity C-reactive </w:t>
      </w:r>
      <w:r>
        <w:rPr>
          <w:rFonts w:ascii="Times New Roman" w:hAnsi="Times New Roman"/>
          <w:sz w:val="15"/>
          <w:szCs w:val="15"/>
        </w:rPr>
        <w:t>p</w:t>
      </w:r>
      <w:r w:rsidRPr="00A753CD">
        <w:rPr>
          <w:rFonts w:ascii="Times New Roman" w:hAnsi="Times New Roman"/>
          <w:sz w:val="15"/>
          <w:szCs w:val="15"/>
        </w:rPr>
        <w:t>rotein; L</w:t>
      </w:r>
      <w:r>
        <w:rPr>
          <w:rFonts w:ascii="Times New Roman" w:hAnsi="Times New Roman"/>
          <w:sz w:val="15"/>
          <w:szCs w:val="15"/>
        </w:rPr>
        <w:t>p</w:t>
      </w:r>
      <w:r w:rsidRPr="00A753CD">
        <w:rPr>
          <w:rFonts w:ascii="Times New Roman" w:hAnsi="Times New Roman"/>
          <w:sz w:val="15"/>
          <w:szCs w:val="15"/>
        </w:rPr>
        <w:t>(a): li</w:t>
      </w:r>
      <w:r>
        <w:rPr>
          <w:rFonts w:ascii="Times New Roman" w:hAnsi="Times New Roman"/>
          <w:sz w:val="15"/>
          <w:szCs w:val="15"/>
        </w:rPr>
        <w:t>p</w:t>
      </w:r>
      <w:r w:rsidRPr="00A753CD">
        <w:rPr>
          <w:rFonts w:ascii="Times New Roman" w:hAnsi="Times New Roman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p</w:t>
      </w:r>
      <w:r w:rsidRPr="00A753CD">
        <w:rPr>
          <w:rFonts w:ascii="Times New Roman" w:hAnsi="Times New Roman"/>
          <w:sz w:val="15"/>
          <w:szCs w:val="15"/>
        </w:rPr>
        <w:t>rotein(a); L</w:t>
      </w:r>
      <w:r>
        <w:rPr>
          <w:rFonts w:ascii="Times New Roman" w:hAnsi="Times New Roman"/>
          <w:sz w:val="15"/>
          <w:szCs w:val="15"/>
        </w:rPr>
        <w:t>p</w:t>
      </w:r>
      <w:r w:rsidRPr="00A753CD">
        <w:rPr>
          <w:rFonts w:ascii="Times New Roman" w:hAnsi="Times New Roman"/>
          <w:sz w:val="15"/>
          <w:szCs w:val="15"/>
        </w:rPr>
        <w:t>-</w:t>
      </w:r>
      <w:r>
        <w:rPr>
          <w:rFonts w:ascii="Times New Roman" w:hAnsi="Times New Roman"/>
          <w:sz w:val="15"/>
          <w:szCs w:val="15"/>
        </w:rPr>
        <w:t>P</w:t>
      </w:r>
      <w:r w:rsidRPr="00A753CD">
        <w:rPr>
          <w:rFonts w:ascii="Times New Roman" w:hAnsi="Times New Roman"/>
          <w:sz w:val="15"/>
          <w:szCs w:val="15"/>
        </w:rPr>
        <w:t>LA</w:t>
      </w:r>
      <w:r w:rsidRPr="00A753CD">
        <w:rPr>
          <w:rFonts w:ascii="Times New Roman" w:hAnsi="Times New Roman"/>
          <w:sz w:val="15"/>
          <w:szCs w:val="15"/>
          <w:vertAlign w:val="subscript"/>
        </w:rPr>
        <w:t>2</w:t>
      </w:r>
      <w:r w:rsidRPr="00A753CD">
        <w:rPr>
          <w:rFonts w:ascii="Times New Roman" w:hAnsi="Times New Roman"/>
          <w:sz w:val="15"/>
          <w:szCs w:val="15"/>
        </w:rPr>
        <w:t>: li</w:t>
      </w:r>
      <w:r>
        <w:rPr>
          <w:rFonts w:ascii="Times New Roman" w:hAnsi="Times New Roman"/>
          <w:sz w:val="15"/>
          <w:szCs w:val="15"/>
        </w:rPr>
        <w:t>p</w:t>
      </w:r>
      <w:r w:rsidRPr="00A753CD">
        <w:rPr>
          <w:rFonts w:ascii="Times New Roman" w:hAnsi="Times New Roman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p</w:t>
      </w:r>
      <w:r w:rsidRPr="00A753CD">
        <w:rPr>
          <w:rFonts w:ascii="Times New Roman" w:hAnsi="Times New Roman"/>
          <w:sz w:val="15"/>
          <w:szCs w:val="15"/>
        </w:rPr>
        <w:t xml:space="preserve">rotein-associated </w:t>
      </w:r>
      <w:r>
        <w:rPr>
          <w:rFonts w:ascii="Times New Roman" w:hAnsi="Times New Roman"/>
          <w:sz w:val="15"/>
          <w:szCs w:val="15"/>
        </w:rPr>
        <w:t>p</w:t>
      </w:r>
      <w:r w:rsidRPr="00A753CD">
        <w:rPr>
          <w:rFonts w:ascii="Times New Roman" w:hAnsi="Times New Roman"/>
          <w:sz w:val="15"/>
          <w:szCs w:val="15"/>
        </w:rPr>
        <w:t>hos</w:t>
      </w:r>
      <w:r>
        <w:rPr>
          <w:rFonts w:ascii="Times New Roman" w:hAnsi="Times New Roman"/>
          <w:sz w:val="15"/>
          <w:szCs w:val="15"/>
        </w:rPr>
        <w:t>p</w:t>
      </w:r>
      <w:r w:rsidRPr="00A753CD">
        <w:rPr>
          <w:rFonts w:ascii="Times New Roman" w:hAnsi="Times New Roman"/>
          <w:sz w:val="15"/>
          <w:szCs w:val="15"/>
        </w:rPr>
        <w:t>holi</w:t>
      </w:r>
      <w:r>
        <w:rPr>
          <w:rFonts w:ascii="Times New Roman" w:hAnsi="Times New Roman"/>
          <w:sz w:val="15"/>
          <w:szCs w:val="15"/>
        </w:rPr>
        <w:t>p</w:t>
      </w:r>
      <w:r w:rsidRPr="00A753CD">
        <w:rPr>
          <w:rFonts w:ascii="Times New Roman" w:hAnsi="Times New Roman"/>
          <w:sz w:val="15"/>
          <w:szCs w:val="15"/>
        </w:rPr>
        <w:t>ase A</w:t>
      </w:r>
      <w:r w:rsidRPr="00A753CD">
        <w:rPr>
          <w:rFonts w:ascii="Times New Roman" w:hAnsi="Times New Roman"/>
          <w:sz w:val="15"/>
          <w:szCs w:val="15"/>
          <w:vertAlign w:val="subscript"/>
        </w:rPr>
        <w:t>2</w:t>
      </w:r>
      <w:r w:rsidRPr="00A753CD">
        <w:rPr>
          <w:rFonts w:ascii="Times New Roman" w:hAnsi="Times New Roman"/>
          <w:sz w:val="15"/>
          <w:szCs w:val="15"/>
        </w:rPr>
        <w:t>.</w:t>
      </w:r>
    </w:p>
    <w:p w:rsidR="005C029F" w:rsidRDefault="005C029F" w:rsidP="005C029F">
      <w:pPr>
        <w:spacing w:line="480" w:lineRule="auto"/>
        <w:rPr>
          <w:rFonts w:ascii="Times New Roman" w:hAnsi="Times New Roman"/>
          <w:sz w:val="15"/>
          <w:szCs w:val="15"/>
        </w:rPr>
      </w:pPr>
    </w:p>
    <w:p w:rsidR="005C029F" w:rsidRDefault="005C029F" w:rsidP="005C029F">
      <w:pPr>
        <w:spacing w:line="480" w:lineRule="auto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</w:t>
      </w:r>
    </w:p>
    <w:p w:rsidR="005C029F" w:rsidRDefault="005C029F" w:rsidP="005C029F">
      <w:pPr>
        <w:spacing w:line="480" w:lineRule="auto"/>
        <w:rPr>
          <w:rFonts w:ascii="Times New Roman" w:hAnsi="Times New Roman"/>
          <w:sz w:val="13"/>
          <w:szCs w:val="13"/>
        </w:rPr>
      </w:pPr>
    </w:p>
    <w:p w:rsidR="005C029F" w:rsidRPr="00B12F62" w:rsidRDefault="005C029F" w:rsidP="005C029F">
      <w:pPr>
        <w:spacing w:line="480" w:lineRule="auto"/>
        <w:rPr>
          <w:rFonts w:ascii="Times New Roman" w:hAnsi="Times New Roman" w:hint="eastAsia"/>
          <w:sz w:val="13"/>
          <w:szCs w:val="13"/>
        </w:rPr>
      </w:pPr>
      <w:bookmarkStart w:id="0" w:name="_GoBack"/>
      <w:bookmarkEnd w:id="0"/>
    </w:p>
    <w:p w:rsidR="005C029F" w:rsidRPr="00925C38" w:rsidRDefault="005C029F" w:rsidP="005C029F">
      <w:pPr>
        <w:spacing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5C3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Table 4. Concurrent assessment of </w:t>
      </w:r>
      <w:r w:rsidRPr="00925C38">
        <w:rPr>
          <w:rFonts w:ascii="Times New Roman" w:eastAsia="DengXian" w:hAnsi="Times New Roman"/>
          <w:b/>
          <w:bCs/>
          <w:kern w:val="0"/>
          <w:sz w:val="24"/>
          <w:szCs w:val="24"/>
        </w:rPr>
        <w:t>L</w:t>
      </w:r>
      <w:r>
        <w:rPr>
          <w:rFonts w:ascii="Times New Roman" w:eastAsia="DengXian" w:hAnsi="Times New Roman"/>
          <w:b/>
          <w:bCs/>
          <w:kern w:val="0"/>
          <w:sz w:val="24"/>
          <w:szCs w:val="24"/>
        </w:rPr>
        <w:t>p</w:t>
      </w:r>
      <w:r w:rsidRPr="00925C38">
        <w:rPr>
          <w:rFonts w:ascii="Times New Roman" w:eastAsia="DengXian" w:hAnsi="Times New Roman"/>
          <w:b/>
          <w:bCs/>
          <w:kern w:val="0"/>
          <w:sz w:val="24"/>
          <w:szCs w:val="24"/>
        </w:rPr>
        <w:t>(a) levels</w:t>
      </w:r>
      <w:r w:rsidRPr="00925C38">
        <w:rPr>
          <w:rFonts w:ascii="Times New Roman" w:hAnsi="Times New Roman"/>
          <w:b/>
          <w:bCs/>
          <w:color w:val="000000"/>
          <w:sz w:val="24"/>
          <w:szCs w:val="24"/>
        </w:rPr>
        <w:t xml:space="preserve"> and 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925C38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925C38">
        <w:rPr>
          <w:rFonts w:ascii="Times New Roman" w:hAnsi="Times New Roman"/>
          <w:b/>
          <w:bCs/>
          <w:color w:val="000000"/>
          <w:sz w:val="24"/>
          <w:szCs w:val="24"/>
        </w:rPr>
        <w:t>LA</w:t>
      </w:r>
      <w:r w:rsidRPr="00925C38"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2</w:t>
      </w:r>
      <w:r w:rsidRPr="00925C38">
        <w:rPr>
          <w:rFonts w:ascii="Times New Roman" w:hAnsi="Times New Roman"/>
          <w:b/>
          <w:bCs/>
          <w:color w:val="000000"/>
          <w:sz w:val="24"/>
          <w:szCs w:val="24"/>
        </w:rPr>
        <w:t xml:space="preserve"> mass on stroke outcomes</w:t>
      </w: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1984"/>
      </w:tblGrid>
      <w:tr w:rsidR="005C029F" w:rsidRPr="00925C38" w:rsidTr="0018197F">
        <w:tc>
          <w:tcPr>
            <w:tcW w:w="2943" w:type="dxa"/>
            <w:vMerge w:val="restart"/>
            <w:shd w:val="clear" w:color="auto" w:fill="auto"/>
          </w:tcPr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925C38">
              <w:rPr>
                <w:rFonts w:ascii="Times New Roman" w:eastAsia="DengXian" w:hAnsi="Times New Roman"/>
                <w:kern w:val="0"/>
                <w:sz w:val="15"/>
                <w:szCs w:val="15"/>
              </w:rPr>
              <w:t>Event rate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925C38">
              <w:rPr>
                <w:rFonts w:ascii="Times New Roman" w:eastAsia="DengXian" w:hAnsi="Times New Roman"/>
                <w:kern w:val="0"/>
                <w:sz w:val="15"/>
                <w:szCs w:val="15"/>
              </w:rPr>
              <w:t>HR (95% confidence interval)</w:t>
            </w:r>
          </w:p>
        </w:tc>
      </w:tr>
      <w:tr w:rsidR="005C029F" w:rsidRPr="00925C38" w:rsidTr="0018197F">
        <w:tc>
          <w:tcPr>
            <w:tcW w:w="2943" w:type="dxa"/>
            <w:vMerge/>
            <w:shd w:val="clear" w:color="auto" w:fill="auto"/>
          </w:tcPr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bCs/>
                <w:color w:val="000000"/>
                <w:kern w:val="0"/>
                <w:sz w:val="15"/>
                <w:szCs w:val="15"/>
              </w:rPr>
              <w:t>mRS≥3 at 3 months</w:t>
            </w:r>
          </w:p>
        </w:tc>
        <w:tc>
          <w:tcPr>
            <w:tcW w:w="1985" w:type="dxa"/>
            <w:shd w:val="clear" w:color="auto" w:fill="auto"/>
          </w:tcPr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Unadjusted</w:t>
            </w:r>
          </w:p>
        </w:tc>
        <w:tc>
          <w:tcPr>
            <w:tcW w:w="1984" w:type="dxa"/>
            <w:shd w:val="clear" w:color="auto" w:fill="auto"/>
          </w:tcPr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Adjusted</w:t>
            </w:r>
          </w:p>
        </w:tc>
      </w:tr>
      <w:tr w:rsidR="005C029F" w:rsidRPr="00925C38" w:rsidTr="0018197F">
        <w:tc>
          <w:tcPr>
            <w:tcW w:w="2943" w:type="dxa"/>
            <w:shd w:val="clear" w:color="auto" w:fill="auto"/>
          </w:tcPr>
          <w:p w:rsidR="005C029F" w:rsidRPr="00925C38" w:rsidRDefault="005C029F" w:rsidP="0018197F">
            <w:pPr>
              <w:spacing w:line="480" w:lineRule="auto"/>
              <w:rPr>
                <w:rFonts w:ascii="Times New Roman" w:eastAsia="DengXian" w:hAnsi="Times New Roman"/>
                <w:b/>
                <w:color w:val="FF0000"/>
                <w:kern w:val="0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p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(a)&lt; median and L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p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P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LA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</w:rPr>
              <w:t>2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&lt;median</w:t>
            </w:r>
          </w:p>
          <w:p w:rsidR="005C029F" w:rsidRPr="00925C38" w:rsidRDefault="005C029F" w:rsidP="0018197F">
            <w:pPr>
              <w:spacing w:line="480" w:lineRule="auto"/>
              <w:rPr>
                <w:rFonts w:ascii="Times New Roman" w:eastAsia="DengXian" w:hAnsi="Times New Roman"/>
                <w:color w:val="FF0000"/>
                <w:kern w:val="0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p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(a)&lt; median and L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p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P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LA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</w:rPr>
              <w:t>2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≥ median</w:t>
            </w:r>
          </w:p>
          <w:p w:rsidR="005C029F" w:rsidRPr="00925C38" w:rsidRDefault="005C029F" w:rsidP="0018197F">
            <w:pPr>
              <w:spacing w:line="480" w:lineRule="auto"/>
              <w:rPr>
                <w:rFonts w:ascii="Times New Roman" w:eastAsia="DengXian" w:hAnsi="Times New Roman"/>
                <w:kern w:val="0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p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(a)</w:t>
            </w:r>
            <w:r w:rsidRPr="00925C38">
              <w:rPr>
                <w:rFonts w:ascii="Times New Roman" w:eastAsia="DengXian" w:hAnsi="Times New Roman"/>
                <w:kern w:val="0"/>
                <w:sz w:val="15"/>
                <w:szCs w:val="15"/>
              </w:rPr>
              <w:t xml:space="preserve">≥median and 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p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P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LA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</w:rPr>
              <w:t>2</w:t>
            </w:r>
            <w:r w:rsidRPr="00925C38">
              <w:rPr>
                <w:rFonts w:ascii="Times New Roman" w:eastAsia="DengXian" w:hAnsi="Times New Roman"/>
                <w:kern w:val="0"/>
                <w:sz w:val="15"/>
                <w:szCs w:val="15"/>
              </w:rPr>
              <w:t>&lt;median</w:t>
            </w:r>
          </w:p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p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(a)≥median and L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p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P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LA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</w:rPr>
              <w:t>2</w:t>
            </w: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≥median</w:t>
            </w:r>
          </w:p>
        </w:tc>
        <w:tc>
          <w:tcPr>
            <w:tcW w:w="2268" w:type="dxa"/>
            <w:shd w:val="clear" w:color="auto" w:fill="auto"/>
          </w:tcPr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11.95</w:t>
            </w:r>
          </w:p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12.20</w:t>
            </w:r>
          </w:p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13.82</w:t>
            </w:r>
          </w:p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16.42</w:t>
            </w:r>
          </w:p>
        </w:tc>
        <w:tc>
          <w:tcPr>
            <w:tcW w:w="1985" w:type="dxa"/>
            <w:shd w:val="clear" w:color="auto" w:fill="auto"/>
          </w:tcPr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Reference</w:t>
            </w:r>
          </w:p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1.02 (0.87-1.21)</w:t>
            </w:r>
          </w:p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1.18 (1.00-1.39)</w:t>
            </w:r>
          </w:p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1.45 (1.24-1.69)</w:t>
            </w:r>
          </w:p>
        </w:tc>
        <w:tc>
          <w:tcPr>
            <w:tcW w:w="1984" w:type="dxa"/>
            <w:shd w:val="clear" w:color="auto" w:fill="auto"/>
          </w:tcPr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Reference</w:t>
            </w:r>
          </w:p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1.03 (0.82-1.29)</w:t>
            </w:r>
          </w:p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1.16 (0.93-1.45)</w:t>
            </w:r>
          </w:p>
          <w:p w:rsidR="005C029F" w:rsidRPr="00925C38" w:rsidRDefault="005C029F" w:rsidP="0018197F">
            <w:pPr>
              <w:spacing w:line="480" w:lineRule="auto"/>
              <w:rPr>
                <w:rFonts w:ascii="Times New Roman" w:hAnsi="Times New Roman"/>
                <w:sz w:val="15"/>
                <w:szCs w:val="15"/>
              </w:rPr>
            </w:pPr>
            <w:r w:rsidRPr="00925C38">
              <w:rPr>
                <w:rFonts w:ascii="Times New Roman" w:hAnsi="Times New Roman"/>
                <w:color w:val="000000"/>
                <w:sz w:val="15"/>
                <w:szCs w:val="15"/>
              </w:rPr>
              <w:t>1.24 (0.99-1.55)</w:t>
            </w:r>
          </w:p>
        </w:tc>
      </w:tr>
    </w:tbl>
    <w:p w:rsidR="005C029F" w:rsidRPr="00925C38" w:rsidRDefault="005C029F" w:rsidP="005C029F">
      <w:pPr>
        <w:spacing w:line="480" w:lineRule="auto"/>
        <w:rPr>
          <w:rFonts w:ascii="Times New Roman" w:hAnsi="Times New Roman"/>
          <w:color w:val="000000"/>
          <w:sz w:val="15"/>
          <w:szCs w:val="15"/>
        </w:rPr>
      </w:pPr>
      <w:r w:rsidRPr="00925C38">
        <w:rPr>
          <w:rFonts w:ascii="Times New Roman" w:hAnsi="Times New Roman"/>
          <w:sz w:val="15"/>
          <w:szCs w:val="15"/>
        </w:rPr>
        <w:t>Adjust for age, BMI, baseline variables including F</w:t>
      </w:r>
      <w:r>
        <w:rPr>
          <w:rFonts w:ascii="Times New Roman" w:hAnsi="Times New Roman"/>
          <w:sz w:val="15"/>
          <w:szCs w:val="15"/>
        </w:rPr>
        <w:t>P</w:t>
      </w:r>
      <w:r w:rsidRPr="00925C38">
        <w:rPr>
          <w:rFonts w:ascii="Times New Roman" w:hAnsi="Times New Roman"/>
          <w:sz w:val="15"/>
          <w:szCs w:val="15"/>
        </w:rPr>
        <w:t>G, LDL-C, HDL-C, TG, hsCR</w:t>
      </w:r>
      <w:r>
        <w:rPr>
          <w:rFonts w:ascii="Times New Roman" w:hAnsi="Times New Roman"/>
          <w:sz w:val="15"/>
          <w:szCs w:val="15"/>
        </w:rPr>
        <w:t>P</w:t>
      </w:r>
      <w:r w:rsidRPr="00925C38">
        <w:rPr>
          <w:rFonts w:ascii="Times New Roman" w:hAnsi="Times New Roman"/>
          <w:sz w:val="15"/>
          <w:szCs w:val="15"/>
        </w:rPr>
        <w:t>, sex, TOAST subty</w:t>
      </w:r>
      <w:r>
        <w:rPr>
          <w:rFonts w:ascii="Times New Roman" w:hAnsi="Times New Roman"/>
          <w:sz w:val="15"/>
          <w:szCs w:val="15"/>
        </w:rPr>
        <w:t>p</w:t>
      </w:r>
      <w:r w:rsidRPr="00925C38">
        <w:rPr>
          <w:rFonts w:ascii="Times New Roman" w:hAnsi="Times New Roman"/>
          <w:sz w:val="15"/>
          <w:szCs w:val="15"/>
        </w:rPr>
        <w:t>e, and NIHSS score at admission.</w:t>
      </w:r>
    </w:p>
    <w:p w:rsidR="00763E8F" w:rsidRDefault="005C029F" w:rsidP="005C029F">
      <w:pPr>
        <w:spacing w:line="480" w:lineRule="auto"/>
      </w:pPr>
      <w:r w:rsidRPr="00925C38">
        <w:rPr>
          <w:rFonts w:ascii="Times New Roman" w:hAnsi="Times New Roman"/>
          <w:sz w:val="15"/>
          <w:szCs w:val="15"/>
        </w:rPr>
        <w:t>Abbreviations: BMI: body mass index; F</w:t>
      </w:r>
      <w:r>
        <w:rPr>
          <w:rFonts w:ascii="Times New Roman" w:hAnsi="Times New Roman"/>
          <w:sz w:val="15"/>
          <w:szCs w:val="15"/>
        </w:rPr>
        <w:t>P</w:t>
      </w:r>
      <w:r w:rsidRPr="00925C38">
        <w:rPr>
          <w:rFonts w:ascii="Times New Roman" w:hAnsi="Times New Roman"/>
          <w:sz w:val="15"/>
          <w:szCs w:val="15"/>
        </w:rPr>
        <w:t xml:space="preserve">G: fasting </w:t>
      </w:r>
      <w:r>
        <w:rPr>
          <w:rFonts w:ascii="Times New Roman" w:hAnsi="Times New Roman"/>
          <w:sz w:val="15"/>
          <w:szCs w:val="15"/>
        </w:rPr>
        <w:t>p</w:t>
      </w:r>
      <w:r w:rsidRPr="00925C38">
        <w:rPr>
          <w:rFonts w:ascii="Times New Roman" w:hAnsi="Times New Roman"/>
          <w:sz w:val="15"/>
          <w:szCs w:val="15"/>
        </w:rPr>
        <w:t>lasma glucose; LDL-C: low-density li</w:t>
      </w:r>
      <w:r>
        <w:rPr>
          <w:rFonts w:ascii="Times New Roman" w:hAnsi="Times New Roman"/>
          <w:sz w:val="15"/>
          <w:szCs w:val="15"/>
        </w:rPr>
        <w:t>p</w:t>
      </w:r>
      <w:r w:rsidRPr="00925C38">
        <w:rPr>
          <w:rFonts w:ascii="Times New Roman" w:hAnsi="Times New Roman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p</w:t>
      </w:r>
      <w:r w:rsidRPr="00925C38">
        <w:rPr>
          <w:rFonts w:ascii="Times New Roman" w:hAnsi="Times New Roman"/>
          <w:sz w:val="15"/>
          <w:szCs w:val="15"/>
        </w:rPr>
        <w:t>rotein cholesterol; HDL-C: high-density li</w:t>
      </w:r>
      <w:r>
        <w:rPr>
          <w:rFonts w:ascii="Times New Roman" w:hAnsi="Times New Roman"/>
          <w:sz w:val="15"/>
          <w:szCs w:val="15"/>
        </w:rPr>
        <w:t>p</w:t>
      </w:r>
      <w:r w:rsidRPr="00925C38">
        <w:rPr>
          <w:rFonts w:ascii="Times New Roman" w:hAnsi="Times New Roman"/>
          <w:sz w:val="15"/>
          <w:szCs w:val="15"/>
        </w:rPr>
        <w:t>o</w:t>
      </w:r>
      <w:r>
        <w:rPr>
          <w:rFonts w:ascii="Times New Roman" w:hAnsi="Times New Roman"/>
          <w:sz w:val="15"/>
          <w:szCs w:val="15"/>
        </w:rPr>
        <w:t>p</w:t>
      </w:r>
      <w:r w:rsidRPr="00925C38">
        <w:rPr>
          <w:rFonts w:ascii="Times New Roman" w:hAnsi="Times New Roman"/>
          <w:sz w:val="15"/>
          <w:szCs w:val="15"/>
        </w:rPr>
        <w:t>rotein cholesterol; TG: triglyceride; hsCR</w:t>
      </w:r>
      <w:r>
        <w:rPr>
          <w:rFonts w:ascii="Times New Roman" w:hAnsi="Times New Roman"/>
          <w:sz w:val="15"/>
          <w:szCs w:val="15"/>
        </w:rPr>
        <w:t>P</w:t>
      </w:r>
      <w:r w:rsidRPr="00925C38">
        <w:rPr>
          <w:rFonts w:ascii="Times New Roman" w:hAnsi="Times New Roman"/>
          <w:sz w:val="15"/>
          <w:szCs w:val="15"/>
        </w:rPr>
        <w:t xml:space="preserve">: high-sensitivity C-reactive </w:t>
      </w:r>
      <w:r>
        <w:rPr>
          <w:rFonts w:ascii="Times New Roman" w:hAnsi="Times New Roman"/>
          <w:sz w:val="15"/>
          <w:szCs w:val="15"/>
        </w:rPr>
        <w:t>p</w:t>
      </w:r>
      <w:r w:rsidRPr="00925C38">
        <w:rPr>
          <w:rFonts w:ascii="Times New Roman" w:hAnsi="Times New Roman"/>
          <w:sz w:val="15"/>
          <w:szCs w:val="15"/>
        </w:rPr>
        <w:t>rotein; NIHS</w:t>
      </w:r>
      <w:r w:rsidRPr="00925C38">
        <w:rPr>
          <w:rFonts w:ascii="Times New Roman" w:hAnsi="Times New Roman"/>
          <w:color w:val="000000"/>
          <w:sz w:val="15"/>
          <w:szCs w:val="15"/>
        </w:rPr>
        <w:t>S: National Institutes of Health Stroke Scale.</w:t>
      </w:r>
      <w:r w:rsidRPr="00B12F62">
        <w:rPr>
          <w:rFonts w:ascii="Times New Roman" w:hAnsi="Times New Roman"/>
          <w:sz w:val="22"/>
        </w:rPr>
        <w:fldChar w:fldCharType="begin"/>
      </w:r>
      <w:r w:rsidRPr="00B12F62">
        <w:rPr>
          <w:rFonts w:ascii="Times New Roman" w:hAnsi="Times New Roman"/>
          <w:sz w:val="22"/>
        </w:rPr>
        <w:instrText xml:space="preserve"> ADDIN </w:instrText>
      </w:r>
      <w:r w:rsidRPr="00B12F62">
        <w:rPr>
          <w:rFonts w:ascii="Times New Roman" w:hAnsi="Times New Roman"/>
          <w:sz w:val="22"/>
        </w:rPr>
        <w:fldChar w:fldCharType="end"/>
      </w:r>
    </w:p>
    <w:sectPr w:rsidR="00763E8F" w:rsidSect="009774FC">
      <w:headerReference w:type="default" r:id="rId4"/>
      <w:footerReference w:type="default" r:id="rId5"/>
      <w:pgSz w:w="11906" w:h="16838"/>
      <w:pgMar w:top="1440" w:right="1440" w:bottom="1440" w:left="1440" w:header="851" w:footer="992" w:gutter="0"/>
      <w:lnNumType w:countBy="1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63" w:rsidRDefault="005C029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5C029F">
      <w:rPr>
        <w:noProof/>
        <w:lang w:val="zh-CN"/>
      </w:rPr>
      <w:t>3</w:t>
    </w:r>
    <w:r>
      <w:fldChar w:fldCharType="end"/>
    </w:r>
  </w:p>
  <w:p w:rsidR="00434D63" w:rsidRDefault="005C029F">
    <w:pPr>
      <w:pStyle w:val="Footer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A7" w:rsidRDefault="005C029F">
    <w:pPr>
      <w:pStyle w:val="Header"/>
      <w:jc w:val="right"/>
    </w:pPr>
  </w:p>
  <w:p w:rsidR="00F44FA7" w:rsidRDefault="005C0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9F"/>
    <w:rsid w:val="003E337D"/>
    <w:rsid w:val="005C029F"/>
    <w:rsid w:val="0076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3146"/>
  <w15:chartTrackingRefBased/>
  <w15:docId w15:val="{BC28193A-4386-4B59-9D4E-FA56D280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9F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C029F"/>
    <w:rPr>
      <w:rFonts w:ascii="Calibri" w:eastAsia="SimSun" w:hAnsi="Calibri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C0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029F"/>
    <w:rPr>
      <w:rFonts w:ascii="Calibri" w:eastAsia="SimSun" w:hAnsi="Calibri" w:cs="Times New Roman"/>
      <w:kern w:val="2"/>
      <w:sz w:val="18"/>
      <w:szCs w:val="18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5C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Hake</dc:creator>
  <cp:keywords/>
  <dc:description/>
  <cp:lastModifiedBy>Bhushan Hake</cp:lastModifiedBy>
  <cp:revision>1</cp:revision>
  <dcterms:created xsi:type="dcterms:W3CDTF">2021-10-01T02:51:00Z</dcterms:created>
  <dcterms:modified xsi:type="dcterms:W3CDTF">2021-10-01T02:52:00Z</dcterms:modified>
</cp:coreProperties>
</file>