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BCFD" w14:textId="77777777" w:rsidR="00404C92" w:rsidRPr="006D177F" w:rsidRDefault="00404C92" w:rsidP="00404C92">
      <w:pPr>
        <w:pStyle w:val="Heading1"/>
        <w:rPr>
          <w:rFonts w:asciiTheme="minorHAnsi" w:hAnsiTheme="minorHAnsi" w:cstheme="minorHAnsi"/>
          <w:szCs w:val="24"/>
        </w:rPr>
      </w:pPr>
      <w:r w:rsidRPr="006D177F">
        <w:rPr>
          <w:rFonts w:asciiTheme="minorHAnsi" w:hAnsiTheme="minorHAnsi" w:cstheme="minorHAnsi"/>
          <w:szCs w:val="24"/>
        </w:rPr>
        <w:t>Supplementary data</w:t>
      </w:r>
    </w:p>
    <w:p w14:paraId="14301DD7" w14:textId="77777777" w:rsidR="00404C92" w:rsidRPr="006D177F" w:rsidRDefault="00404C92" w:rsidP="00404C92">
      <w:pPr>
        <w:pStyle w:val="ListParagraph"/>
        <w:numPr>
          <w:ilvl w:val="0"/>
          <w:numId w:val="2"/>
        </w:numPr>
        <w:spacing w:line="360" w:lineRule="auto"/>
        <w:rPr>
          <w:rFonts w:cs="Arial"/>
          <w:sz w:val="28"/>
        </w:rPr>
      </w:pPr>
      <w:r w:rsidRPr="006D177F">
        <w:rPr>
          <w:rFonts w:cs="Arial"/>
          <w:sz w:val="28"/>
        </w:rPr>
        <w:t>Supplementary tables</w:t>
      </w:r>
    </w:p>
    <w:p w14:paraId="14F5721D" w14:textId="77777777" w:rsidR="00404C92" w:rsidRPr="006D177F" w:rsidRDefault="00404C92" w:rsidP="00404C92">
      <w:pPr>
        <w:pStyle w:val="ListParagraph"/>
        <w:numPr>
          <w:ilvl w:val="0"/>
          <w:numId w:val="2"/>
        </w:numPr>
        <w:spacing w:line="360" w:lineRule="auto"/>
        <w:rPr>
          <w:rFonts w:cs="Arial"/>
          <w:sz w:val="28"/>
        </w:rPr>
      </w:pPr>
      <w:r w:rsidRPr="006D177F">
        <w:rPr>
          <w:rFonts w:cs="Arial"/>
          <w:sz w:val="28"/>
        </w:rPr>
        <w:t>Flow chart for patient inclusion</w:t>
      </w:r>
    </w:p>
    <w:p w14:paraId="27276E12" w14:textId="77777777" w:rsidR="00404C92" w:rsidRPr="006D177F" w:rsidRDefault="00404C92" w:rsidP="00404C92">
      <w:pPr>
        <w:pStyle w:val="ListParagraph"/>
        <w:numPr>
          <w:ilvl w:val="0"/>
          <w:numId w:val="2"/>
        </w:numPr>
        <w:spacing w:line="360" w:lineRule="auto"/>
        <w:rPr>
          <w:rFonts w:cs="Arial"/>
          <w:sz w:val="28"/>
        </w:rPr>
      </w:pPr>
      <w:r w:rsidRPr="006D177F">
        <w:rPr>
          <w:rFonts w:cs="Arial"/>
          <w:sz w:val="28"/>
        </w:rPr>
        <w:t>Missing data</w:t>
      </w:r>
    </w:p>
    <w:p w14:paraId="2EB67079" w14:textId="77777777" w:rsidR="00404C92" w:rsidRPr="006D177F" w:rsidRDefault="00404C92" w:rsidP="00404C92">
      <w:pPr>
        <w:pStyle w:val="ListParagraph"/>
        <w:numPr>
          <w:ilvl w:val="0"/>
          <w:numId w:val="2"/>
        </w:numPr>
        <w:spacing w:line="360" w:lineRule="auto"/>
        <w:rPr>
          <w:rFonts w:cs="Arial"/>
          <w:sz w:val="28"/>
        </w:rPr>
      </w:pPr>
      <w:r w:rsidRPr="006D177F">
        <w:rPr>
          <w:rFonts w:cs="Arial"/>
          <w:sz w:val="28"/>
        </w:rPr>
        <w:t>CVVHF protocol</w:t>
      </w:r>
    </w:p>
    <w:p w14:paraId="280593D2" w14:textId="77777777" w:rsidR="00404C92" w:rsidRDefault="00404C92" w:rsidP="00404C92">
      <w:pPr>
        <w:spacing w:line="240" w:lineRule="auto"/>
        <w:jc w:val="left"/>
        <w:rPr>
          <w:rFonts w:asciiTheme="majorHAnsi" w:eastAsiaTheme="majorEastAsia" w:hAnsiTheme="majorHAnsi" w:cstheme="majorBidi"/>
          <w:color w:val="2F5496" w:themeColor="accent1" w:themeShade="BF"/>
          <w:sz w:val="24"/>
        </w:rPr>
      </w:pPr>
      <w:r>
        <w:rPr>
          <w:sz w:val="24"/>
        </w:rPr>
        <w:br w:type="page"/>
      </w:r>
    </w:p>
    <w:p w14:paraId="7904AC2A" w14:textId="77777777" w:rsidR="00404C92" w:rsidRPr="004A7929" w:rsidRDefault="00404C92" w:rsidP="00404C92">
      <w:pPr>
        <w:pStyle w:val="Heading2"/>
        <w:rPr>
          <w:sz w:val="24"/>
          <w:szCs w:val="24"/>
        </w:rPr>
      </w:pPr>
    </w:p>
    <w:p w14:paraId="434DAF09" w14:textId="77777777" w:rsidR="00404C92" w:rsidRPr="006F065E" w:rsidRDefault="00404C92" w:rsidP="00404C92">
      <w:pPr>
        <w:pStyle w:val="Heading2"/>
        <w:numPr>
          <w:ilvl w:val="0"/>
          <w:numId w:val="3"/>
        </w:numPr>
        <w:rPr>
          <w:sz w:val="32"/>
          <w:szCs w:val="24"/>
        </w:rPr>
      </w:pPr>
      <w:r w:rsidRPr="006F065E">
        <w:rPr>
          <w:sz w:val="32"/>
          <w:szCs w:val="24"/>
        </w:rPr>
        <w:t>Supplementary tables</w:t>
      </w:r>
    </w:p>
    <w:tbl>
      <w:tblPr>
        <w:tblStyle w:val="GridTable4-Accent1"/>
        <w:tblW w:w="9351" w:type="dxa"/>
        <w:tblLook w:val="04A0" w:firstRow="1" w:lastRow="0" w:firstColumn="1" w:lastColumn="0" w:noHBand="0" w:noVBand="1"/>
      </w:tblPr>
      <w:tblGrid>
        <w:gridCol w:w="9351"/>
      </w:tblGrid>
      <w:tr w:rsidR="00404C92" w:rsidRPr="00645A8C" w14:paraId="4B8A4E09" w14:textId="77777777" w:rsidTr="00692CC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351" w:type="dxa"/>
          </w:tcPr>
          <w:p w14:paraId="1640B5C7" w14:textId="77777777" w:rsidR="00404C92" w:rsidRPr="004A7929" w:rsidRDefault="00404C92" w:rsidP="00692CC0">
            <w:pPr>
              <w:pStyle w:val="CommentText"/>
              <w:rPr>
                <w:sz w:val="24"/>
                <w:szCs w:val="24"/>
              </w:rPr>
            </w:pPr>
            <w:r w:rsidRPr="004A7929">
              <w:rPr>
                <w:sz w:val="24"/>
                <w:szCs w:val="24"/>
              </w:rPr>
              <w:t>Other causes of AKI in non-COVID patients</w:t>
            </w:r>
          </w:p>
        </w:tc>
      </w:tr>
      <w:tr w:rsidR="00404C92" w:rsidRPr="00645A8C" w14:paraId="3C2754FC" w14:textId="77777777" w:rsidTr="00692CC0">
        <w:trPr>
          <w:cnfStyle w:val="000000100000" w:firstRow="0" w:lastRow="0" w:firstColumn="0" w:lastColumn="0" w:oddVBand="0" w:evenVBand="0" w:oddHBand="1" w:evenHBand="0" w:firstRowFirstColumn="0" w:firstRowLastColumn="0" w:lastRowFirstColumn="0" w:lastRowLastColumn="0"/>
          <w:trHeight w:val="5856"/>
        </w:trPr>
        <w:tc>
          <w:tcPr>
            <w:cnfStyle w:val="001000000000" w:firstRow="0" w:lastRow="0" w:firstColumn="1" w:lastColumn="0" w:oddVBand="0" w:evenVBand="0" w:oddHBand="0" w:evenHBand="0" w:firstRowFirstColumn="0" w:firstRowLastColumn="0" w:lastRowFirstColumn="0" w:lastRowLastColumn="0"/>
            <w:tcW w:w="9351" w:type="dxa"/>
          </w:tcPr>
          <w:p w14:paraId="13E098B2" w14:textId="77777777" w:rsidR="00404C92" w:rsidRPr="006F065E" w:rsidRDefault="00404C92" w:rsidP="00404C92">
            <w:pPr>
              <w:pStyle w:val="CommentText"/>
              <w:numPr>
                <w:ilvl w:val="0"/>
                <w:numId w:val="1"/>
              </w:numPr>
              <w:spacing w:line="360" w:lineRule="auto"/>
              <w:jc w:val="left"/>
              <w:rPr>
                <w:b w:val="0"/>
                <w:sz w:val="28"/>
                <w:szCs w:val="24"/>
              </w:rPr>
            </w:pPr>
            <w:r w:rsidRPr="006F065E">
              <w:rPr>
                <w:sz w:val="28"/>
                <w:szCs w:val="24"/>
              </w:rPr>
              <w:t>Drug overdose/ poisoning (2)</w:t>
            </w:r>
          </w:p>
          <w:p w14:paraId="2A4EADF2" w14:textId="77777777" w:rsidR="00404C92" w:rsidRPr="006F065E" w:rsidRDefault="00404C92" w:rsidP="00404C92">
            <w:pPr>
              <w:pStyle w:val="CommentText"/>
              <w:numPr>
                <w:ilvl w:val="0"/>
                <w:numId w:val="1"/>
              </w:numPr>
              <w:spacing w:line="360" w:lineRule="auto"/>
              <w:jc w:val="left"/>
              <w:rPr>
                <w:b w:val="0"/>
                <w:sz w:val="28"/>
                <w:szCs w:val="24"/>
              </w:rPr>
            </w:pPr>
            <w:r w:rsidRPr="006F065E">
              <w:rPr>
                <w:sz w:val="28"/>
                <w:szCs w:val="24"/>
              </w:rPr>
              <w:t>Pulmonary oedema secondary to acute cardiac decompensation (2)</w:t>
            </w:r>
          </w:p>
          <w:p w14:paraId="2773E91E" w14:textId="77777777" w:rsidR="00404C92" w:rsidRPr="006F065E" w:rsidRDefault="00404C92" w:rsidP="00404C92">
            <w:pPr>
              <w:pStyle w:val="CommentText"/>
              <w:numPr>
                <w:ilvl w:val="0"/>
                <w:numId w:val="1"/>
              </w:numPr>
              <w:spacing w:line="360" w:lineRule="auto"/>
              <w:jc w:val="left"/>
              <w:rPr>
                <w:b w:val="0"/>
                <w:sz w:val="28"/>
                <w:szCs w:val="24"/>
              </w:rPr>
            </w:pPr>
            <w:r w:rsidRPr="006F065E">
              <w:rPr>
                <w:sz w:val="28"/>
                <w:szCs w:val="24"/>
              </w:rPr>
              <w:t>Hypercalcaemia secondary to haematological malignancy (1)</w:t>
            </w:r>
          </w:p>
          <w:p w14:paraId="24C2F353" w14:textId="77777777" w:rsidR="00404C92" w:rsidRPr="006F065E" w:rsidRDefault="00404C92" w:rsidP="00404C92">
            <w:pPr>
              <w:pStyle w:val="CommentText"/>
              <w:numPr>
                <w:ilvl w:val="0"/>
                <w:numId w:val="1"/>
              </w:numPr>
              <w:spacing w:line="360" w:lineRule="auto"/>
              <w:jc w:val="left"/>
              <w:rPr>
                <w:b w:val="0"/>
                <w:sz w:val="28"/>
                <w:szCs w:val="24"/>
              </w:rPr>
            </w:pPr>
            <w:r w:rsidRPr="006F065E">
              <w:rPr>
                <w:sz w:val="28"/>
                <w:szCs w:val="24"/>
              </w:rPr>
              <w:t>Multi-organ failure secondary to haematological malignancy</w:t>
            </w:r>
            <w:r>
              <w:rPr>
                <w:sz w:val="28"/>
                <w:szCs w:val="24"/>
              </w:rPr>
              <w:t xml:space="preserve">/    </w:t>
            </w:r>
            <w:r w:rsidRPr="006F065E">
              <w:rPr>
                <w:sz w:val="28"/>
                <w:szCs w:val="24"/>
              </w:rPr>
              <w:t xml:space="preserve"> tumour lysis syndrome (2)</w:t>
            </w:r>
          </w:p>
          <w:p w14:paraId="65FD7F4E" w14:textId="77777777" w:rsidR="00404C92" w:rsidRPr="006F065E" w:rsidRDefault="00404C92" w:rsidP="00404C92">
            <w:pPr>
              <w:pStyle w:val="CommentText"/>
              <w:numPr>
                <w:ilvl w:val="0"/>
                <w:numId w:val="1"/>
              </w:numPr>
              <w:spacing w:line="360" w:lineRule="auto"/>
              <w:jc w:val="left"/>
              <w:rPr>
                <w:b w:val="0"/>
                <w:sz w:val="28"/>
                <w:szCs w:val="24"/>
              </w:rPr>
            </w:pPr>
            <w:r w:rsidRPr="006F065E">
              <w:rPr>
                <w:sz w:val="28"/>
                <w:szCs w:val="24"/>
              </w:rPr>
              <w:t>Severe malaria (1)</w:t>
            </w:r>
          </w:p>
          <w:p w14:paraId="4909D077" w14:textId="77777777" w:rsidR="00404C92" w:rsidRPr="006F065E" w:rsidRDefault="00404C92" w:rsidP="00404C92">
            <w:pPr>
              <w:pStyle w:val="CommentText"/>
              <w:numPr>
                <w:ilvl w:val="0"/>
                <w:numId w:val="1"/>
              </w:numPr>
              <w:spacing w:line="360" w:lineRule="auto"/>
              <w:jc w:val="left"/>
              <w:rPr>
                <w:b w:val="0"/>
                <w:sz w:val="28"/>
                <w:szCs w:val="24"/>
              </w:rPr>
            </w:pPr>
            <w:r w:rsidRPr="006F065E">
              <w:rPr>
                <w:sz w:val="28"/>
                <w:szCs w:val="24"/>
              </w:rPr>
              <w:t>Pre-chemo filtration to reduce risk of tumour lysis syndrome (1)</w:t>
            </w:r>
          </w:p>
          <w:p w14:paraId="188F4C1C" w14:textId="77777777" w:rsidR="00404C92" w:rsidRPr="006F065E" w:rsidRDefault="00404C92" w:rsidP="00404C92">
            <w:pPr>
              <w:pStyle w:val="ListParagraph"/>
              <w:numPr>
                <w:ilvl w:val="0"/>
                <w:numId w:val="1"/>
              </w:numPr>
              <w:spacing w:line="360" w:lineRule="auto"/>
              <w:jc w:val="left"/>
              <w:rPr>
                <w:b w:val="0"/>
                <w:sz w:val="28"/>
              </w:rPr>
            </w:pPr>
            <w:r w:rsidRPr="006F065E">
              <w:rPr>
                <w:sz w:val="28"/>
              </w:rPr>
              <w:t>Contrast nephropathy on background chronic kidney disease (1)</w:t>
            </w:r>
          </w:p>
          <w:p w14:paraId="4C6790B5" w14:textId="77777777" w:rsidR="00404C92" w:rsidRPr="004A7929" w:rsidRDefault="00404C92" w:rsidP="00404C92">
            <w:pPr>
              <w:pStyle w:val="ListParagraph"/>
              <w:numPr>
                <w:ilvl w:val="0"/>
                <w:numId w:val="1"/>
              </w:numPr>
              <w:spacing w:line="360" w:lineRule="auto"/>
              <w:jc w:val="left"/>
              <w:rPr>
                <w:b w:val="0"/>
                <w:sz w:val="24"/>
              </w:rPr>
            </w:pPr>
            <w:r w:rsidRPr="006F065E">
              <w:rPr>
                <w:sz w:val="28"/>
              </w:rPr>
              <w:t>Rhabdomyolysis secondary to crush injury (1</w:t>
            </w:r>
            <w:r w:rsidRPr="004A7929">
              <w:rPr>
                <w:sz w:val="24"/>
              </w:rPr>
              <w:t>)</w:t>
            </w:r>
          </w:p>
        </w:tc>
      </w:tr>
    </w:tbl>
    <w:p w14:paraId="4BF40A3C" w14:textId="77777777" w:rsidR="00404C92" w:rsidRPr="004A7929" w:rsidRDefault="00404C92" w:rsidP="00404C92">
      <w:pPr>
        <w:spacing w:line="360" w:lineRule="auto"/>
        <w:rPr>
          <w:sz w:val="24"/>
        </w:rPr>
      </w:pPr>
    </w:p>
    <w:p w14:paraId="6C396C99" w14:textId="77777777" w:rsidR="00404C92" w:rsidRDefault="00404C92" w:rsidP="00404C92">
      <w:pPr>
        <w:spacing w:line="240" w:lineRule="auto"/>
        <w:jc w:val="left"/>
        <w:rPr>
          <w:sz w:val="24"/>
        </w:rPr>
      </w:pPr>
      <w:r>
        <w:rPr>
          <w:sz w:val="24"/>
        </w:rPr>
        <w:br w:type="page"/>
      </w:r>
    </w:p>
    <w:p w14:paraId="72080A63" w14:textId="77777777" w:rsidR="00404C92" w:rsidRPr="004A7929" w:rsidRDefault="00404C92" w:rsidP="00404C92">
      <w:pPr>
        <w:spacing w:line="360" w:lineRule="auto"/>
        <w:rPr>
          <w:sz w:val="24"/>
        </w:rPr>
      </w:pPr>
      <w:r w:rsidRPr="004A7929">
        <w:rPr>
          <w:sz w:val="24"/>
        </w:rPr>
        <w:lastRenderedPageBreak/>
        <w:t>Supplementary Table 1: Other causes of AKI on non-COVID patients</w:t>
      </w:r>
    </w:p>
    <w:p w14:paraId="39836BE1" w14:textId="77777777" w:rsidR="00404C92" w:rsidRPr="004A7929" w:rsidRDefault="00404C92" w:rsidP="00404C92">
      <w:pPr>
        <w:spacing w:line="360" w:lineRule="auto"/>
        <w:rPr>
          <w:sz w:val="24"/>
        </w:rPr>
      </w:pPr>
    </w:p>
    <w:tbl>
      <w:tblPr>
        <w:tblStyle w:val="GridTable4-Accent1"/>
        <w:tblW w:w="10064" w:type="dxa"/>
        <w:tblInd w:w="-5" w:type="dxa"/>
        <w:tblLook w:val="04A0" w:firstRow="1" w:lastRow="0" w:firstColumn="1" w:lastColumn="0" w:noHBand="0" w:noVBand="1"/>
      </w:tblPr>
      <w:tblGrid>
        <w:gridCol w:w="3686"/>
        <w:gridCol w:w="2551"/>
        <w:gridCol w:w="2410"/>
        <w:gridCol w:w="1417"/>
      </w:tblGrid>
      <w:tr w:rsidR="00404C92" w:rsidRPr="00645A8C" w14:paraId="691C3BD2" w14:textId="77777777" w:rsidTr="00692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1CE7095" w14:textId="77777777" w:rsidR="00404C92" w:rsidRPr="004A7929" w:rsidRDefault="00404C92" w:rsidP="00692CC0">
            <w:pPr>
              <w:rPr>
                <w:sz w:val="24"/>
              </w:rPr>
            </w:pPr>
            <w:r w:rsidRPr="004A7929">
              <w:rPr>
                <w:sz w:val="24"/>
              </w:rPr>
              <w:t>Initiation of RRT</w:t>
            </w:r>
          </w:p>
        </w:tc>
        <w:tc>
          <w:tcPr>
            <w:tcW w:w="2551" w:type="dxa"/>
          </w:tcPr>
          <w:p w14:paraId="67C1AF6F" w14:textId="77777777" w:rsidR="00404C92" w:rsidRPr="004A7929" w:rsidRDefault="00404C92" w:rsidP="00692CC0">
            <w:pPr>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Non-COVID</w:t>
            </w:r>
          </w:p>
        </w:tc>
        <w:tc>
          <w:tcPr>
            <w:tcW w:w="2410" w:type="dxa"/>
          </w:tcPr>
          <w:p w14:paraId="0C743515" w14:textId="77777777" w:rsidR="00404C92" w:rsidRPr="004A7929" w:rsidRDefault="00404C92" w:rsidP="00692CC0">
            <w:pPr>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COVID-19</w:t>
            </w:r>
          </w:p>
        </w:tc>
        <w:tc>
          <w:tcPr>
            <w:tcW w:w="1417" w:type="dxa"/>
          </w:tcPr>
          <w:p w14:paraId="6125257E" w14:textId="77777777" w:rsidR="00404C92" w:rsidRPr="004A7929" w:rsidRDefault="00404C92" w:rsidP="00692CC0">
            <w:pPr>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p-value</w:t>
            </w:r>
          </w:p>
        </w:tc>
      </w:tr>
      <w:tr w:rsidR="00404C92" w:rsidRPr="00645A8C" w14:paraId="76047C3A"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B2FDA73" w14:textId="77777777" w:rsidR="00404C92" w:rsidRPr="004A7929" w:rsidRDefault="00404C92" w:rsidP="00692CC0">
            <w:pPr>
              <w:rPr>
                <w:b w:val="0"/>
                <w:sz w:val="24"/>
              </w:rPr>
            </w:pPr>
            <w:r w:rsidRPr="004A7929">
              <w:rPr>
                <w:sz w:val="24"/>
              </w:rPr>
              <w:t>Cumulative fluid balance (mL)</w:t>
            </w:r>
          </w:p>
        </w:tc>
        <w:tc>
          <w:tcPr>
            <w:tcW w:w="2551" w:type="dxa"/>
          </w:tcPr>
          <w:p w14:paraId="75DC74F2"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3236 (1061-6705)</w:t>
            </w:r>
          </w:p>
        </w:tc>
        <w:tc>
          <w:tcPr>
            <w:tcW w:w="2410" w:type="dxa"/>
          </w:tcPr>
          <w:p w14:paraId="257F5BD5"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4779 (2516-7864)</w:t>
            </w:r>
          </w:p>
        </w:tc>
        <w:tc>
          <w:tcPr>
            <w:tcW w:w="1417" w:type="dxa"/>
          </w:tcPr>
          <w:p w14:paraId="21F2ADDB"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0.3</w:t>
            </w:r>
            <w:r>
              <w:rPr>
                <w:sz w:val="24"/>
              </w:rPr>
              <w:t>01</w:t>
            </w:r>
          </w:p>
        </w:tc>
      </w:tr>
      <w:tr w:rsidR="00404C92" w:rsidRPr="00645A8C" w14:paraId="03DB42D7" w14:textId="77777777" w:rsidTr="00692CC0">
        <w:tc>
          <w:tcPr>
            <w:cnfStyle w:val="001000000000" w:firstRow="0" w:lastRow="0" w:firstColumn="1" w:lastColumn="0" w:oddVBand="0" w:evenVBand="0" w:oddHBand="0" w:evenHBand="0" w:firstRowFirstColumn="0" w:firstRowLastColumn="0" w:lastRowFirstColumn="0" w:lastRowLastColumn="0"/>
            <w:tcW w:w="3686" w:type="dxa"/>
          </w:tcPr>
          <w:p w14:paraId="251EBCD3" w14:textId="77777777" w:rsidR="00404C92" w:rsidRPr="004A7929" w:rsidRDefault="00404C92" w:rsidP="00692CC0">
            <w:pPr>
              <w:rPr>
                <w:b w:val="0"/>
                <w:sz w:val="24"/>
              </w:rPr>
            </w:pPr>
            <w:r w:rsidRPr="004A7929">
              <w:rPr>
                <w:sz w:val="24"/>
              </w:rPr>
              <w:t>24hr urine output (mL/24hr)</w:t>
            </w:r>
          </w:p>
        </w:tc>
        <w:tc>
          <w:tcPr>
            <w:tcW w:w="2551" w:type="dxa"/>
          </w:tcPr>
          <w:p w14:paraId="273EB8F4"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511 (170 – 1024)</w:t>
            </w:r>
          </w:p>
        </w:tc>
        <w:tc>
          <w:tcPr>
            <w:tcW w:w="2410" w:type="dxa"/>
          </w:tcPr>
          <w:p w14:paraId="2C4A3B5D"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407 (252 – 945)</w:t>
            </w:r>
          </w:p>
        </w:tc>
        <w:tc>
          <w:tcPr>
            <w:tcW w:w="1417" w:type="dxa"/>
          </w:tcPr>
          <w:p w14:paraId="36D426A4"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0.347</w:t>
            </w:r>
          </w:p>
        </w:tc>
      </w:tr>
      <w:tr w:rsidR="00404C92" w:rsidRPr="00645A8C" w14:paraId="7C3A6AF3"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D9FDCBE" w14:textId="77777777" w:rsidR="00404C92" w:rsidRPr="004A7929" w:rsidRDefault="00404C92" w:rsidP="00692CC0">
            <w:pPr>
              <w:rPr>
                <w:b w:val="0"/>
                <w:sz w:val="24"/>
              </w:rPr>
            </w:pPr>
            <w:r w:rsidRPr="004A7929">
              <w:rPr>
                <w:sz w:val="24"/>
              </w:rPr>
              <w:t>pH</w:t>
            </w:r>
          </w:p>
        </w:tc>
        <w:tc>
          <w:tcPr>
            <w:tcW w:w="2551" w:type="dxa"/>
          </w:tcPr>
          <w:p w14:paraId="48E42610"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7.23 (7.18 – 7.33)</w:t>
            </w:r>
          </w:p>
        </w:tc>
        <w:tc>
          <w:tcPr>
            <w:tcW w:w="2410" w:type="dxa"/>
          </w:tcPr>
          <w:p w14:paraId="739500C3"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7.20 (7.11 – 7.27)</w:t>
            </w:r>
          </w:p>
        </w:tc>
        <w:tc>
          <w:tcPr>
            <w:tcW w:w="1417" w:type="dxa"/>
          </w:tcPr>
          <w:p w14:paraId="364B2796"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0.115</w:t>
            </w:r>
          </w:p>
        </w:tc>
      </w:tr>
      <w:tr w:rsidR="00404C92" w:rsidRPr="00645A8C" w14:paraId="0FBDCC8E" w14:textId="77777777" w:rsidTr="00692CC0">
        <w:tc>
          <w:tcPr>
            <w:cnfStyle w:val="001000000000" w:firstRow="0" w:lastRow="0" w:firstColumn="1" w:lastColumn="0" w:oddVBand="0" w:evenVBand="0" w:oddHBand="0" w:evenHBand="0" w:firstRowFirstColumn="0" w:firstRowLastColumn="0" w:lastRowFirstColumn="0" w:lastRowLastColumn="0"/>
            <w:tcW w:w="3686" w:type="dxa"/>
          </w:tcPr>
          <w:p w14:paraId="6825D4BA" w14:textId="77777777" w:rsidR="00404C92" w:rsidRPr="004A7929" w:rsidRDefault="00404C92" w:rsidP="00692CC0">
            <w:pPr>
              <w:rPr>
                <w:b w:val="0"/>
                <w:sz w:val="24"/>
              </w:rPr>
            </w:pPr>
            <w:r w:rsidRPr="004A7929">
              <w:rPr>
                <w:sz w:val="24"/>
              </w:rPr>
              <w:t>Base excess (mmol/L)</w:t>
            </w:r>
          </w:p>
        </w:tc>
        <w:tc>
          <w:tcPr>
            <w:tcW w:w="2551" w:type="dxa"/>
          </w:tcPr>
          <w:p w14:paraId="0E5EC581"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-10.2 (-15.4 - -5.3)</w:t>
            </w:r>
          </w:p>
        </w:tc>
        <w:tc>
          <w:tcPr>
            <w:tcW w:w="2410" w:type="dxa"/>
          </w:tcPr>
          <w:p w14:paraId="64CBA8D9"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-2.3 (-6.4 – 1.3)</w:t>
            </w:r>
          </w:p>
        </w:tc>
        <w:tc>
          <w:tcPr>
            <w:tcW w:w="1417" w:type="dxa"/>
          </w:tcPr>
          <w:p w14:paraId="74197581"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&lt;0.001</w:t>
            </w:r>
          </w:p>
        </w:tc>
      </w:tr>
      <w:tr w:rsidR="00404C92" w:rsidRPr="00645A8C" w14:paraId="1BAF4169"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F5D0C45" w14:textId="77777777" w:rsidR="00404C92" w:rsidRPr="004A7929" w:rsidRDefault="00404C92" w:rsidP="00692CC0">
            <w:pPr>
              <w:rPr>
                <w:b w:val="0"/>
                <w:sz w:val="24"/>
              </w:rPr>
            </w:pPr>
            <w:r w:rsidRPr="004A7929">
              <w:rPr>
                <w:sz w:val="24"/>
              </w:rPr>
              <w:t>Lactate (mmol/L)</w:t>
            </w:r>
          </w:p>
        </w:tc>
        <w:tc>
          <w:tcPr>
            <w:tcW w:w="2551" w:type="dxa"/>
          </w:tcPr>
          <w:p w14:paraId="2FACA51C"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5.15 (2.15 – 7.90)</w:t>
            </w:r>
          </w:p>
        </w:tc>
        <w:tc>
          <w:tcPr>
            <w:tcW w:w="2410" w:type="dxa"/>
          </w:tcPr>
          <w:p w14:paraId="0D46E856"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1.0 (0.7 – 1.6)</w:t>
            </w:r>
          </w:p>
        </w:tc>
        <w:tc>
          <w:tcPr>
            <w:tcW w:w="1417" w:type="dxa"/>
          </w:tcPr>
          <w:p w14:paraId="744BD174"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r>
      <w:tr w:rsidR="00404C92" w:rsidRPr="00645A8C" w14:paraId="6F11443E" w14:textId="77777777" w:rsidTr="00692CC0">
        <w:tc>
          <w:tcPr>
            <w:cnfStyle w:val="001000000000" w:firstRow="0" w:lastRow="0" w:firstColumn="1" w:lastColumn="0" w:oddVBand="0" w:evenVBand="0" w:oddHBand="0" w:evenHBand="0" w:firstRowFirstColumn="0" w:firstRowLastColumn="0" w:lastRowFirstColumn="0" w:lastRowLastColumn="0"/>
            <w:tcW w:w="3686" w:type="dxa"/>
          </w:tcPr>
          <w:p w14:paraId="2D6D0CC6" w14:textId="77777777" w:rsidR="00404C92" w:rsidRPr="004A7929" w:rsidRDefault="00404C92" w:rsidP="00692CC0">
            <w:pPr>
              <w:rPr>
                <w:b w:val="0"/>
                <w:sz w:val="24"/>
              </w:rPr>
            </w:pPr>
            <w:r w:rsidRPr="004A7929">
              <w:rPr>
                <w:sz w:val="24"/>
              </w:rPr>
              <w:t>Potassium (mmol/L)</w:t>
            </w:r>
          </w:p>
        </w:tc>
        <w:tc>
          <w:tcPr>
            <w:tcW w:w="2551" w:type="dxa"/>
          </w:tcPr>
          <w:p w14:paraId="4B8FC12D"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5.0 (4.6- 5.7)</w:t>
            </w:r>
          </w:p>
        </w:tc>
        <w:tc>
          <w:tcPr>
            <w:tcW w:w="2410" w:type="dxa"/>
          </w:tcPr>
          <w:p w14:paraId="64F2AC7E"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5.5 (4.9-6.1)</w:t>
            </w:r>
          </w:p>
        </w:tc>
        <w:tc>
          <w:tcPr>
            <w:tcW w:w="1417" w:type="dxa"/>
          </w:tcPr>
          <w:p w14:paraId="4CD0531C"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0.835</w:t>
            </w:r>
          </w:p>
        </w:tc>
      </w:tr>
      <w:tr w:rsidR="00404C92" w:rsidRPr="00645A8C" w14:paraId="4CAE3F01"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473EE05" w14:textId="77777777" w:rsidR="00404C92" w:rsidRPr="004A7929" w:rsidRDefault="00404C92" w:rsidP="00692CC0">
            <w:pPr>
              <w:rPr>
                <w:b w:val="0"/>
                <w:sz w:val="24"/>
              </w:rPr>
            </w:pPr>
            <w:r w:rsidRPr="004A7929">
              <w:rPr>
                <w:sz w:val="24"/>
              </w:rPr>
              <w:t>Creatinine (</w:t>
            </w:r>
            <w:r w:rsidRPr="004A7929">
              <w:rPr>
                <w:rFonts w:ascii="Symbol" w:hAnsi="Symbol"/>
                <w:sz w:val="24"/>
              </w:rPr>
              <w:t></w:t>
            </w:r>
            <w:r w:rsidRPr="004A7929">
              <w:rPr>
                <w:sz w:val="24"/>
              </w:rPr>
              <w:t>mol/L)</w:t>
            </w:r>
          </w:p>
        </w:tc>
        <w:tc>
          <w:tcPr>
            <w:tcW w:w="2551" w:type="dxa"/>
          </w:tcPr>
          <w:p w14:paraId="6E7EF414"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288 (162 – 342)</w:t>
            </w:r>
          </w:p>
        </w:tc>
        <w:tc>
          <w:tcPr>
            <w:tcW w:w="2410" w:type="dxa"/>
          </w:tcPr>
          <w:p w14:paraId="1766A14C"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318 (205 – 408)</w:t>
            </w:r>
          </w:p>
        </w:tc>
        <w:tc>
          <w:tcPr>
            <w:tcW w:w="1417" w:type="dxa"/>
          </w:tcPr>
          <w:p w14:paraId="5746A82A"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0.282</w:t>
            </w:r>
          </w:p>
        </w:tc>
      </w:tr>
      <w:tr w:rsidR="00404C92" w:rsidRPr="00645A8C" w14:paraId="5B3087CA" w14:textId="77777777" w:rsidTr="00692CC0">
        <w:tc>
          <w:tcPr>
            <w:cnfStyle w:val="001000000000" w:firstRow="0" w:lastRow="0" w:firstColumn="1" w:lastColumn="0" w:oddVBand="0" w:evenVBand="0" w:oddHBand="0" w:evenHBand="0" w:firstRowFirstColumn="0" w:firstRowLastColumn="0" w:lastRowFirstColumn="0" w:lastRowLastColumn="0"/>
            <w:tcW w:w="3686" w:type="dxa"/>
          </w:tcPr>
          <w:p w14:paraId="53B3EAD8" w14:textId="77777777" w:rsidR="00404C92" w:rsidRPr="004A7929" w:rsidRDefault="00404C92" w:rsidP="00692CC0">
            <w:pPr>
              <w:rPr>
                <w:b w:val="0"/>
                <w:sz w:val="24"/>
              </w:rPr>
            </w:pPr>
            <w:r w:rsidRPr="004A7929">
              <w:rPr>
                <w:sz w:val="24"/>
              </w:rPr>
              <w:t>Urea (mmol/L)</w:t>
            </w:r>
          </w:p>
        </w:tc>
        <w:tc>
          <w:tcPr>
            <w:tcW w:w="2551" w:type="dxa"/>
          </w:tcPr>
          <w:p w14:paraId="3845465F"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18.8 (12.8 – 29.2)</w:t>
            </w:r>
          </w:p>
        </w:tc>
        <w:tc>
          <w:tcPr>
            <w:tcW w:w="2410" w:type="dxa"/>
          </w:tcPr>
          <w:p w14:paraId="54A9858C"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22.6 (17.0 – 34.4)</w:t>
            </w:r>
          </w:p>
        </w:tc>
        <w:tc>
          <w:tcPr>
            <w:tcW w:w="1417" w:type="dxa"/>
          </w:tcPr>
          <w:p w14:paraId="0675404D"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0.075</w:t>
            </w:r>
          </w:p>
        </w:tc>
      </w:tr>
      <w:tr w:rsidR="00404C92" w:rsidRPr="00645A8C" w14:paraId="51F10773"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D6249A" w14:textId="77777777" w:rsidR="00404C92" w:rsidRPr="004A7929" w:rsidRDefault="00404C92" w:rsidP="00692CC0">
            <w:pPr>
              <w:rPr>
                <w:color w:val="FF0000"/>
                <w:sz w:val="24"/>
              </w:rPr>
            </w:pPr>
            <w:r w:rsidRPr="004A7929">
              <w:rPr>
                <w:sz w:val="24"/>
              </w:rPr>
              <w:t>PaO</w:t>
            </w:r>
            <w:r w:rsidRPr="004A7929">
              <w:rPr>
                <w:sz w:val="24"/>
                <w:vertAlign w:val="subscript"/>
              </w:rPr>
              <w:t>2</w:t>
            </w:r>
            <w:r w:rsidRPr="004A7929">
              <w:rPr>
                <w:sz w:val="24"/>
              </w:rPr>
              <w:t>: FiO</w:t>
            </w:r>
            <w:r w:rsidRPr="004A7929">
              <w:rPr>
                <w:sz w:val="24"/>
                <w:vertAlign w:val="subscript"/>
              </w:rPr>
              <w:t>2</w:t>
            </w:r>
            <w:r w:rsidRPr="004A7929">
              <w:rPr>
                <w:sz w:val="24"/>
              </w:rPr>
              <w:t xml:space="preserve"> Ratio (mmHg)</w:t>
            </w:r>
          </w:p>
        </w:tc>
        <w:tc>
          <w:tcPr>
            <w:tcW w:w="2551" w:type="dxa"/>
          </w:tcPr>
          <w:p w14:paraId="05470815"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195 (150-323)</w:t>
            </w:r>
          </w:p>
        </w:tc>
        <w:tc>
          <w:tcPr>
            <w:tcW w:w="2410" w:type="dxa"/>
          </w:tcPr>
          <w:p w14:paraId="110DC2E8"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128 (83-173)</w:t>
            </w:r>
          </w:p>
        </w:tc>
        <w:tc>
          <w:tcPr>
            <w:tcW w:w="1417" w:type="dxa"/>
          </w:tcPr>
          <w:p w14:paraId="57FAF760"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r>
      <w:tr w:rsidR="00404C92" w:rsidRPr="00645A8C" w14:paraId="68A64F84" w14:textId="77777777" w:rsidTr="00692CC0">
        <w:tc>
          <w:tcPr>
            <w:cnfStyle w:val="001000000000" w:firstRow="0" w:lastRow="0" w:firstColumn="1" w:lastColumn="0" w:oddVBand="0" w:evenVBand="0" w:oddHBand="0" w:evenHBand="0" w:firstRowFirstColumn="0" w:firstRowLastColumn="0" w:lastRowFirstColumn="0" w:lastRowLastColumn="0"/>
            <w:tcW w:w="3686" w:type="dxa"/>
          </w:tcPr>
          <w:p w14:paraId="26B79DFF" w14:textId="77777777" w:rsidR="00404C92" w:rsidRPr="004A7929" w:rsidRDefault="00404C92" w:rsidP="00692CC0">
            <w:pPr>
              <w:rPr>
                <w:sz w:val="24"/>
              </w:rPr>
            </w:pPr>
            <w:r w:rsidRPr="004A7929">
              <w:rPr>
                <w:sz w:val="24"/>
              </w:rPr>
              <w:t>Bicarbonate (mmol/L)</w:t>
            </w:r>
          </w:p>
        </w:tc>
        <w:tc>
          <w:tcPr>
            <w:tcW w:w="2551" w:type="dxa"/>
          </w:tcPr>
          <w:p w14:paraId="6D350398"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18 (14 – 21)</w:t>
            </w:r>
          </w:p>
        </w:tc>
        <w:tc>
          <w:tcPr>
            <w:tcW w:w="2410" w:type="dxa"/>
          </w:tcPr>
          <w:p w14:paraId="25D7D4C2"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21 (18- 25)</w:t>
            </w:r>
          </w:p>
        </w:tc>
        <w:tc>
          <w:tcPr>
            <w:tcW w:w="1417" w:type="dxa"/>
          </w:tcPr>
          <w:p w14:paraId="6409D7BD" w14:textId="77777777" w:rsidR="00404C92" w:rsidRPr="004A7929" w:rsidRDefault="00404C92" w:rsidP="00692CC0">
            <w:pPr>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0.009</w:t>
            </w:r>
          </w:p>
        </w:tc>
      </w:tr>
      <w:tr w:rsidR="00404C92" w:rsidRPr="00645A8C" w14:paraId="378C1D7F"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F455D55" w14:textId="77777777" w:rsidR="00404C92" w:rsidRPr="004A7929" w:rsidRDefault="00404C92" w:rsidP="00692CC0">
            <w:pPr>
              <w:rPr>
                <w:sz w:val="24"/>
              </w:rPr>
            </w:pPr>
            <w:r w:rsidRPr="004A7929">
              <w:rPr>
                <w:sz w:val="24"/>
              </w:rPr>
              <w:t>PaCO</w:t>
            </w:r>
            <w:r w:rsidRPr="004A7929">
              <w:rPr>
                <w:sz w:val="24"/>
                <w:vertAlign w:val="subscript"/>
              </w:rPr>
              <w:t>2</w:t>
            </w:r>
            <w:r w:rsidRPr="004A7929">
              <w:rPr>
                <w:sz w:val="24"/>
              </w:rPr>
              <w:t xml:space="preserve"> (mmHg)</w:t>
            </w:r>
          </w:p>
        </w:tc>
        <w:tc>
          <w:tcPr>
            <w:tcW w:w="2551" w:type="dxa"/>
          </w:tcPr>
          <w:p w14:paraId="331A72AD"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41 (30 – 52)</w:t>
            </w:r>
          </w:p>
        </w:tc>
        <w:tc>
          <w:tcPr>
            <w:tcW w:w="2410" w:type="dxa"/>
          </w:tcPr>
          <w:p w14:paraId="18AE26CD"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65 (55 – 80)</w:t>
            </w:r>
          </w:p>
        </w:tc>
        <w:tc>
          <w:tcPr>
            <w:tcW w:w="1417" w:type="dxa"/>
          </w:tcPr>
          <w:p w14:paraId="6C1332AE" w14:textId="77777777" w:rsidR="00404C92" w:rsidRPr="004A7929" w:rsidRDefault="00404C92" w:rsidP="00692CC0">
            <w:pPr>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r>
    </w:tbl>
    <w:p w14:paraId="1554545A" w14:textId="77777777" w:rsidR="00404C92" w:rsidRPr="004A7929" w:rsidRDefault="00404C92" w:rsidP="00404C92">
      <w:pPr>
        <w:spacing w:line="360" w:lineRule="auto"/>
        <w:rPr>
          <w:sz w:val="24"/>
        </w:rPr>
      </w:pPr>
    </w:p>
    <w:p w14:paraId="5F34B18C" w14:textId="77777777" w:rsidR="00404C92" w:rsidRPr="004A7929" w:rsidRDefault="00404C92" w:rsidP="00404C92">
      <w:pPr>
        <w:spacing w:line="360" w:lineRule="auto"/>
        <w:rPr>
          <w:sz w:val="24"/>
        </w:rPr>
      </w:pPr>
      <w:r w:rsidRPr="004A7929">
        <w:rPr>
          <w:sz w:val="24"/>
        </w:rPr>
        <w:t>Supplementary Table 2: Biochemical variables on initiation of RRT</w:t>
      </w:r>
    </w:p>
    <w:p w14:paraId="038C3230" w14:textId="77777777" w:rsidR="00404C92" w:rsidRPr="004A7929" w:rsidRDefault="00404C92" w:rsidP="00404C92">
      <w:pPr>
        <w:spacing w:line="360" w:lineRule="auto"/>
        <w:rPr>
          <w:sz w:val="24"/>
        </w:rPr>
      </w:pPr>
    </w:p>
    <w:p w14:paraId="346E0540" w14:textId="77777777" w:rsidR="00404C92" w:rsidRPr="004A7929" w:rsidRDefault="00404C92" w:rsidP="00404C92">
      <w:pPr>
        <w:spacing w:line="360" w:lineRule="auto"/>
        <w:rPr>
          <w:sz w:val="24"/>
        </w:rPr>
      </w:pPr>
    </w:p>
    <w:p w14:paraId="7BCC295C" w14:textId="77777777" w:rsidR="00404C92" w:rsidRPr="004A7929" w:rsidRDefault="00404C92" w:rsidP="00404C92">
      <w:pPr>
        <w:spacing w:line="360" w:lineRule="auto"/>
        <w:rPr>
          <w:sz w:val="24"/>
        </w:rPr>
      </w:pPr>
    </w:p>
    <w:p w14:paraId="625BA8B4" w14:textId="77777777" w:rsidR="00404C92" w:rsidRPr="004A7929" w:rsidRDefault="00404C92" w:rsidP="00404C92">
      <w:pPr>
        <w:spacing w:line="360" w:lineRule="auto"/>
        <w:rPr>
          <w:sz w:val="24"/>
        </w:rPr>
      </w:pPr>
    </w:p>
    <w:p w14:paraId="7163EC03" w14:textId="77777777" w:rsidR="00404C92" w:rsidRPr="004A7929" w:rsidRDefault="00404C92" w:rsidP="00404C92">
      <w:pPr>
        <w:spacing w:line="360" w:lineRule="auto"/>
        <w:rPr>
          <w:sz w:val="24"/>
        </w:rPr>
      </w:pPr>
    </w:p>
    <w:p w14:paraId="21621B23" w14:textId="77777777" w:rsidR="00404C92" w:rsidRPr="004A7929" w:rsidRDefault="00404C92" w:rsidP="00404C92">
      <w:pPr>
        <w:spacing w:line="360" w:lineRule="auto"/>
        <w:rPr>
          <w:sz w:val="24"/>
        </w:rPr>
      </w:pPr>
    </w:p>
    <w:p w14:paraId="4BB7E4DB" w14:textId="77777777" w:rsidR="00404C92" w:rsidRPr="004A7929" w:rsidRDefault="00404C92" w:rsidP="00404C92">
      <w:pPr>
        <w:spacing w:line="360" w:lineRule="auto"/>
        <w:rPr>
          <w:sz w:val="24"/>
        </w:rPr>
      </w:pPr>
    </w:p>
    <w:p w14:paraId="68D388E9" w14:textId="77777777" w:rsidR="00404C92" w:rsidRDefault="00404C92" w:rsidP="00404C92">
      <w:pPr>
        <w:spacing w:line="240" w:lineRule="auto"/>
        <w:jc w:val="left"/>
        <w:rPr>
          <w:sz w:val="24"/>
        </w:rPr>
      </w:pPr>
      <w:r>
        <w:rPr>
          <w:sz w:val="24"/>
        </w:rPr>
        <w:br w:type="page"/>
      </w:r>
    </w:p>
    <w:p w14:paraId="16384D4E" w14:textId="77777777" w:rsidR="00404C92" w:rsidRPr="004A7929" w:rsidRDefault="00404C92" w:rsidP="00404C92">
      <w:pPr>
        <w:spacing w:line="360" w:lineRule="auto"/>
        <w:rPr>
          <w:sz w:val="24"/>
        </w:rPr>
      </w:pPr>
    </w:p>
    <w:tbl>
      <w:tblPr>
        <w:tblStyle w:val="GridTable4-Accent1"/>
        <w:tblW w:w="9356" w:type="dxa"/>
        <w:tblInd w:w="-113" w:type="dxa"/>
        <w:tblLook w:val="04A0" w:firstRow="1" w:lastRow="0" w:firstColumn="1" w:lastColumn="0" w:noHBand="0" w:noVBand="1"/>
      </w:tblPr>
      <w:tblGrid>
        <w:gridCol w:w="3119"/>
        <w:gridCol w:w="1984"/>
        <w:gridCol w:w="2411"/>
        <w:gridCol w:w="1842"/>
      </w:tblGrid>
      <w:tr w:rsidR="00404C92" w:rsidRPr="00645A8C" w14:paraId="76F48A01" w14:textId="77777777" w:rsidTr="00692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8FA6A14" w14:textId="77777777" w:rsidR="00404C92" w:rsidRPr="004A7929" w:rsidRDefault="00404C92" w:rsidP="00692CC0">
            <w:pPr>
              <w:spacing w:line="360" w:lineRule="auto"/>
              <w:jc w:val="left"/>
              <w:rPr>
                <w:sz w:val="24"/>
              </w:rPr>
            </w:pPr>
          </w:p>
        </w:tc>
        <w:tc>
          <w:tcPr>
            <w:tcW w:w="1984" w:type="dxa"/>
          </w:tcPr>
          <w:p w14:paraId="09C43259"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4A7929">
              <w:rPr>
                <w:sz w:val="24"/>
              </w:rPr>
              <w:t>Difference over time</w:t>
            </w:r>
          </w:p>
          <w:p w14:paraId="46CC32D5"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w:t>
            </w:r>
            <w:r w:rsidRPr="004A7929">
              <w:rPr>
                <w:sz w:val="24"/>
              </w:rPr>
              <w:t>p-value</w:t>
            </w:r>
            <w:r>
              <w:rPr>
                <w:sz w:val="24"/>
              </w:rPr>
              <w:t>)</w:t>
            </w:r>
          </w:p>
        </w:tc>
        <w:tc>
          <w:tcPr>
            <w:tcW w:w="2411" w:type="dxa"/>
          </w:tcPr>
          <w:p w14:paraId="22C6FF8E"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4A7929">
              <w:rPr>
                <w:sz w:val="24"/>
              </w:rPr>
              <w:t>Difference between groups</w:t>
            </w:r>
          </w:p>
          <w:p w14:paraId="4746ACD3"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w:t>
            </w:r>
            <w:r w:rsidRPr="004A7929">
              <w:rPr>
                <w:sz w:val="24"/>
              </w:rPr>
              <w:t>p-value</w:t>
            </w:r>
            <w:r>
              <w:rPr>
                <w:sz w:val="24"/>
              </w:rPr>
              <w:t>)</w:t>
            </w:r>
          </w:p>
        </w:tc>
        <w:tc>
          <w:tcPr>
            <w:tcW w:w="1842" w:type="dxa"/>
          </w:tcPr>
          <w:p w14:paraId="7D60E401"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4A7929">
              <w:rPr>
                <w:sz w:val="24"/>
              </w:rPr>
              <w:t>Interaction</w:t>
            </w:r>
          </w:p>
          <w:p w14:paraId="0917F3E7"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p-value</w:t>
            </w:r>
          </w:p>
        </w:tc>
      </w:tr>
      <w:tr w:rsidR="00404C92" w:rsidRPr="00645A8C" w14:paraId="1143A8E1"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5F4532" w14:textId="77777777" w:rsidR="00404C92" w:rsidRPr="004A7929" w:rsidRDefault="00404C92" w:rsidP="00692CC0">
            <w:pPr>
              <w:spacing w:line="360" w:lineRule="auto"/>
              <w:jc w:val="left"/>
              <w:rPr>
                <w:b w:val="0"/>
                <w:bCs w:val="0"/>
                <w:sz w:val="24"/>
              </w:rPr>
            </w:pPr>
            <w:r w:rsidRPr="004A7929">
              <w:rPr>
                <w:sz w:val="24"/>
              </w:rPr>
              <w:t>Fluid balance (mL)</w:t>
            </w:r>
          </w:p>
        </w:tc>
        <w:tc>
          <w:tcPr>
            <w:tcW w:w="1984" w:type="dxa"/>
          </w:tcPr>
          <w:p w14:paraId="47EE5A51"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c>
          <w:tcPr>
            <w:tcW w:w="2411" w:type="dxa"/>
          </w:tcPr>
          <w:p w14:paraId="1E0BB663"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c>
          <w:tcPr>
            <w:tcW w:w="1842" w:type="dxa"/>
          </w:tcPr>
          <w:p w14:paraId="4260A917"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0.077</w:t>
            </w:r>
          </w:p>
        </w:tc>
      </w:tr>
      <w:tr w:rsidR="00404C92" w:rsidRPr="00645A8C" w14:paraId="29598976" w14:textId="77777777" w:rsidTr="00692CC0">
        <w:tc>
          <w:tcPr>
            <w:cnfStyle w:val="001000000000" w:firstRow="0" w:lastRow="0" w:firstColumn="1" w:lastColumn="0" w:oddVBand="0" w:evenVBand="0" w:oddHBand="0" w:evenHBand="0" w:firstRowFirstColumn="0" w:firstRowLastColumn="0" w:lastRowFirstColumn="0" w:lastRowLastColumn="0"/>
            <w:tcW w:w="3119" w:type="dxa"/>
          </w:tcPr>
          <w:p w14:paraId="6BB28B30" w14:textId="77777777" w:rsidR="00404C92" w:rsidRPr="004A7929" w:rsidRDefault="00404C92" w:rsidP="00692CC0">
            <w:pPr>
              <w:spacing w:line="360" w:lineRule="auto"/>
              <w:jc w:val="left"/>
              <w:rPr>
                <w:b w:val="0"/>
                <w:bCs w:val="0"/>
                <w:sz w:val="24"/>
              </w:rPr>
            </w:pPr>
            <w:r w:rsidRPr="004A7929">
              <w:rPr>
                <w:sz w:val="24"/>
              </w:rPr>
              <w:t>PaO</w:t>
            </w:r>
            <w:r w:rsidRPr="004A7929">
              <w:rPr>
                <w:sz w:val="24"/>
                <w:vertAlign w:val="subscript"/>
              </w:rPr>
              <w:t>2</w:t>
            </w:r>
            <w:r w:rsidRPr="004A7929">
              <w:rPr>
                <w:sz w:val="24"/>
              </w:rPr>
              <w:t>: FiO</w:t>
            </w:r>
            <w:r w:rsidRPr="004A7929">
              <w:rPr>
                <w:sz w:val="24"/>
                <w:vertAlign w:val="subscript"/>
              </w:rPr>
              <w:t>2</w:t>
            </w:r>
            <w:r w:rsidRPr="004A7929">
              <w:rPr>
                <w:sz w:val="24"/>
              </w:rPr>
              <w:t xml:space="preserve"> ratio </w:t>
            </w:r>
          </w:p>
        </w:tc>
        <w:tc>
          <w:tcPr>
            <w:tcW w:w="1984" w:type="dxa"/>
          </w:tcPr>
          <w:p w14:paraId="3B92AD45"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0.797</w:t>
            </w:r>
          </w:p>
        </w:tc>
        <w:tc>
          <w:tcPr>
            <w:tcW w:w="2411" w:type="dxa"/>
          </w:tcPr>
          <w:p w14:paraId="050DFB39"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&lt;0.001</w:t>
            </w:r>
          </w:p>
        </w:tc>
        <w:tc>
          <w:tcPr>
            <w:tcW w:w="1842" w:type="dxa"/>
          </w:tcPr>
          <w:p w14:paraId="046B744E"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0.771</w:t>
            </w:r>
          </w:p>
        </w:tc>
      </w:tr>
      <w:tr w:rsidR="00404C92" w:rsidRPr="00645A8C" w14:paraId="2B6B9A67"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AFB4563" w14:textId="77777777" w:rsidR="00404C92" w:rsidRPr="004A7929" w:rsidRDefault="00404C92" w:rsidP="00692CC0">
            <w:pPr>
              <w:spacing w:line="360" w:lineRule="auto"/>
              <w:jc w:val="left"/>
              <w:rPr>
                <w:b w:val="0"/>
                <w:bCs w:val="0"/>
                <w:sz w:val="24"/>
              </w:rPr>
            </w:pPr>
            <w:r w:rsidRPr="004A7929">
              <w:rPr>
                <w:sz w:val="24"/>
              </w:rPr>
              <w:t>Creatinine (</w:t>
            </w:r>
            <w:r w:rsidRPr="004A7929">
              <w:rPr>
                <w:rFonts w:ascii="Symbol" w:hAnsi="Symbol"/>
                <w:sz w:val="24"/>
              </w:rPr>
              <w:t></w:t>
            </w:r>
            <w:r w:rsidRPr="004A7929">
              <w:rPr>
                <w:sz w:val="24"/>
              </w:rPr>
              <w:t>mol/L)</w:t>
            </w:r>
          </w:p>
        </w:tc>
        <w:tc>
          <w:tcPr>
            <w:tcW w:w="1984" w:type="dxa"/>
          </w:tcPr>
          <w:p w14:paraId="44A1D8C8"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c>
          <w:tcPr>
            <w:tcW w:w="2411" w:type="dxa"/>
          </w:tcPr>
          <w:p w14:paraId="10064734"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0.005</w:t>
            </w:r>
          </w:p>
        </w:tc>
        <w:tc>
          <w:tcPr>
            <w:tcW w:w="1842" w:type="dxa"/>
          </w:tcPr>
          <w:p w14:paraId="5BE6417F"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0.964</w:t>
            </w:r>
          </w:p>
        </w:tc>
      </w:tr>
      <w:tr w:rsidR="00404C92" w:rsidRPr="00645A8C" w14:paraId="4B3FC235" w14:textId="77777777" w:rsidTr="00692CC0">
        <w:tc>
          <w:tcPr>
            <w:cnfStyle w:val="001000000000" w:firstRow="0" w:lastRow="0" w:firstColumn="1" w:lastColumn="0" w:oddVBand="0" w:evenVBand="0" w:oddHBand="0" w:evenHBand="0" w:firstRowFirstColumn="0" w:firstRowLastColumn="0" w:lastRowFirstColumn="0" w:lastRowLastColumn="0"/>
            <w:tcW w:w="3119" w:type="dxa"/>
          </w:tcPr>
          <w:p w14:paraId="5A0F1F28" w14:textId="77777777" w:rsidR="00404C92" w:rsidRPr="004A7929" w:rsidRDefault="00404C92" w:rsidP="00692CC0">
            <w:pPr>
              <w:spacing w:line="360" w:lineRule="auto"/>
              <w:jc w:val="left"/>
              <w:rPr>
                <w:b w:val="0"/>
                <w:bCs w:val="0"/>
                <w:sz w:val="24"/>
              </w:rPr>
            </w:pPr>
            <w:r>
              <w:rPr>
                <w:sz w:val="24"/>
              </w:rPr>
              <w:t xml:space="preserve">Arterial </w:t>
            </w:r>
            <w:r w:rsidRPr="004A7929">
              <w:rPr>
                <w:sz w:val="24"/>
              </w:rPr>
              <w:t>pH</w:t>
            </w:r>
          </w:p>
        </w:tc>
        <w:tc>
          <w:tcPr>
            <w:tcW w:w="1984" w:type="dxa"/>
          </w:tcPr>
          <w:p w14:paraId="112B3526"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&lt;0.001</w:t>
            </w:r>
          </w:p>
        </w:tc>
        <w:tc>
          <w:tcPr>
            <w:tcW w:w="2411" w:type="dxa"/>
          </w:tcPr>
          <w:p w14:paraId="41A2B0B2"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&lt;0.001</w:t>
            </w:r>
          </w:p>
        </w:tc>
        <w:tc>
          <w:tcPr>
            <w:tcW w:w="1842" w:type="dxa"/>
          </w:tcPr>
          <w:p w14:paraId="196177DB"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0.171</w:t>
            </w:r>
          </w:p>
        </w:tc>
      </w:tr>
      <w:tr w:rsidR="00404C92" w:rsidRPr="00645A8C" w14:paraId="5B1DCD7E"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80A4730" w14:textId="77777777" w:rsidR="00404C92" w:rsidRPr="004A7929" w:rsidRDefault="00404C92" w:rsidP="00692CC0">
            <w:pPr>
              <w:spacing w:line="360" w:lineRule="auto"/>
              <w:jc w:val="left"/>
              <w:rPr>
                <w:b w:val="0"/>
                <w:bCs w:val="0"/>
                <w:sz w:val="24"/>
              </w:rPr>
            </w:pPr>
            <w:r w:rsidRPr="004A7929">
              <w:rPr>
                <w:sz w:val="24"/>
              </w:rPr>
              <w:t>Base excess (mmol/L)</w:t>
            </w:r>
          </w:p>
        </w:tc>
        <w:tc>
          <w:tcPr>
            <w:tcW w:w="1984" w:type="dxa"/>
          </w:tcPr>
          <w:p w14:paraId="6D59F7C4"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c>
          <w:tcPr>
            <w:tcW w:w="2411" w:type="dxa"/>
          </w:tcPr>
          <w:p w14:paraId="2F8319A8"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c>
          <w:tcPr>
            <w:tcW w:w="1842" w:type="dxa"/>
          </w:tcPr>
          <w:p w14:paraId="537C1AD2"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r>
      <w:tr w:rsidR="00404C92" w:rsidRPr="00645A8C" w14:paraId="1D4F6EDD" w14:textId="77777777" w:rsidTr="00692CC0">
        <w:tc>
          <w:tcPr>
            <w:cnfStyle w:val="001000000000" w:firstRow="0" w:lastRow="0" w:firstColumn="1" w:lastColumn="0" w:oddVBand="0" w:evenVBand="0" w:oddHBand="0" w:evenHBand="0" w:firstRowFirstColumn="0" w:firstRowLastColumn="0" w:lastRowFirstColumn="0" w:lastRowLastColumn="0"/>
            <w:tcW w:w="3119" w:type="dxa"/>
          </w:tcPr>
          <w:p w14:paraId="2161477F" w14:textId="77777777" w:rsidR="00404C92" w:rsidRPr="004A7929" w:rsidRDefault="00404C92" w:rsidP="00692CC0">
            <w:pPr>
              <w:spacing w:line="360" w:lineRule="auto"/>
              <w:jc w:val="left"/>
              <w:rPr>
                <w:b w:val="0"/>
                <w:sz w:val="24"/>
              </w:rPr>
            </w:pPr>
            <w:r w:rsidRPr="004A7929">
              <w:rPr>
                <w:sz w:val="24"/>
              </w:rPr>
              <w:t>Bicarbonate (mmol/L)</w:t>
            </w:r>
          </w:p>
        </w:tc>
        <w:tc>
          <w:tcPr>
            <w:tcW w:w="1984" w:type="dxa"/>
          </w:tcPr>
          <w:p w14:paraId="2C009C1E"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&lt;0.001</w:t>
            </w:r>
          </w:p>
        </w:tc>
        <w:tc>
          <w:tcPr>
            <w:tcW w:w="2411" w:type="dxa"/>
          </w:tcPr>
          <w:p w14:paraId="2E720198"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&lt;0.001</w:t>
            </w:r>
          </w:p>
        </w:tc>
        <w:tc>
          <w:tcPr>
            <w:tcW w:w="1842" w:type="dxa"/>
          </w:tcPr>
          <w:p w14:paraId="66B3DDC3"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&lt;0.001</w:t>
            </w:r>
          </w:p>
        </w:tc>
      </w:tr>
      <w:tr w:rsidR="00404C92" w:rsidRPr="00645A8C" w14:paraId="2BAE9C25"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B5CD2C7" w14:textId="77777777" w:rsidR="00404C92" w:rsidRPr="004A7929" w:rsidRDefault="00404C92" w:rsidP="00692CC0">
            <w:pPr>
              <w:spacing w:line="360" w:lineRule="auto"/>
              <w:jc w:val="left"/>
              <w:rPr>
                <w:b w:val="0"/>
                <w:sz w:val="24"/>
              </w:rPr>
            </w:pPr>
            <w:r w:rsidRPr="004A7929">
              <w:rPr>
                <w:sz w:val="24"/>
              </w:rPr>
              <w:t>PaCO</w:t>
            </w:r>
            <w:r w:rsidRPr="004A7929">
              <w:rPr>
                <w:sz w:val="24"/>
                <w:vertAlign w:val="subscript"/>
              </w:rPr>
              <w:t>2</w:t>
            </w:r>
            <w:r w:rsidRPr="004A7929">
              <w:rPr>
                <w:sz w:val="24"/>
              </w:rPr>
              <w:t xml:space="preserve"> (kPa)</w:t>
            </w:r>
          </w:p>
        </w:tc>
        <w:tc>
          <w:tcPr>
            <w:tcW w:w="1984" w:type="dxa"/>
          </w:tcPr>
          <w:p w14:paraId="030EE281"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0.933</w:t>
            </w:r>
          </w:p>
        </w:tc>
        <w:tc>
          <w:tcPr>
            <w:tcW w:w="2411" w:type="dxa"/>
          </w:tcPr>
          <w:p w14:paraId="6D1429E8"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&lt;0.001</w:t>
            </w:r>
          </w:p>
        </w:tc>
        <w:tc>
          <w:tcPr>
            <w:tcW w:w="1842" w:type="dxa"/>
          </w:tcPr>
          <w:p w14:paraId="39988838"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0.425</w:t>
            </w:r>
          </w:p>
        </w:tc>
      </w:tr>
    </w:tbl>
    <w:p w14:paraId="64A8FC13" w14:textId="77777777" w:rsidR="00404C92" w:rsidRPr="004A7929" w:rsidRDefault="00404C92" w:rsidP="00404C92">
      <w:pPr>
        <w:spacing w:line="360" w:lineRule="auto"/>
        <w:rPr>
          <w:sz w:val="24"/>
        </w:rPr>
      </w:pPr>
    </w:p>
    <w:p w14:paraId="41DB4D6D" w14:textId="77777777" w:rsidR="00404C92" w:rsidRPr="004A7929" w:rsidRDefault="00404C92" w:rsidP="00404C92">
      <w:pPr>
        <w:spacing w:line="360" w:lineRule="auto"/>
        <w:rPr>
          <w:sz w:val="24"/>
        </w:rPr>
      </w:pPr>
      <w:r w:rsidRPr="004A7929">
        <w:rPr>
          <w:sz w:val="24"/>
        </w:rPr>
        <w:t xml:space="preserve">Supplementary Table 3: Biochemical variables following initiation of RRT. </w:t>
      </w:r>
    </w:p>
    <w:p w14:paraId="1536375A" w14:textId="77777777" w:rsidR="00404C92" w:rsidRDefault="00404C92" w:rsidP="00404C92">
      <w:pPr>
        <w:spacing w:line="240" w:lineRule="auto"/>
        <w:jc w:val="left"/>
        <w:rPr>
          <w:sz w:val="24"/>
        </w:rPr>
      </w:pPr>
      <w:r>
        <w:rPr>
          <w:sz w:val="24"/>
        </w:rPr>
        <w:br w:type="page"/>
      </w:r>
    </w:p>
    <w:p w14:paraId="5BF6289F" w14:textId="77777777" w:rsidR="00404C92" w:rsidRPr="004A7929" w:rsidRDefault="00404C92" w:rsidP="00404C92">
      <w:pPr>
        <w:spacing w:line="360" w:lineRule="auto"/>
        <w:rPr>
          <w:sz w:val="24"/>
        </w:rPr>
      </w:pPr>
    </w:p>
    <w:tbl>
      <w:tblPr>
        <w:tblStyle w:val="GridTable4-Accent1"/>
        <w:tblW w:w="9351" w:type="dxa"/>
        <w:tblLook w:val="04A0" w:firstRow="1" w:lastRow="0" w:firstColumn="1" w:lastColumn="0" w:noHBand="0" w:noVBand="1"/>
      </w:tblPr>
      <w:tblGrid>
        <w:gridCol w:w="3397"/>
        <w:gridCol w:w="2268"/>
        <w:gridCol w:w="2520"/>
        <w:gridCol w:w="1166"/>
      </w:tblGrid>
      <w:tr w:rsidR="00404C92" w:rsidRPr="00645A8C" w14:paraId="2E4959EC" w14:textId="77777777" w:rsidTr="00692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D814D0F" w14:textId="77777777" w:rsidR="00404C92" w:rsidRPr="004A7929" w:rsidRDefault="00404C92" w:rsidP="00692CC0">
            <w:pPr>
              <w:spacing w:line="360" w:lineRule="auto"/>
              <w:rPr>
                <w:sz w:val="24"/>
              </w:rPr>
            </w:pPr>
          </w:p>
        </w:tc>
        <w:tc>
          <w:tcPr>
            <w:tcW w:w="2268" w:type="dxa"/>
          </w:tcPr>
          <w:p w14:paraId="3475DE24"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Non-COVID</w:t>
            </w:r>
          </w:p>
        </w:tc>
        <w:tc>
          <w:tcPr>
            <w:tcW w:w="2520" w:type="dxa"/>
          </w:tcPr>
          <w:p w14:paraId="28D7CC91"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COVID-19</w:t>
            </w:r>
          </w:p>
        </w:tc>
        <w:tc>
          <w:tcPr>
            <w:tcW w:w="1166" w:type="dxa"/>
          </w:tcPr>
          <w:p w14:paraId="79CFA712" w14:textId="77777777" w:rsidR="00404C92" w:rsidRPr="004A7929" w:rsidRDefault="00404C92" w:rsidP="00692CC0">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p-value</w:t>
            </w:r>
          </w:p>
        </w:tc>
      </w:tr>
      <w:tr w:rsidR="00404C92" w:rsidRPr="00645A8C" w14:paraId="20E3F1AD"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F0B7A4A" w14:textId="77777777" w:rsidR="00404C92" w:rsidRPr="004A7929" w:rsidRDefault="00404C92" w:rsidP="00692CC0">
            <w:pPr>
              <w:spacing w:line="360" w:lineRule="auto"/>
              <w:jc w:val="left"/>
              <w:rPr>
                <w:b w:val="0"/>
                <w:sz w:val="24"/>
              </w:rPr>
            </w:pPr>
            <w:r w:rsidRPr="004A7929">
              <w:rPr>
                <w:sz w:val="24"/>
              </w:rPr>
              <w:t>Packed red cell transfusion per filter day</w:t>
            </w:r>
          </w:p>
        </w:tc>
        <w:tc>
          <w:tcPr>
            <w:tcW w:w="2268" w:type="dxa"/>
          </w:tcPr>
          <w:p w14:paraId="065F54A2"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0.10 (0.00-0.56)</w:t>
            </w:r>
          </w:p>
        </w:tc>
        <w:tc>
          <w:tcPr>
            <w:tcW w:w="2520" w:type="dxa"/>
          </w:tcPr>
          <w:p w14:paraId="123E85F9"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0.13 (0.00 – 0.31)</w:t>
            </w:r>
          </w:p>
        </w:tc>
        <w:tc>
          <w:tcPr>
            <w:tcW w:w="1166" w:type="dxa"/>
          </w:tcPr>
          <w:p w14:paraId="03A66100"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0.050</w:t>
            </w:r>
          </w:p>
        </w:tc>
      </w:tr>
      <w:tr w:rsidR="00404C92" w:rsidRPr="00645A8C" w14:paraId="284B5C74" w14:textId="77777777" w:rsidTr="00692CC0">
        <w:tc>
          <w:tcPr>
            <w:cnfStyle w:val="001000000000" w:firstRow="0" w:lastRow="0" w:firstColumn="1" w:lastColumn="0" w:oddVBand="0" w:evenVBand="0" w:oddHBand="0" w:evenHBand="0" w:firstRowFirstColumn="0" w:firstRowLastColumn="0" w:lastRowFirstColumn="0" w:lastRowLastColumn="0"/>
            <w:tcW w:w="3397" w:type="dxa"/>
          </w:tcPr>
          <w:p w14:paraId="63BB47EC" w14:textId="77777777" w:rsidR="00404C92" w:rsidRPr="004A7929" w:rsidRDefault="00404C92" w:rsidP="00692CC0">
            <w:pPr>
              <w:spacing w:line="360" w:lineRule="auto"/>
              <w:jc w:val="left"/>
              <w:rPr>
                <w:bCs w:val="0"/>
                <w:sz w:val="24"/>
              </w:rPr>
            </w:pPr>
            <w:r w:rsidRPr="004A7929">
              <w:rPr>
                <w:sz w:val="24"/>
              </w:rPr>
              <w:t>Clots per filter day</w:t>
            </w:r>
          </w:p>
        </w:tc>
        <w:tc>
          <w:tcPr>
            <w:tcW w:w="2268" w:type="dxa"/>
          </w:tcPr>
          <w:p w14:paraId="22C30CEA"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0.00 (0.00-0.00)</w:t>
            </w:r>
          </w:p>
        </w:tc>
        <w:tc>
          <w:tcPr>
            <w:tcW w:w="2520" w:type="dxa"/>
          </w:tcPr>
          <w:p w14:paraId="2FD3413B"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0.09 (0.00-0.25)</w:t>
            </w:r>
          </w:p>
        </w:tc>
        <w:tc>
          <w:tcPr>
            <w:tcW w:w="1166" w:type="dxa"/>
          </w:tcPr>
          <w:p w14:paraId="567A2E34" w14:textId="77777777" w:rsidR="00404C92" w:rsidRPr="004A7929" w:rsidRDefault="00404C92" w:rsidP="00692CC0">
            <w:pPr>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0.001</w:t>
            </w:r>
          </w:p>
        </w:tc>
      </w:tr>
      <w:tr w:rsidR="00404C92" w:rsidRPr="00645A8C" w14:paraId="290A4AFA"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E26A6A1" w14:textId="77777777" w:rsidR="00404C92" w:rsidRPr="004A7929" w:rsidRDefault="00404C92" w:rsidP="00692CC0">
            <w:pPr>
              <w:spacing w:line="360" w:lineRule="auto"/>
              <w:jc w:val="left"/>
              <w:rPr>
                <w:b w:val="0"/>
                <w:sz w:val="24"/>
              </w:rPr>
            </w:pPr>
            <w:r w:rsidRPr="004A7929">
              <w:rPr>
                <w:sz w:val="24"/>
              </w:rPr>
              <w:t>New circuits per filter day</w:t>
            </w:r>
          </w:p>
        </w:tc>
        <w:tc>
          <w:tcPr>
            <w:tcW w:w="2268" w:type="dxa"/>
          </w:tcPr>
          <w:p w14:paraId="5BD35C2F"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0.40 (0.26 – 0.59)</w:t>
            </w:r>
          </w:p>
        </w:tc>
        <w:tc>
          <w:tcPr>
            <w:tcW w:w="2520" w:type="dxa"/>
          </w:tcPr>
          <w:p w14:paraId="56844DEA"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0.44 (0.33 – 0.60)</w:t>
            </w:r>
          </w:p>
        </w:tc>
        <w:tc>
          <w:tcPr>
            <w:tcW w:w="1166" w:type="dxa"/>
          </w:tcPr>
          <w:p w14:paraId="2CADF7DB" w14:textId="77777777" w:rsidR="00404C92" w:rsidRPr="004A7929" w:rsidRDefault="00404C92" w:rsidP="00692CC0">
            <w:pPr>
              <w:spacing w:line="36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.0848</w:t>
            </w:r>
          </w:p>
        </w:tc>
      </w:tr>
    </w:tbl>
    <w:p w14:paraId="0AEB1810" w14:textId="77777777" w:rsidR="00404C92" w:rsidRPr="004A7929" w:rsidRDefault="00404C92" w:rsidP="00404C92">
      <w:pPr>
        <w:spacing w:line="360" w:lineRule="auto"/>
        <w:rPr>
          <w:sz w:val="24"/>
        </w:rPr>
      </w:pPr>
    </w:p>
    <w:p w14:paraId="7806DCF9" w14:textId="77777777" w:rsidR="00404C92" w:rsidRPr="004A7929" w:rsidRDefault="00404C92" w:rsidP="00404C92">
      <w:pPr>
        <w:spacing w:line="360" w:lineRule="auto"/>
        <w:rPr>
          <w:sz w:val="24"/>
        </w:rPr>
      </w:pPr>
      <w:r w:rsidRPr="004A7929">
        <w:rPr>
          <w:sz w:val="24"/>
        </w:rPr>
        <w:t>Supplementary Table 4: Data on transfusion and coagulation on RRT</w:t>
      </w:r>
    </w:p>
    <w:p w14:paraId="3A584161" w14:textId="77777777" w:rsidR="00404C92" w:rsidRPr="004A7929" w:rsidRDefault="00404C92" w:rsidP="00404C92">
      <w:pPr>
        <w:spacing w:line="360" w:lineRule="auto"/>
        <w:rPr>
          <w:sz w:val="24"/>
        </w:rPr>
      </w:pPr>
      <w:r w:rsidRPr="004A7929">
        <w:rPr>
          <w:sz w:val="24"/>
        </w:rPr>
        <w:br w:type="column"/>
      </w:r>
    </w:p>
    <w:p w14:paraId="66D10911" w14:textId="77777777" w:rsidR="00404C92" w:rsidRPr="006F065E" w:rsidRDefault="00404C92" w:rsidP="00404C92">
      <w:pPr>
        <w:pStyle w:val="Heading2"/>
        <w:numPr>
          <w:ilvl w:val="0"/>
          <w:numId w:val="3"/>
        </w:numPr>
        <w:rPr>
          <w:sz w:val="32"/>
          <w:szCs w:val="24"/>
        </w:rPr>
      </w:pPr>
      <w:r w:rsidRPr="006F065E">
        <w:rPr>
          <w:sz w:val="32"/>
          <w:szCs w:val="24"/>
        </w:rPr>
        <w:t>Flow chart for patient inclusion</w:t>
      </w:r>
    </w:p>
    <w:p w14:paraId="7C55C16A" w14:textId="77777777" w:rsidR="00404C92" w:rsidRPr="004A7929" w:rsidRDefault="00404C92" w:rsidP="00404C92">
      <w:pPr>
        <w:rPr>
          <w:sz w:val="24"/>
        </w:rPr>
      </w:pPr>
      <w:r w:rsidRPr="004A7929">
        <w:rPr>
          <w:noProof/>
          <w:sz w:val="24"/>
        </w:rPr>
        <w:drawing>
          <wp:inline distT="0" distB="0" distL="0" distR="0" wp14:anchorId="262A68BF" wp14:editId="4401372F">
            <wp:extent cx="5727700" cy="45929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she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4592955"/>
                    </a:xfrm>
                    <a:prstGeom prst="rect">
                      <a:avLst/>
                    </a:prstGeom>
                  </pic:spPr>
                </pic:pic>
              </a:graphicData>
            </a:graphic>
          </wp:inline>
        </w:drawing>
      </w:r>
    </w:p>
    <w:p w14:paraId="00EA0376" w14:textId="77777777" w:rsidR="00404C92" w:rsidRPr="004A7929" w:rsidRDefault="00404C92" w:rsidP="00404C92">
      <w:pPr>
        <w:spacing w:line="240" w:lineRule="auto"/>
        <w:jc w:val="left"/>
        <w:rPr>
          <w:rFonts w:asciiTheme="majorHAnsi" w:eastAsiaTheme="majorEastAsia" w:hAnsiTheme="majorHAnsi" w:cstheme="majorBidi"/>
          <w:color w:val="2F5496" w:themeColor="accent1" w:themeShade="BF"/>
          <w:sz w:val="24"/>
        </w:rPr>
      </w:pPr>
      <w:r w:rsidRPr="004A7929">
        <w:rPr>
          <w:sz w:val="24"/>
        </w:rPr>
        <w:br w:type="page"/>
      </w:r>
    </w:p>
    <w:p w14:paraId="2C937466" w14:textId="77777777" w:rsidR="00404C92" w:rsidRPr="009E6BDE" w:rsidRDefault="00404C92" w:rsidP="00404C92">
      <w:pPr>
        <w:pStyle w:val="Heading2"/>
        <w:numPr>
          <w:ilvl w:val="0"/>
          <w:numId w:val="3"/>
        </w:numPr>
        <w:spacing w:before="0" w:line="276" w:lineRule="auto"/>
        <w:ind w:left="714" w:hanging="357"/>
        <w:rPr>
          <w:sz w:val="32"/>
          <w:szCs w:val="24"/>
        </w:rPr>
      </w:pPr>
      <w:r w:rsidRPr="009E6BDE">
        <w:rPr>
          <w:sz w:val="32"/>
          <w:szCs w:val="24"/>
        </w:rPr>
        <w:lastRenderedPageBreak/>
        <w:t>Missing data</w:t>
      </w:r>
    </w:p>
    <w:tbl>
      <w:tblPr>
        <w:tblStyle w:val="GridTable4-Accent1"/>
        <w:tblW w:w="9322" w:type="dxa"/>
        <w:tblInd w:w="-113" w:type="dxa"/>
        <w:tblLook w:val="04A0" w:firstRow="1" w:lastRow="0" w:firstColumn="1" w:lastColumn="0" w:noHBand="0" w:noVBand="1"/>
      </w:tblPr>
      <w:tblGrid>
        <w:gridCol w:w="5674"/>
        <w:gridCol w:w="1805"/>
        <w:gridCol w:w="1843"/>
      </w:tblGrid>
      <w:tr w:rsidR="00404C92" w:rsidRPr="00645A8C" w14:paraId="41A26AB9" w14:textId="77777777" w:rsidTr="00692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2FE53F2E" w14:textId="77777777" w:rsidR="00404C92" w:rsidRPr="004A7929" w:rsidRDefault="00404C92" w:rsidP="00692CC0">
            <w:pPr>
              <w:spacing w:line="240" w:lineRule="auto"/>
              <w:rPr>
                <w:sz w:val="24"/>
              </w:rPr>
            </w:pPr>
            <w:r w:rsidRPr="004A7929">
              <w:rPr>
                <w:sz w:val="24"/>
              </w:rPr>
              <w:t>Data</w:t>
            </w:r>
          </w:p>
        </w:tc>
        <w:tc>
          <w:tcPr>
            <w:tcW w:w="1805" w:type="dxa"/>
          </w:tcPr>
          <w:p w14:paraId="08B589B0" w14:textId="77777777" w:rsidR="00404C92" w:rsidRDefault="00404C92" w:rsidP="00692CC0">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4A7929">
              <w:rPr>
                <w:sz w:val="24"/>
              </w:rPr>
              <w:t xml:space="preserve">Non-COVID </w:t>
            </w:r>
          </w:p>
          <w:p w14:paraId="376FE916" w14:textId="77777777" w:rsidR="00404C92" w:rsidRPr="004A7929" w:rsidRDefault="00404C92" w:rsidP="00692CC0">
            <w:pPr>
              <w:spacing w:line="240" w:lineRule="auto"/>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(n = 36)</w:t>
            </w:r>
          </w:p>
        </w:tc>
        <w:tc>
          <w:tcPr>
            <w:tcW w:w="1843" w:type="dxa"/>
          </w:tcPr>
          <w:p w14:paraId="5B4DBF67" w14:textId="77777777" w:rsidR="00404C92" w:rsidRDefault="00404C92" w:rsidP="00692CC0">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4A7929">
              <w:rPr>
                <w:sz w:val="24"/>
              </w:rPr>
              <w:t xml:space="preserve">COVID-19 </w:t>
            </w:r>
          </w:p>
          <w:p w14:paraId="50B4C2CF" w14:textId="77777777" w:rsidR="00404C92" w:rsidRPr="004A7929" w:rsidRDefault="00404C92" w:rsidP="00692CC0">
            <w:pPr>
              <w:spacing w:line="240" w:lineRule="auto"/>
              <w:jc w:val="center"/>
              <w:cnfStyle w:val="100000000000" w:firstRow="1" w:lastRow="0" w:firstColumn="0" w:lastColumn="0" w:oddVBand="0" w:evenVBand="0" w:oddHBand="0" w:evenHBand="0" w:firstRowFirstColumn="0" w:firstRowLastColumn="0" w:lastRowFirstColumn="0" w:lastRowLastColumn="0"/>
              <w:rPr>
                <w:sz w:val="24"/>
              </w:rPr>
            </w:pPr>
            <w:r w:rsidRPr="004A7929">
              <w:rPr>
                <w:sz w:val="24"/>
              </w:rPr>
              <w:t>(n = 47)</w:t>
            </w:r>
          </w:p>
        </w:tc>
      </w:tr>
      <w:tr w:rsidR="00404C92" w:rsidRPr="00645A8C" w14:paraId="3A3890F2"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0EE507C9" w14:textId="77777777" w:rsidR="00404C92" w:rsidRPr="004A7929" w:rsidRDefault="00404C92" w:rsidP="00692CC0">
            <w:pPr>
              <w:spacing w:line="240" w:lineRule="auto"/>
              <w:rPr>
                <w:sz w:val="24"/>
              </w:rPr>
            </w:pPr>
            <w:r w:rsidRPr="004A7929">
              <w:rPr>
                <w:sz w:val="24"/>
              </w:rPr>
              <w:t>Age</w:t>
            </w:r>
          </w:p>
        </w:tc>
        <w:tc>
          <w:tcPr>
            <w:tcW w:w="1805" w:type="dxa"/>
          </w:tcPr>
          <w:p w14:paraId="036875ED"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5980B8A6"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50630C00"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271D692F" w14:textId="77777777" w:rsidR="00404C92" w:rsidRPr="004A7929" w:rsidRDefault="00404C92" w:rsidP="00692CC0">
            <w:pPr>
              <w:spacing w:line="240" w:lineRule="auto"/>
              <w:rPr>
                <w:sz w:val="24"/>
              </w:rPr>
            </w:pPr>
            <w:r>
              <w:rPr>
                <w:sz w:val="24"/>
              </w:rPr>
              <w:t>Sex</w:t>
            </w:r>
          </w:p>
        </w:tc>
        <w:tc>
          <w:tcPr>
            <w:tcW w:w="1805" w:type="dxa"/>
          </w:tcPr>
          <w:p w14:paraId="2E58FEAD"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c>
          <w:tcPr>
            <w:tcW w:w="1843" w:type="dxa"/>
          </w:tcPr>
          <w:p w14:paraId="272EFB15"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0AFC9FED"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02D03EC2" w14:textId="77777777" w:rsidR="00404C92" w:rsidRPr="004A7929" w:rsidRDefault="00404C92" w:rsidP="00692CC0">
            <w:pPr>
              <w:spacing w:line="240" w:lineRule="auto"/>
              <w:rPr>
                <w:sz w:val="24"/>
              </w:rPr>
            </w:pPr>
            <w:r w:rsidRPr="004A7929">
              <w:rPr>
                <w:sz w:val="24"/>
              </w:rPr>
              <w:t>B</w:t>
            </w:r>
            <w:r>
              <w:rPr>
                <w:sz w:val="24"/>
              </w:rPr>
              <w:t>ody mass index</w:t>
            </w:r>
          </w:p>
        </w:tc>
        <w:tc>
          <w:tcPr>
            <w:tcW w:w="1805" w:type="dxa"/>
          </w:tcPr>
          <w:p w14:paraId="0A045B64"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14 (38.9%)</w:t>
            </w:r>
          </w:p>
        </w:tc>
        <w:tc>
          <w:tcPr>
            <w:tcW w:w="1843" w:type="dxa"/>
          </w:tcPr>
          <w:p w14:paraId="6432C6AC"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12 (25.5%)</w:t>
            </w:r>
          </w:p>
        </w:tc>
      </w:tr>
      <w:tr w:rsidR="00404C92" w:rsidRPr="00645A8C" w14:paraId="0509C7A8"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188FFD6C" w14:textId="77777777" w:rsidR="00404C92" w:rsidRPr="004A7929" w:rsidRDefault="00404C92" w:rsidP="00692CC0">
            <w:pPr>
              <w:spacing w:line="240" w:lineRule="auto"/>
              <w:rPr>
                <w:sz w:val="24"/>
              </w:rPr>
            </w:pPr>
            <w:r w:rsidRPr="004A7929">
              <w:rPr>
                <w:sz w:val="24"/>
              </w:rPr>
              <w:t>Past medical history:</w:t>
            </w:r>
          </w:p>
          <w:p w14:paraId="66F9E628" w14:textId="77777777" w:rsidR="00404C92" w:rsidRPr="004A7929" w:rsidRDefault="00404C92" w:rsidP="00692CC0">
            <w:pPr>
              <w:spacing w:line="240" w:lineRule="auto"/>
              <w:rPr>
                <w:sz w:val="24"/>
              </w:rPr>
            </w:pPr>
            <w:r w:rsidRPr="004A7929">
              <w:rPr>
                <w:sz w:val="24"/>
              </w:rPr>
              <w:t>- Chronic kidney disease</w:t>
            </w:r>
          </w:p>
          <w:p w14:paraId="1BFF8924" w14:textId="77777777" w:rsidR="00404C92" w:rsidRPr="004A7929" w:rsidRDefault="00404C92" w:rsidP="00692CC0">
            <w:pPr>
              <w:spacing w:line="240" w:lineRule="auto"/>
              <w:rPr>
                <w:sz w:val="24"/>
              </w:rPr>
            </w:pPr>
            <w:r w:rsidRPr="004A7929">
              <w:rPr>
                <w:sz w:val="24"/>
              </w:rPr>
              <w:t>- Diabetes mellitus</w:t>
            </w:r>
          </w:p>
          <w:p w14:paraId="353CE02D" w14:textId="77777777" w:rsidR="00404C92" w:rsidRPr="004A7929" w:rsidRDefault="00404C92" w:rsidP="00692CC0">
            <w:pPr>
              <w:spacing w:line="240" w:lineRule="auto"/>
              <w:rPr>
                <w:sz w:val="24"/>
              </w:rPr>
            </w:pPr>
            <w:r w:rsidRPr="004A7929">
              <w:rPr>
                <w:sz w:val="24"/>
              </w:rPr>
              <w:t>- Hypertension</w:t>
            </w:r>
          </w:p>
        </w:tc>
        <w:tc>
          <w:tcPr>
            <w:tcW w:w="1805" w:type="dxa"/>
          </w:tcPr>
          <w:p w14:paraId="7B70FDBA"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p>
          <w:p w14:paraId="38C2D18A"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p w14:paraId="24ED7679"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p w14:paraId="44E6C38B"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c>
          <w:tcPr>
            <w:tcW w:w="1843" w:type="dxa"/>
          </w:tcPr>
          <w:p w14:paraId="63E87F30"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p>
          <w:p w14:paraId="69645084"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p w14:paraId="4871D05D"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p w14:paraId="515355A7"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7CC053CA"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633D1F4B" w14:textId="77777777" w:rsidR="00404C92" w:rsidRPr="004A7929" w:rsidRDefault="00404C92" w:rsidP="00692CC0">
            <w:pPr>
              <w:spacing w:line="240" w:lineRule="auto"/>
              <w:rPr>
                <w:sz w:val="24"/>
              </w:rPr>
            </w:pPr>
            <w:r w:rsidRPr="004A7929">
              <w:rPr>
                <w:sz w:val="24"/>
              </w:rPr>
              <w:t>R</w:t>
            </w:r>
            <w:r>
              <w:rPr>
                <w:sz w:val="24"/>
              </w:rPr>
              <w:t>enal replacement therapy (RRT)</w:t>
            </w:r>
            <w:r w:rsidRPr="004A7929">
              <w:rPr>
                <w:sz w:val="24"/>
              </w:rPr>
              <w:t>:</w:t>
            </w:r>
          </w:p>
          <w:p w14:paraId="3AE660FB" w14:textId="77777777" w:rsidR="00404C92" w:rsidRPr="004A7929" w:rsidRDefault="00404C92" w:rsidP="00692CC0">
            <w:pPr>
              <w:spacing w:line="240" w:lineRule="auto"/>
              <w:rPr>
                <w:sz w:val="24"/>
              </w:rPr>
            </w:pPr>
            <w:r w:rsidRPr="004A7929">
              <w:rPr>
                <w:sz w:val="24"/>
              </w:rPr>
              <w:t>- Requirement for RRT</w:t>
            </w:r>
          </w:p>
          <w:p w14:paraId="332343C4" w14:textId="77777777" w:rsidR="00404C92" w:rsidRPr="004A7929" w:rsidRDefault="00404C92" w:rsidP="00692CC0">
            <w:pPr>
              <w:spacing w:line="240" w:lineRule="auto"/>
              <w:rPr>
                <w:sz w:val="24"/>
              </w:rPr>
            </w:pPr>
            <w:r w:rsidRPr="004A7929">
              <w:rPr>
                <w:sz w:val="24"/>
              </w:rPr>
              <w:t>- RRT duration</w:t>
            </w:r>
          </w:p>
          <w:p w14:paraId="6AEB9416" w14:textId="77777777" w:rsidR="00404C92" w:rsidRPr="004A7929" w:rsidRDefault="00404C92" w:rsidP="00692CC0">
            <w:pPr>
              <w:spacing w:line="240" w:lineRule="auto"/>
              <w:rPr>
                <w:sz w:val="24"/>
              </w:rPr>
            </w:pPr>
            <w:r w:rsidRPr="004A7929">
              <w:rPr>
                <w:sz w:val="24"/>
              </w:rPr>
              <w:t>- Requirement for long-term haemofiltration</w:t>
            </w:r>
          </w:p>
        </w:tc>
        <w:tc>
          <w:tcPr>
            <w:tcW w:w="1805" w:type="dxa"/>
          </w:tcPr>
          <w:p w14:paraId="6A9D00AF"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p>
          <w:p w14:paraId="24301A9C"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p w14:paraId="64798EC3"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p w14:paraId="2666C29B"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4F448023"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p>
          <w:p w14:paraId="11F491AA"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p w14:paraId="6E84DD27"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p w14:paraId="7A251C6C"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61A70458"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795B769F" w14:textId="77777777" w:rsidR="00404C92" w:rsidRPr="004A7929" w:rsidRDefault="00404C92" w:rsidP="00692CC0">
            <w:pPr>
              <w:spacing w:line="240" w:lineRule="auto"/>
              <w:rPr>
                <w:sz w:val="24"/>
              </w:rPr>
            </w:pPr>
            <w:r w:rsidRPr="004A7929">
              <w:rPr>
                <w:sz w:val="24"/>
              </w:rPr>
              <w:t>I</w:t>
            </w:r>
            <w:r>
              <w:rPr>
                <w:sz w:val="24"/>
              </w:rPr>
              <w:t>nvasive mechanical ventilation (IMV)</w:t>
            </w:r>
            <w:r w:rsidRPr="004A7929">
              <w:rPr>
                <w:sz w:val="24"/>
              </w:rPr>
              <w:t>:</w:t>
            </w:r>
          </w:p>
          <w:p w14:paraId="44E2B6E9" w14:textId="77777777" w:rsidR="00404C92" w:rsidRPr="004A7929" w:rsidRDefault="00404C92" w:rsidP="00692CC0">
            <w:pPr>
              <w:spacing w:line="240" w:lineRule="auto"/>
              <w:rPr>
                <w:sz w:val="24"/>
              </w:rPr>
            </w:pPr>
            <w:r w:rsidRPr="004A7929">
              <w:rPr>
                <w:sz w:val="24"/>
              </w:rPr>
              <w:t>- Requirement for IMV</w:t>
            </w:r>
          </w:p>
          <w:p w14:paraId="488FD9F1" w14:textId="77777777" w:rsidR="00404C92" w:rsidRPr="004A7929" w:rsidRDefault="00404C92" w:rsidP="00692CC0">
            <w:pPr>
              <w:spacing w:line="240" w:lineRule="auto"/>
              <w:rPr>
                <w:sz w:val="24"/>
              </w:rPr>
            </w:pPr>
            <w:r w:rsidRPr="004A7929">
              <w:rPr>
                <w:sz w:val="24"/>
              </w:rPr>
              <w:t>- IMV duration</w:t>
            </w:r>
          </w:p>
        </w:tc>
        <w:tc>
          <w:tcPr>
            <w:tcW w:w="1805" w:type="dxa"/>
          </w:tcPr>
          <w:p w14:paraId="51A8CF76"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p>
          <w:p w14:paraId="542BC4B2"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p w14:paraId="2E25D0E8"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c>
          <w:tcPr>
            <w:tcW w:w="1843" w:type="dxa"/>
          </w:tcPr>
          <w:p w14:paraId="7BCC31DD"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p>
          <w:p w14:paraId="63A1E677"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p w14:paraId="551354BF"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48FD3D35"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5F5E7F74" w14:textId="77777777" w:rsidR="00404C92" w:rsidRPr="004A7929" w:rsidRDefault="00404C92" w:rsidP="00692CC0">
            <w:pPr>
              <w:spacing w:line="240" w:lineRule="auto"/>
              <w:rPr>
                <w:sz w:val="24"/>
              </w:rPr>
            </w:pPr>
            <w:r w:rsidRPr="004A7929">
              <w:rPr>
                <w:sz w:val="24"/>
              </w:rPr>
              <w:t>Vasopressors:</w:t>
            </w:r>
          </w:p>
          <w:p w14:paraId="474C7D07" w14:textId="77777777" w:rsidR="00404C92" w:rsidRPr="004A7929" w:rsidRDefault="00404C92" w:rsidP="00692CC0">
            <w:pPr>
              <w:spacing w:line="240" w:lineRule="auto"/>
              <w:rPr>
                <w:sz w:val="24"/>
              </w:rPr>
            </w:pPr>
            <w:r w:rsidRPr="004A7929">
              <w:rPr>
                <w:sz w:val="24"/>
              </w:rPr>
              <w:t>- Requirement for vasopressors</w:t>
            </w:r>
          </w:p>
          <w:p w14:paraId="5C6540FF" w14:textId="77777777" w:rsidR="00404C92" w:rsidRPr="004A7929" w:rsidRDefault="00404C92" w:rsidP="00692CC0">
            <w:pPr>
              <w:spacing w:line="240" w:lineRule="auto"/>
              <w:rPr>
                <w:sz w:val="24"/>
              </w:rPr>
            </w:pPr>
            <w:r w:rsidRPr="004A7929">
              <w:rPr>
                <w:sz w:val="24"/>
              </w:rPr>
              <w:t>- Vasopressor duration</w:t>
            </w:r>
          </w:p>
        </w:tc>
        <w:tc>
          <w:tcPr>
            <w:tcW w:w="1805" w:type="dxa"/>
          </w:tcPr>
          <w:p w14:paraId="337B4D1B"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p>
          <w:p w14:paraId="1C49CFD0"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p w14:paraId="56B63195"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269904DC"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p>
          <w:p w14:paraId="575C3CB2"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p w14:paraId="08914B2A"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2204759A"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362207E0" w14:textId="77777777" w:rsidR="00404C92" w:rsidRPr="004A7929" w:rsidRDefault="00404C92" w:rsidP="00692CC0">
            <w:pPr>
              <w:spacing w:line="240" w:lineRule="auto"/>
              <w:rPr>
                <w:sz w:val="24"/>
              </w:rPr>
            </w:pPr>
            <w:r w:rsidRPr="004A7929">
              <w:rPr>
                <w:sz w:val="24"/>
              </w:rPr>
              <w:t>Creatinine on admission</w:t>
            </w:r>
          </w:p>
        </w:tc>
        <w:tc>
          <w:tcPr>
            <w:tcW w:w="1805" w:type="dxa"/>
          </w:tcPr>
          <w:p w14:paraId="5294EC3F"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1 (2.8%)</w:t>
            </w:r>
          </w:p>
        </w:tc>
        <w:tc>
          <w:tcPr>
            <w:tcW w:w="1843" w:type="dxa"/>
          </w:tcPr>
          <w:p w14:paraId="36381EDB"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1 (2.1%)</w:t>
            </w:r>
          </w:p>
        </w:tc>
      </w:tr>
      <w:tr w:rsidR="00404C92" w:rsidRPr="00645A8C" w14:paraId="1136EF14"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202057B5" w14:textId="77777777" w:rsidR="00404C92" w:rsidRPr="004A7929" w:rsidRDefault="00404C92" w:rsidP="00692CC0">
            <w:pPr>
              <w:spacing w:line="240" w:lineRule="auto"/>
              <w:rPr>
                <w:sz w:val="24"/>
              </w:rPr>
            </w:pPr>
            <w:r w:rsidRPr="004A7929">
              <w:rPr>
                <w:sz w:val="24"/>
              </w:rPr>
              <w:t>Creatinine day filter started</w:t>
            </w:r>
          </w:p>
        </w:tc>
        <w:tc>
          <w:tcPr>
            <w:tcW w:w="1805" w:type="dxa"/>
          </w:tcPr>
          <w:p w14:paraId="13D18E87"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 (2.8%)</w:t>
            </w:r>
          </w:p>
        </w:tc>
        <w:tc>
          <w:tcPr>
            <w:tcW w:w="1843" w:type="dxa"/>
          </w:tcPr>
          <w:p w14:paraId="6955875D"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456D3E94"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037E8226" w14:textId="77777777" w:rsidR="00404C92" w:rsidRPr="004A7929" w:rsidRDefault="00404C92" w:rsidP="00692CC0">
            <w:pPr>
              <w:spacing w:line="240" w:lineRule="auto"/>
              <w:rPr>
                <w:sz w:val="24"/>
              </w:rPr>
            </w:pPr>
            <w:r w:rsidRPr="004A7929">
              <w:rPr>
                <w:sz w:val="24"/>
              </w:rPr>
              <w:t>Urea day filter started</w:t>
            </w:r>
          </w:p>
        </w:tc>
        <w:tc>
          <w:tcPr>
            <w:tcW w:w="1805" w:type="dxa"/>
          </w:tcPr>
          <w:p w14:paraId="2753A1E8"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6 (16.7%)</w:t>
            </w:r>
          </w:p>
        </w:tc>
        <w:tc>
          <w:tcPr>
            <w:tcW w:w="1843" w:type="dxa"/>
          </w:tcPr>
          <w:p w14:paraId="4E76FA4D"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9 (19.1%)</w:t>
            </w:r>
          </w:p>
        </w:tc>
      </w:tr>
      <w:tr w:rsidR="00404C92" w:rsidRPr="00645A8C" w14:paraId="68A65BAE"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0B068F1B" w14:textId="77777777" w:rsidR="00404C92" w:rsidRPr="004A7929" w:rsidRDefault="00404C92" w:rsidP="00692CC0">
            <w:pPr>
              <w:spacing w:line="240" w:lineRule="auto"/>
              <w:rPr>
                <w:sz w:val="24"/>
              </w:rPr>
            </w:pPr>
            <w:r w:rsidRPr="004A7929">
              <w:rPr>
                <w:sz w:val="24"/>
              </w:rPr>
              <w:t>pH day filter started</w:t>
            </w:r>
          </w:p>
        </w:tc>
        <w:tc>
          <w:tcPr>
            <w:tcW w:w="1805" w:type="dxa"/>
          </w:tcPr>
          <w:p w14:paraId="15ACC266"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 (2.8%)</w:t>
            </w:r>
          </w:p>
        </w:tc>
        <w:tc>
          <w:tcPr>
            <w:tcW w:w="1843" w:type="dxa"/>
          </w:tcPr>
          <w:p w14:paraId="1FAA7063"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44E62295"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51181A9F" w14:textId="77777777" w:rsidR="00404C92" w:rsidRPr="004A7929" w:rsidRDefault="00404C92" w:rsidP="00692CC0">
            <w:pPr>
              <w:spacing w:line="240" w:lineRule="auto"/>
              <w:rPr>
                <w:sz w:val="24"/>
              </w:rPr>
            </w:pPr>
            <w:r w:rsidRPr="004A7929">
              <w:rPr>
                <w:sz w:val="24"/>
              </w:rPr>
              <w:t>Potassium day filter started</w:t>
            </w:r>
          </w:p>
        </w:tc>
        <w:tc>
          <w:tcPr>
            <w:tcW w:w="1805" w:type="dxa"/>
          </w:tcPr>
          <w:p w14:paraId="24C21BA2"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c>
          <w:tcPr>
            <w:tcW w:w="1843" w:type="dxa"/>
          </w:tcPr>
          <w:p w14:paraId="45AACF79"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242B761A"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4BC98EDC" w14:textId="77777777" w:rsidR="00404C92" w:rsidRPr="004A7929" w:rsidRDefault="00404C92" w:rsidP="00692CC0">
            <w:pPr>
              <w:spacing w:line="240" w:lineRule="auto"/>
              <w:rPr>
                <w:sz w:val="24"/>
              </w:rPr>
            </w:pPr>
            <w:r w:rsidRPr="004A7929">
              <w:rPr>
                <w:sz w:val="24"/>
              </w:rPr>
              <w:t>Lactate day filter started</w:t>
            </w:r>
          </w:p>
        </w:tc>
        <w:tc>
          <w:tcPr>
            <w:tcW w:w="1805" w:type="dxa"/>
          </w:tcPr>
          <w:p w14:paraId="0E7A7ADF"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0BC87489"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701001BF"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325E7E1E" w14:textId="77777777" w:rsidR="00404C92" w:rsidRPr="004A7929" w:rsidRDefault="00404C92" w:rsidP="00692CC0">
            <w:pPr>
              <w:spacing w:line="240" w:lineRule="auto"/>
              <w:rPr>
                <w:sz w:val="24"/>
              </w:rPr>
            </w:pPr>
            <w:r w:rsidRPr="004A7929">
              <w:rPr>
                <w:sz w:val="24"/>
              </w:rPr>
              <w:t>Bicarbonate day filter started</w:t>
            </w:r>
          </w:p>
        </w:tc>
        <w:tc>
          <w:tcPr>
            <w:tcW w:w="1805" w:type="dxa"/>
          </w:tcPr>
          <w:p w14:paraId="6E1900FD"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2 (5.6%)</w:t>
            </w:r>
          </w:p>
        </w:tc>
        <w:tc>
          <w:tcPr>
            <w:tcW w:w="1843" w:type="dxa"/>
          </w:tcPr>
          <w:p w14:paraId="5047DDAC"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10E472C1"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311FFCAA" w14:textId="77777777" w:rsidR="00404C92" w:rsidRPr="004A7929" w:rsidRDefault="00404C92" w:rsidP="00692CC0">
            <w:pPr>
              <w:spacing w:line="240" w:lineRule="auto"/>
              <w:rPr>
                <w:sz w:val="24"/>
              </w:rPr>
            </w:pPr>
            <w:r w:rsidRPr="004A7929">
              <w:rPr>
                <w:sz w:val="24"/>
              </w:rPr>
              <w:t>Base deficit day filter started</w:t>
            </w:r>
          </w:p>
        </w:tc>
        <w:tc>
          <w:tcPr>
            <w:tcW w:w="1805" w:type="dxa"/>
          </w:tcPr>
          <w:p w14:paraId="332CDE66"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5B5CC452"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06122BB8"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27131E59" w14:textId="77777777" w:rsidR="00404C92" w:rsidRPr="004A7929" w:rsidRDefault="00404C92" w:rsidP="00692CC0">
            <w:pPr>
              <w:spacing w:line="240" w:lineRule="auto"/>
              <w:rPr>
                <w:sz w:val="24"/>
              </w:rPr>
            </w:pPr>
            <w:r w:rsidRPr="004A7929">
              <w:rPr>
                <w:sz w:val="24"/>
              </w:rPr>
              <w:t>Cumulative fluid balance day filter started</w:t>
            </w:r>
          </w:p>
        </w:tc>
        <w:tc>
          <w:tcPr>
            <w:tcW w:w="1805" w:type="dxa"/>
          </w:tcPr>
          <w:p w14:paraId="237FF3B5"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c>
          <w:tcPr>
            <w:tcW w:w="1843" w:type="dxa"/>
          </w:tcPr>
          <w:p w14:paraId="7EB52325"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3 (6.4%)</w:t>
            </w:r>
          </w:p>
        </w:tc>
      </w:tr>
      <w:tr w:rsidR="00404C92" w:rsidRPr="00645A8C" w14:paraId="243812B3"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0223ED44" w14:textId="77777777" w:rsidR="00404C92" w:rsidRPr="004A7929" w:rsidRDefault="00404C92" w:rsidP="00692CC0">
            <w:pPr>
              <w:spacing w:line="240" w:lineRule="auto"/>
              <w:rPr>
                <w:sz w:val="24"/>
              </w:rPr>
            </w:pPr>
            <w:r w:rsidRPr="004A7929">
              <w:rPr>
                <w:sz w:val="24"/>
              </w:rPr>
              <w:t>Urine output in preceding 24 hours</w:t>
            </w:r>
          </w:p>
        </w:tc>
        <w:tc>
          <w:tcPr>
            <w:tcW w:w="1805" w:type="dxa"/>
          </w:tcPr>
          <w:p w14:paraId="3751FEC1"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5FA6FCAB"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6D062B43"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16322A0E" w14:textId="77777777" w:rsidR="00404C92" w:rsidRPr="004A7929" w:rsidRDefault="00404C92" w:rsidP="00692CC0">
            <w:pPr>
              <w:spacing w:line="240" w:lineRule="auto"/>
              <w:rPr>
                <w:sz w:val="24"/>
              </w:rPr>
            </w:pPr>
            <w:r w:rsidRPr="004A7929">
              <w:rPr>
                <w:rFonts w:cs="Arial"/>
                <w:color w:val="000000" w:themeColor="text1"/>
                <w:sz w:val="24"/>
              </w:rPr>
              <w:t>PaO</w:t>
            </w:r>
            <w:r w:rsidRPr="004A7929">
              <w:rPr>
                <w:rFonts w:cs="Arial"/>
                <w:color w:val="000000" w:themeColor="text1"/>
                <w:sz w:val="24"/>
                <w:vertAlign w:val="subscript"/>
              </w:rPr>
              <w:t>2</w:t>
            </w:r>
            <w:r w:rsidRPr="004A7929">
              <w:rPr>
                <w:rFonts w:cs="Arial"/>
                <w:color w:val="000000" w:themeColor="text1"/>
                <w:sz w:val="24"/>
              </w:rPr>
              <w:t>:FiO</w:t>
            </w:r>
            <w:r w:rsidRPr="004A7929">
              <w:rPr>
                <w:rFonts w:cs="Arial"/>
                <w:color w:val="000000" w:themeColor="text1"/>
                <w:sz w:val="24"/>
                <w:vertAlign w:val="subscript"/>
              </w:rPr>
              <w:t>2</w:t>
            </w:r>
            <w:r w:rsidRPr="004A7929">
              <w:rPr>
                <w:rFonts w:cs="Arial"/>
                <w:color w:val="000000" w:themeColor="text1"/>
                <w:sz w:val="24"/>
              </w:rPr>
              <w:t xml:space="preserve"> ratio </w:t>
            </w:r>
            <w:r>
              <w:rPr>
                <w:rFonts w:cs="Arial"/>
                <w:color w:val="000000" w:themeColor="text1"/>
                <w:sz w:val="24"/>
              </w:rPr>
              <w:t xml:space="preserve">on </w:t>
            </w:r>
            <w:r w:rsidRPr="004A7929">
              <w:rPr>
                <w:rFonts w:cs="Arial"/>
                <w:color w:val="000000" w:themeColor="text1"/>
                <w:sz w:val="24"/>
              </w:rPr>
              <w:t>day filter started</w:t>
            </w:r>
          </w:p>
        </w:tc>
        <w:tc>
          <w:tcPr>
            <w:tcW w:w="1805" w:type="dxa"/>
          </w:tcPr>
          <w:p w14:paraId="1D842A70"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1 (2.8%)</w:t>
            </w:r>
          </w:p>
        </w:tc>
        <w:tc>
          <w:tcPr>
            <w:tcW w:w="1843" w:type="dxa"/>
          </w:tcPr>
          <w:p w14:paraId="725CCBDF"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2 (4.3%)</w:t>
            </w:r>
          </w:p>
        </w:tc>
      </w:tr>
      <w:tr w:rsidR="00404C92" w:rsidRPr="00645A8C" w14:paraId="20767435"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20B68FEB" w14:textId="77777777" w:rsidR="00404C92" w:rsidRDefault="00404C92" w:rsidP="00692CC0">
            <w:pPr>
              <w:spacing w:line="240" w:lineRule="auto"/>
              <w:rPr>
                <w:rFonts w:cs="Arial"/>
                <w:b w:val="0"/>
                <w:bCs w:val="0"/>
                <w:color w:val="000000" w:themeColor="text1"/>
                <w:sz w:val="24"/>
              </w:rPr>
            </w:pPr>
            <w:r w:rsidRPr="004A7929">
              <w:rPr>
                <w:rFonts w:cs="Arial"/>
                <w:color w:val="000000" w:themeColor="text1"/>
                <w:sz w:val="24"/>
              </w:rPr>
              <w:t xml:space="preserve">Biochemistry day -1 from RRT initiation to day +3 </w:t>
            </w:r>
          </w:p>
          <w:p w14:paraId="16BBF77A"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(all values present)</w:t>
            </w:r>
          </w:p>
        </w:tc>
        <w:tc>
          <w:tcPr>
            <w:tcW w:w="1805" w:type="dxa"/>
          </w:tcPr>
          <w:p w14:paraId="4411B346"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15 (41.2%)</w:t>
            </w:r>
          </w:p>
          <w:p w14:paraId="761767DB"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p>
        </w:tc>
        <w:tc>
          <w:tcPr>
            <w:tcW w:w="1843" w:type="dxa"/>
          </w:tcPr>
          <w:p w14:paraId="7AF83E2E"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15 (31.9%)</w:t>
            </w:r>
          </w:p>
        </w:tc>
      </w:tr>
      <w:tr w:rsidR="00404C92" w:rsidRPr="00645A8C" w14:paraId="6B42E6B0"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7B54D4B7" w14:textId="77777777" w:rsidR="00404C92" w:rsidRDefault="00404C92" w:rsidP="00692CC0">
            <w:pPr>
              <w:spacing w:line="240" w:lineRule="auto"/>
              <w:rPr>
                <w:rFonts w:cs="Arial"/>
                <w:b w:val="0"/>
                <w:bCs w:val="0"/>
                <w:color w:val="000000" w:themeColor="text1"/>
                <w:sz w:val="24"/>
              </w:rPr>
            </w:pPr>
            <w:r w:rsidRPr="004A7929">
              <w:rPr>
                <w:rFonts w:cs="Arial"/>
                <w:color w:val="000000" w:themeColor="text1"/>
                <w:sz w:val="24"/>
              </w:rPr>
              <w:t xml:space="preserve">24-hour fluid balance day -1 from RRT initiation to day +3 </w:t>
            </w:r>
          </w:p>
          <w:p w14:paraId="00716AEB" w14:textId="77777777" w:rsidR="00404C92" w:rsidRPr="004A7929" w:rsidRDefault="00404C92" w:rsidP="00692CC0">
            <w:pPr>
              <w:spacing w:line="240" w:lineRule="auto"/>
              <w:rPr>
                <w:rFonts w:cs="Arial"/>
                <w:color w:val="FF0000"/>
                <w:sz w:val="24"/>
              </w:rPr>
            </w:pPr>
            <w:r w:rsidRPr="004A7929">
              <w:rPr>
                <w:rFonts w:cs="Arial"/>
                <w:color w:val="000000" w:themeColor="text1"/>
                <w:sz w:val="24"/>
              </w:rPr>
              <w:t>(all values present)</w:t>
            </w:r>
          </w:p>
        </w:tc>
        <w:tc>
          <w:tcPr>
            <w:tcW w:w="1805" w:type="dxa"/>
          </w:tcPr>
          <w:p w14:paraId="1A1F655B"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16 (44.4%)</w:t>
            </w:r>
          </w:p>
        </w:tc>
        <w:tc>
          <w:tcPr>
            <w:tcW w:w="1843" w:type="dxa"/>
          </w:tcPr>
          <w:p w14:paraId="41801F70"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13 (27.7%)</w:t>
            </w:r>
          </w:p>
        </w:tc>
      </w:tr>
      <w:tr w:rsidR="00404C92" w:rsidRPr="00645A8C" w14:paraId="610E40BB"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0098CBC0" w14:textId="77777777" w:rsidR="00404C92" w:rsidRPr="004A7929" w:rsidRDefault="00404C92" w:rsidP="00692CC0">
            <w:pPr>
              <w:spacing w:line="240" w:lineRule="auto"/>
              <w:rPr>
                <w:rFonts w:cs="Arial"/>
                <w:color w:val="000000" w:themeColor="text1"/>
                <w:sz w:val="24"/>
              </w:rPr>
            </w:pPr>
            <w:r>
              <w:rPr>
                <w:rFonts w:cs="Arial"/>
                <w:color w:val="000000" w:themeColor="text1"/>
                <w:sz w:val="24"/>
              </w:rPr>
              <w:t>Venous thromboembolism</w:t>
            </w:r>
            <w:r w:rsidRPr="004A7929">
              <w:rPr>
                <w:rFonts w:cs="Arial"/>
                <w:color w:val="000000" w:themeColor="text1"/>
                <w:sz w:val="24"/>
              </w:rPr>
              <w:t xml:space="preserve"> during admission</w:t>
            </w:r>
          </w:p>
        </w:tc>
        <w:tc>
          <w:tcPr>
            <w:tcW w:w="1805" w:type="dxa"/>
          </w:tcPr>
          <w:p w14:paraId="00CD481D"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5E543F53"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01F12752"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7AD634E6"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Anticoagulation:</w:t>
            </w:r>
          </w:p>
          <w:p w14:paraId="06B85C23"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 xml:space="preserve">- Regional citrate anticoagulation </w:t>
            </w:r>
            <w:r>
              <w:rPr>
                <w:rFonts w:cs="Arial"/>
                <w:color w:val="000000" w:themeColor="text1"/>
                <w:sz w:val="24"/>
              </w:rPr>
              <w:t>and</w:t>
            </w:r>
            <w:r w:rsidRPr="004A7929">
              <w:rPr>
                <w:rFonts w:cs="Arial"/>
                <w:color w:val="000000" w:themeColor="text1"/>
                <w:sz w:val="24"/>
              </w:rPr>
              <w:t xml:space="preserve"> prophylactic LMWH</w:t>
            </w:r>
          </w:p>
          <w:p w14:paraId="69B35280"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 Systemic therapeutic LMWH</w:t>
            </w:r>
          </w:p>
        </w:tc>
        <w:tc>
          <w:tcPr>
            <w:tcW w:w="1805" w:type="dxa"/>
          </w:tcPr>
          <w:p w14:paraId="1F70E3A6"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p>
          <w:p w14:paraId="48DA2767"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p w14:paraId="74267AEC"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N/A</w:t>
            </w:r>
          </w:p>
        </w:tc>
        <w:tc>
          <w:tcPr>
            <w:tcW w:w="1843" w:type="dxa"/>
          </w:tcPr>
          <w:p w14:paraId="0346AE24"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p>
          <w:p w14:paraId="49935F0A"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p w14:paraId="35B1D2CF"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3EF8F4AC"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1B7E1948"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Filter clotting</w:t>
            </w:r>
          </w:p>
        </w:tc>
        <w:tc>
          <w:tcPr>
            <w:tcW w:w="1805" w:type="dxa"/>
          </w:tcPr>
          <w:p w14:paraId="4F9CA43E"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4755BB22"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3E1C7A96"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6FCF44D8"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Red cell transfusions</w:t>
            </w:r>
          </w:p>
        </w:tc>
        <w:tc>
          <w:tcPr>
            <w:tcW w:w="1805" w:type="dxa"/>
          </w:tcPr>
          <w:p w14:paraId="7D9114EA"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c>
          <w:tcPr>
            <w:tcW w:w="1843" w:type="dxa"/>
          </w:tcPr>
          <w:p w14:paraId="41DC5E5A"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4CFB39F3"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6597A8CD"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ICU length of stay</w:t>
            </w:r>
          </w:p>
        </w:tc>
        <w:tc>
          <w:tcPr>
            <w:tcW w:w="1805" w:type="dxa"/>
          </w:tcPr>
          <w:p w14:paraId="0633B849"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09318D02"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703A57D7"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5CEB1045"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Time from RRT cessation to hospital discharge</w:t>
            </w:r>
          </w:p>
        </w:tc>
        <w:tc>
          <w:tcPr>
            <w:tcW w:w="1805" w:type="dxa"/>
          </w:tcPr>
          <w:p w14:paraId="40DBFD9C"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c>
          <w:tcPr>
            <w:tcW w:w="1843" w:type="dxa"/>
          </w:tcPr>
          <w:p w14:paraId="529D1BA5"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7302981A"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0948B737"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Hospital mortality</w:t>
            </w:r>
          </w:p>
        </w:tc>
        <w:tc>
          <w:tcPr>
            <w:tcW w:w="1805" w:type="dxa"/>
          </w:tcPr>
          <w:p w14:paraId="45A95FDE"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c>
          <w:tcPr>
            <w:tcW w:w="1843" w:type="dxa"/>
          </w:tcPr>
          <w:p w14:paraId="0DCFABE8" w14:textId="77777777" w:rsidR="00404C92" w:rsidRPr="004A792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4A7929">
              <w:rPr>
                <w:sz w:val="24"/>
              </w:rPr>
              <w:t>0 (0%)</w:t>
            </w:r>
          </w:p>
        </w:tc>
      </w:tr>
      <w:tr w:rsidR="00404C92" w:rsidRPr="00645A8C" w14:paraId="70A895B8" w14:textId="77777777" w:rsidTr="00692CC0">
        <w:tc>
          <w:tcPr>
            <w:cnfStyle w:val="001000000000" w:firstRow="0" w:lastRow="0" w:firstColumn="1" w:lastColumn="0" w:oddVBand="0" w:evenVBand="0" w:oddHBand="0" w:evenHBand="0" w:firstRowFirstColumn="0" w:firstRowLastColumn="0" w:lastRowFirstColumn="0" w:lastRowLastColumn="0"/>
            <w:tcW w:w="5674" w:type="dxa"/>
          </w:tcPr>
          <w:p w14:paraId="45921FD2"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t>Creatinine on hospital discharge (survivors)</w:t>
            </w:r>
          </w:p>
        </w:tc>
        <w:tc>
          <w:tcPr>
            <w:tcW w:w="1805" w:type="dxa"/>
          </w:tcPr>
          <w:p w14:paraId="11DB973B"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c>
          <w:tcPr>
            <w:tcW w:w="1843" w:type="dxa"/>
          </w:tcPr>
          <w:p w14:paraId="3045610A" w14:textId="77777777" w:rsidR="00404C92" w:rsidRPr="004A7929" w:rsidRDefault="00404C92" w:rsidP="00692CC0">
            <w:pPr>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4A7929">
              <w:rPr>
                <w:sz w:val="24"/>
              </w:rPr>
              <w:t>0 (0%)</w:t>
            </w:r>
          </w:p>
        </w:tc>
      </w:tr>
      <w:tr w:rsidR="00404C92" w:rsidRPr="00645A8C" w14:paraId="0FD96CCC" w14:textId="77777777" w:rsidTr="0069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4" w:type="dxa"/>
          </w:tcPr>
          <w:p w14:paraId="0E84B2ED" w14:textId="77777777" w:rsidR="00404C92" w:rsidRPr="004A7929" w:rsidRDefault="00404C92" w:rsidP="00692CC0">
            <w:pPr>
              <w:spacing w:line="240" w:lineRule="auto"/>
              <w:rPr>
                <w:rFonts w:cs="Arial"/>
                <w:color w:val="000000" w:themeColor="text1"/>
                <w:sz w:val="24"/>
              </w:rPr>
            </w:pPr>
            <w:r w:rsidRPr="004A7929">
              <w:rPr>
                <w:rFonts w:cs="Arial"/>
                <w:color w:val="000000" w:themeColor="text1"/>
                <w:sz w:val="24"/>
              </w:rPr>
              <w:lastRenderedPageBreak/>
              <w:t>Requirement for long-term RRT</w:t>
            </w:r>
          </w:p>
        </w:tc>
        <w:tc>
          <w:tcPr>
            <w:tcW w:w="1805" w:type="dxa"/>
          </w:tcPr>
          <w:p w14:paraId="13D0E3F9" w14:textId="77777777" w:rsidR="00404C92" w:rsidRPr="004A3A69" w:rsidRDefault="00404C92" w:rsidP="00692CC0">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0 </w:t>
            </w:r>
            <w:r w:rsidRPr="004A3A69">
              <w:rPr>
                <w:sz w:val="24"/>
              </w:rPr>
              <w:t>(0%)</w:t>
            </w:r>
          </w:p>
        </w:tc>
        <w:tc>
          <w:tcPr>
            <w:tcW w:w="1843" w:type="dxa"/>
          </w:tcPr>
          <w:p w14:paraId="4FC691EF" w14:textId="77777777" w:rsidR="00404C92" w:rsidRPr="004A3A69" w:rsidRDefault="00404C92" w:rsidP="00692CC0">
            <w:pPr>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0 </w:t>
            </w:r>
            <w:r w:rsidRPr="004A3A69">
              <w:rPr>
                <w:sz w:val="24"/>
              </w:rPr>
              <w:t>(0%)</w:t>
            </w:r>
          </w:p>
        </w:tc>
      </w:tr>
    </w:tbl>
    <w:p w14:paraId="232F81F6" w14:textId="77777777" w:rsidR="00404C92" w:rsidRDefault="00404C92" w:rsidP="00404C92">
      <w:pPr>
        <w:spacing w:line="240" w:lineRule="auto"/>
        <w:jc w:val="left"/>
        <w:rPr>
          <w:sz w:val="24"/>
        </w:rPr>
      </w:pPr>
      <w:r>
        <w:rPr>
          <w:sz w:val="24"/>
        </w:rPr>
        <w:t xml:space="preserve"> LMWH = low molecular weight heparin; RRT</w:t>
      </w:r>
    </w:p>
    <w:p w14:paraId="70998884" w14:textId="77777777" w:rsidR="00404C92" w:rsidRPr="004A7929" w:rsidRDefault="00404C92" w:rsidP="00404C92">
      <w:pPr>
        <w:spacing w:line="240" w:lineRule="auto"/>
        <w:jc w:val="left"/>
        <w:rPr>
          <w:rFonts w:asciiTheme="majorHAnsi" w:eastAsiaTheme="majorEastAsia" w:hAnsiTheme="majorHAnsi" w:cstheme="majorBidi"/>
          <w:color w:val="2F5496" w:themeColor="accent1" w:themeShade="BF"/>
          <w:sz w:val="24"/>
        </w:rPr>
      </w:pPr>
      <w:r w:rsidRPr="004A7929">
        <w:rPr>
          <w:sz w:val="24"/>
        </w:rPr>
        <w:br w:type="page"/>
      </w:r>
    </w:p>
    <w:p w14:paraId="4D171B1A" w14:textId="77777777" w:rsidR="00404C92" w:rsidRPr="006F065E" w:rsidRDefault="00404C92" w:rsidP="00404C92">
      <w:pPr>
        <w:pStyle w:val="Heading2"/>
        <w:numPr>
          <w:ilvl w:val="0"/>
          <w:numId w:val="3"/>
        </w:numPr>
        <w:rPr>
          <w:sz w:val="32"/>
          <w:szCs w:val="24"/>
        </w:rPr>
      </w:pPr>
      <w:r w:rsidRPr="006F065E">
        <w:rPr>
          <w:sz w:val="32"/>
          <w:szCs w:val="24"/>
        </w:rPr>
        <w:lastRenderedPageBreak/>
        <w:t xml:space="preserve"> CVVHF protocol</w:t>
      </w:r>
    </w:p>
    <w:p w14:paraId="0A7784B2" w14:textId="77777777" w:rsidR="00404C92" w:rsidRPr="004A7929" w:rsidRDefault="00404C92" w:rsidP="00404C92">
      <w:pPr>
        <w:rPr>
          <w:sz w:val="24"/>
        </w:rPr>
      </w:pPr>
      <w:r w:rsidRPr="004A7929">
        <w:rPr>
          <w:rFonts w:cs="Arial"/>
          <w:sz w:val="24"/>
        </w:rPr>
        <w:t>Citrate</w:t>
      </w:r>
      <w:r>
        <w:rPr>
          <w:rFonts w:cs="Arial"/>
          <w:sz w:val="24"/>
        </w:rPr>
        <w:t>-</w:t>
      </w:r>
      <w:r w:rsidRPr="004A7929">
        <w:rPr>
          <w:rFonts w:cs="Arial"/>
          <w:sz w:val="24"/>
        </w:rPr>
        <w:t xml:space="preserve">based regional anticoagulation </w:t>
      </w:r>
      <w:r>
        <w:rPr>
          <w:rFonts w:cs="Arial"/>
          <w:sz w:val="24"/>
        </w:rPr>
        <w:t>is</w:t>
      </w:r>
      <w:r w:rsidRPr="004A7929">
        <w:rPr>
          <w:rFonts w:cs="Arial"/>
          <w:sz w:val="24"/>
        </w:rPr>
        <w:t xml:space="preserve"> </w:t>
      </w:r>
      <w:r>
        <w:rPr>
          <w:rFonts w:cs="Arial"/>
          <w:sz w:val="24"/>
        </w:rPr>
        <w:t>in routine use</w:t>
      </w:r>
      <w:r w:rsidRPr="004A7929">
        <w:rPr>
          <w:rFonts w:cs="Arial"/>
          <w:sz w:val="24"/>
        </w:rPr>
        <w:t xml:space="preserve"> since 2015. Initiation </w:t>
      </w:r>
      <w:r>
        <w:rPr>
          <w:rFonts w:cs="Arial"/>
          <w:sz w:val="24"/>
        </w:rPr>
        <w:t>settings are</w:t>
      </w:r>
      <w:r w:rsidRPr="004A7929">
        <w:rPr>
          <w:rFonts w:cs="Arial"/>
          <w:sz w:val="24"/>
        </w:rPr>
        <w:t xml:space="preserve"> dialysis rate 1000</w:t>
      </w:r>
      <w:r>
        <w:rPr>
          <w:rFonts w:cs="Arial"/>
          <w:sz w:val="24"/>
        </w:rPr>
        <w:t xml:space="preserve"> </w:t>
      </w:r>
      <w:r w:rsidRPr="004A7929">
        <w:rPr>
          <w:rFonts w:cs="Arial"/>
          <w:sz w:val="24"/>
        </w:rPr>
        <w:t>ml/hr, replacement rate (post-filter) 200</w:t>
      </w:r>
      <w:r>
        <w:rPr>
          <w:rFonts w:cs="Arial"/>
          <w:sz w:val="24"/>
        </w:rPr>
        <w:t xml:space="preserve"> </w:t>
      </w:r>
      <w:r w:rsidRPr="004A7929">
        <w:rPr>
          <w:rFonts w:cs="Arial"/>
          <w:sz w:val="24"/>
        </w:rPr>
        <w:t>ml/hr with 1000</w:t>
      </w:r>
      <w:r>
        <w:rPr>
          <w:rFonts w:cs="Arial"/>
          <w:sz w:val="24"/>
        </w:rPr>
        <w:t xml:space="preserve"> </w:t>
      </w:r>
      <w:r w:rsidRPr="004A7929">
        <w:rPr>
          <w:rFonts w:cs="Arial"/>
          <w:sz w:val="24"/>
        </w:rPr>
        <w:t xml:space="preserve">ml/hr citrate regional anticoagulation. </w:t>
      </w:r>
      <w:r>
        <w:rPr>
          <w:rFonts w:cs="Arial"/>
          <w:sz w:val="24"/>
        </w:rPr>
        <w:t>A</w:t>
      </w:r>
      <w:r w:rsidRPr="004A7929">
        <w:rPr>
          <w:rFonts w:cs="Arial"/>
          <w:sz w:val="24"/>
        </w:rPr>
        <w:t xml:space="preserve"> weight-based algorithm</w:t>
      </w:r>
      <w:r>
        <w:rPr>
          <w:rFonts w:cs="Arial"/>
          <w:sz w:val="24"/>
        </w:rPr>
        <w:t xml:space="preserve"> is not used;</w:t>
      </w:r>
      <w:r w:rsidRPr="004A7929">
        <w:rPr>
          <w:rFonts w:cs="Arial"/>
          <w:sz w:val="24"/>
        </w:rPr>
        <w:t xml:space="preserve"> this however equate</w:t>
      </w:r>
      <w:r>
        <w:rPr>
          <w:rFonts w:cs="Arial"/>
          <w:sz w:val="24"/>
        </w:rPr>
        <w:t>s</w:t>
      </w:r>
      <w:r w:rsidRPr="004A7929">
        <w:rPr>
          <w:rFonts w:cs="Arial"/>
          <w:sz w:val="24"/>
        </w:rPr>
        <w:t xml:space="preserve"> to a renal dose of 31</w:t>
      </w:r>
      <w:r>
        <w:rPr>
          <w:rFonts w:cs="Arial"/>
          <w:sz w:val="24"/>
        </w:rPr>
        <w:t xml:space="preserve"> </w:t>
      </w:r>
      <w:r w:rsidRPr="004A7929">
        <w:rPr>
          <w:rFonts w:cs="Arial"/>
          <w:sz w:val="24"/>
        </w:rPr>
        <w:t>ml/kg/hr for a 70</w:t>
      </w:r>
      <w:r>
        <w:rPr>
          <w:rFonts w:cs="Arial"/>
          <w:sz w:val="24"/>
        </w:rPr>
        <w:t xml:space="preserve"> </w:t>
      </w:r>
      <w:r w:rsidRPr="004A7929">
        <w:rPr>
          <w:rFonts w:cs="Arial"/>
          <w:sz w:val="24"/>
        </w:rPr>
        <w:t xml:space="preserve">kg patient. At consultant discretion this can be </w:t>
      </w:r>
      <w:r>
        <w:rPr>
          <w:rFonts w:cs="Arial"/>
          <w:sz w:val="24"/>
        </w:rPr>
        <w:t>incremented</w:t>
      </w:r>
      <w:r w:rsidRPr="004A7929">
        <w:rPr>
          <w:rFonts w:cs="Arial"/>
          <w:sz w:val="24"/>
        </w:rPr>
        <w:t xml:space="preserve"> for a further two stages, each equating to a 40% increase</w:t>
      </w:r>
      <w:r>
        <w:rPr>
          <w:rFonts w:cs="Arial"/>
          <w:sz w:val="24"/>
        </w:rPr>
        <w:t xml:space="preserve"> in</w:t>
      </w:r>
      <w:r w:rsidRPr="004A7929">
        <w:rPr>
          <w:rFonts w:cs="Arial"/>
          <w:sz w:val="24"/>
        </w:rPr>
        <w:t xml:space="preserve"> renal dose compared to baseline. During the COVID-19 pandemic citrate regional anticoagulation</w:t>
      </w:r>
      <w:r>
        <w:rPr>
          <w:rFonts w:cs="Arial"/>
          <w:sz w:val="24"/>
        </w:rPr>
        <w:t xml:space="preserve"> was given</w:t>
      </w:r>
      <w:r w:rsidRPr="004A7929">
        <w:rPr>
          <w:rFonts w:cs="Arial"/>
          <w:sz w:val="24"/>
        </w:rPr>
        <w:t xml:space="preserve"> when possible. A COVID-19 RRT protocol was drawn up to account for several scenarios: (i) filter set loss due to recurrent </w:t>
      </w:r>
      <w:r>
        <w:rPr>
          <w:rFonts w:cs="Arial"/>
          <w:sz w:val="24"/>
        </w:rPr>
        <w:t>clotting</w:t>
      </w:r>
      <w:r w:rsidRPr="004A7929">
        <w:rPr>
          <w:rFonts w:cs="Arial"/>
          <w:sz w:val="24"/>
        </w:rPr>
        <w:t>; (ii) systemic anticoagulation with low molecular weight heparin (LMWH) in the event of a lack of citrated fluids or syringe drivers to administer unfractionated heparin) and (iii) supply issues with dialysis or replacement fluid. In the event of rationing of RRT (filter fluids, filter sets or RRT devices), stricter criteria we</w:t>
      </w:r>
      <w:r>
        <w:rPr>
          <w:rFonts w:cs="Arial"/>
          <w:sz w:val="24"/>
        </w:rPr>
        <w:t>re</w:t>
      </w:r>
      <w:r w:rsidRPr="004A7929">
        <w:rPr>
          <w:rFonts w:cs="Arial"/>
          <w:sz w:val="24"/>
        </w:rPr>
        <w:t xml:space="preserve"> advocated for initiation of therapy </w:t>
      </w:r>
      <w:r>
        <w:rPr>
          <w:rFonts w:cs="Arial"/>
          <w:sz w:val="24"/>
        </w:rPr>
        <w:t>(K</w:t>
      </w:r>
      <w:r w:rsidRPr="006F065E">
        <w:rPr>
          <w:rFonts w:cs="Arial"/>
          <w:sz w:val="24"/>
          <w:vertAlign w:val="superscript"/>
        </w:rPr>
        <w:t>+</w:t>
      </w:r>
      <w:r>
        <w:rPr>
          <w:rFonts w:cs="Arial"/>
          <w:sz w:val="24"/>
        </w:rPr>
        <w:t xml:space="preserve"> </w:t>
      </w:r>
      <w:r w:rsidRPr="004A7929">
        <w:rPr>
          <w:rFonts w:cs="Arial"/>
          <w:sz w:val="24"/>
        </w:rPr>
        <w:t xml:space="preserve">&gt;6.0 mmol/l, </w:t>
      </w:r>
      <w:r>
        <w:rPr>
          <w:rFonts w:cs="Arial"/>
          <w:sz w:val="24"/>
        </w:rPr>
        <w:t xml:space="preserve">arterial </w:t>
      </w:r>
      <w:r w:rsidRPr="004A7929">
        <w:rPr>
          <w:rFonts w:cs="Arial"/>
          <w:sz w:val="24"/>
        </w:rPr>
        <w:t>pH &lt;7.20 (metabolic), oliguric renal failure with volume overload or creatinine &gt;500</w:t>
      </w:r>
      <w:r>
        <w:rPr>
          <w:rFonts w:cs="Arial"/>
          <w:sz w:val="24"/>
        </w:rPr>
        <w:t xml:space="preserve"> </w:t>
      </w:r>
      <w:r w:rsidRPr="004A7929">
        <w:rPr>
          <w:sz w:val="24"/>
        </w:rPr>
        <w:sym w:font="Symbol" w:char="F06D"/>
      </w:r>
      <w:r w:rsidRPr="004A7929">
        <w:rPr>
          <w:rFonts w:cs="Arial"/>
          <w:sz w:val="24"/>
        </w:rPr>
        <w:t xml:space="preserve">mol/l). The COVID-19 protocol consisted of </w:t>
      </w:r>
      <w:r>
        <w:rPr>
          <w:rFonts w:cs="Arial"/>
          <w:sz w:val="24"/>
        </w:rPr>
        <w:t xml:space="preserve">stage I </w:t>
      </w:r>
      <w:r w:rsidRPr="004A7929">
        <w:rPr>
          <w:rFonts w:cs="Arial"/>
          <w:sz w:val="24"/>
        </w:rPr>
        <w:t>h</w:t>
      </w:r>
      <w:r>
        <w:rPr>
          <w:rFonts w:cs="Arial"/>
          <w:sz w:val="24"/>
        </w:rPr>
        <w:t>a</w:t>
      </w:r>
      <w:r w:rsidRPr="004A7929">
        <w:rPr>
          <w:rFonts w:cs="Arial"/>
          <w:sz w:val="24"/>
        </w:rPr>
        <w:t>emofiltration</w:t>
      </w:r>
      <w:r>
        <w:rPr>
          <w:rFonts w:cs="Arial"/>
          <w:sz w:val="24"/>
        </w:rPr>
        <w:t xml:space="preserve"> with</w:t>
      </w:r>
      <w:r w:rsidRPr="004A7929">
        <w:rPr>
          <w:rFonts w:cs="Arial"/>
          <w:sz w:val="24"/>
        </w:rPr>
        <w:t xml:space="preserve"> 1000</w:t>
      </w:r>
      <w:r>
        <w:rPr>
          <w:rFonts w:cs="Arial"/>
          <w:sz w:val="24"/>
        </w:rPr>
        <w:t xml:space="preserve"> </w:t>
      </w:r>
      <w:r w:rsidRPr="004A7929">
        <w:rPr>
          <w:rFonts w:cs="Arial"/>
          <w:sz w:val="24"/>
        </w:rPr>
        <w:t>ml/hr replacement fluid;</w:t>
      </w:r>
      <w:r>
        <w:rPr>
          <w:rFonts w:cs="Arial"/>
          <w:sz w:val="24"/>
        </w:rPr>
        <w:t xml:space="preserve"> and stages </w:t>
      </w:r>
      <w:r w:rsidRPr="004A7929">
        <w:rPr>
          <w:rFonts w:cs="Arial"/>
          <w:sz w:val="24"/>
        </w:rPr>
        <w:t xml:space="preserve">II &amp; III </w:t>
      </w:r>
      <w:r>
        <w:rPr>
          <w:rFonts w:cs="Arial"/>
          <w:sz w:val="24"/>
        </w:rPr>
        <w:t xml:space="preserve">using </w:t>
      </w:r>
      <w:r w:rsidRPr="004A7929">
        <w:rPr>
          <w:rFonts w:cs="Arial"/>
          <w:sz w:val="24"/>
        </w:rPr>
        <w:t>1000</w:t>
      </w:r>
      <w:r>
        <w:rPr>
          <w:rFonts w:cs="Arial"/>
          <w:sz w:val="24"/>
        </w:rPr>
        <w:t xml:space="preserve"> </w:t>
      </w:r>
      <w:r w:rsidRPr="004A7929">
        <w:rPr>
          <w:rFonts w:cs="Arial"/>
          <w:sz w:val="24"/>
        </w:rPr>
        <w:t>ml/hr dialysis and</w:t>
      </w:r>
      <w:r>
        <w:rPr>
          <w:rFonts w:cs="Arial"/>
          <w:sz w:val="24"/>
        </w:rPr>
        <w:t xml:space="preserve"> either</w:t>
      </w:r>
      <w:r w:rsidRPr="004A7929">
        <w:rPr>
          <w:rFonts w:cs="Arial"/>
          <w:sz w:val="24"/>
        </w:rPr>
        <w:t xml:space="preserve"> 1000 or 2000</w:t>
      </w:r>
      <w:r>
        <w:rPr>
          <w:rFonts w:cs="Arial"/>
          <w:sz w:val="24"/>
        </w:rPr>
        <w:t xml:space="preserve"> </w:t>
      </w:r>
      <w:r w:rsidRPr="004A7929">
        <w:rPr>
          <w:rFonts w:cs="Arial"/>
          <w:sz w:val="24"/>
        </w:rPr>
        <w:t xml:space="preserve">ml/hr replacement fluid. </w:t>
      </w:r>
      <w:r>
        <w:rPr>
          <w:rFonts w:cs="Arial"/>
          <w:sz w:val="24"/>
        </w:rPr>
        <w:t xml:space="preserve">Post-filter </w:t>
      </w:r>
      <w:r w:rsidRPr="004A7929">
        <w:rPr>
          <w:rFonts w:cs="Arial"/>
          <w:sz w:val="24"/>
        </w:rPr>
        <w:t xml:space="preserve">replacement fluid </w:t>
      </w:r>
      <w:r>
        <w:rPr>
          <w:rFonts w:cs="Arial"/>
          <w:sz w:val="24"/>
        </w:rPr>
        <w:t xml:space="preserve">occurred in two-thirds. </w:t>
      </w:r>
      <w:r w:rsidRPr="004A7929">
        <w:rPr>
          <w:rFonts w:cs="Arial"/>
          <w:sz w:val="24"/>
        </w:rPr>
        <w:t>. Stage</w:t>
      </w:r>
      <w:r>
        <w:rPr>
          <w:rFonts w:cs="Arial"/>
          <w:sz w:val="24"/>
        </w:rPr>
        <w:t>s</w:t>
      </w:r>
      <w:r w:rsidRPr="004A7929">
        <w:rPr>
          <w:rFonts w:cs="Arial"/>
          <w:sz w:val="24"/>
        </w:rPr>
        <w:t xml:space="preserve"> II and III were initiated at consultant discretion</w:t>
      </w:r>
      <w:r>
        <w:rPr>
          <w:rFonts w:cs="Arial"/>
          <w:sz w:val="24"/>
        </w:rPr>
        <w:t xml:space="preserve">, </w:t>
      </w:r>
      <w:r w:rsidRPr="004A7929">
        <w:rPr>
          <w:rFonts w:cs="Arial"/>
          <w:sz w:val="24"/>
        </w:rPr>
        <w:t>equat</w:t>
      </w:r>
      <w:r>
        <w:rPr>
          <w:rFonts w:cs="Arial"/>
          <w:sz w:val="24"/>
        </w:rPr>
        <w:t>ing</w:t>
      </w:r>
      <w:r w:rsidRPr="004A7929">
        <w:rPr>
          <w:rFonts w:cs="Arial"/>
          <w:sz w:val="24"/>
        </w:rPr>
        <w:t xml:space="preserve"> to 29 and 44 ml/kg/hr</w:t>
      </w:r>
      <w:r>
        <w:rPr>
          <w:rFonts w:cs="Arial"/>
          <w:sz w:val="24"/>
        </w:rPr>
        <w:t>,</w:t>
      </w:r>
      <w:r w:rsidRPr="004A7929">
        <w:rPr>
          <w:rFonts w:cs="Arial"/>
          <w:sz w:val="24"/>
        </w:rPr>
        <w:t xml:space="preserve"> respectively. LMWH was used for anticoagulation; 0.75</w:t>
      </w:r>
      <w:r>
        <w:rPr>
          <w:rFonts w:cs="Arial"/>
          <w:sz w:val="24"/>
        </w:rPr>
        <w:t xml:space="preserve"> </w:t>
      </w:r>
      <w:r w:rsidRPr="004A7929">
        <w:rPr>
          <w:rFonts w:cs="Arial"/>
          <w:sz w:val="24"/>
        </w:rPr>
        <w:t>mg/kg enoxaparin ideal body weight, 12 hourly for stages I and II, and 1</w:t>
      </w:r>
      <w:r>
        <w:rPr>
          <w:rFonts w:cs="Arial"/>
          <w:sz w:val="24"/>
        </w:rPr>
        <w:t xml:space="preserve"> </w:t>
      </w:r>
      <w:r w:rsidRPr="004A7929">
        <w:rPr>
          <w:rFonts w:cs="Arial"/>
          <w:sz w:val="24"/>
        </w:rPr>
        <w:t>mg/kg for stage III (maximum 100</w:t>
      </w:r>
      <w:r>
        <w:rPr>
          <w:rFonts w:cs="Arial"/>
          <w:sz w:val="24"/>
        </w:rPr>
        <w:t xml:space="preserve"> </w:t>
      </w:r>
      <w:r w:rsidRPr="004A7929">
        <w:rPr>
          <w:rFonts w:cs="Arial"/>
          <w:sz w:val="24"/>
        </w:rPr>
        <w:t xml:space="preserve">mg single dose); </w:t>
      </w:r>
      <w:r>
        <w:rPr>
          <w:rFonts w:cs="Arial"/>
          <w:sz w:val="24"/>
        </w:rPr>
        <w:t xml:space="preserve">this was </w:t>
      </w:r>
      <w:r w:rsidRPr="004A7929">
        <w:rPr>
          <w:rFonts w:cs="Arial"/>
          <w:sz w:val="24"/>
        </w:rPr>
        <w:t xml:space="preserve">commenced if practical </w:t>
      </w:r>
      <w:r>
        <w:rPr>
          <w:rFonts w:cs="Arial"/>
          <w:sz w:val="24"/>
        </w:rPr>
        <w:t xml:space="preserve">at </w:t>
      </w:r>
      <w:r w:rsidRPr="004A7929">
        <w:rPr>
          <w:rFonts w:cs="Arial"/>
          <w:sz w:val="24"/>
        </w:rPr>
        <w:t xml:space="preserve">1 hour </w:t>
      </w:r>
      <w:r>
        <w:rPr>
          <w:rFonts w:cs="Arial"/>
          <w:sz w:val="24"/>
        </w:rPr>
        <w:t xml:space="preserve">before </w:t>
      </w:r>
      <w:r w:rsidRPr="004A7929">
        <w:rPr>
          <w:rFonts w:cs="Arial"/>
          <w:sz w:val="24"/>
        </w:rPr>
        <w:t>commenc</w:t>
      </w:r>
      <w:r>
        <w:rPr>
          <w:rFonts w:cs="Arial"/>
          <w:sz w:val="24"/>
        </w:rPr>
        <w:t xml:space="preserve">ing </w:t>
      </w:r>
      <w:r w:rsidRPr="004A7929">
        <w:rPr>
          <w:rFonts w:cs="Arial"/>
          <w:sz w:val="24"/>
        </w:rPr>
        <w:t>RRT. The circuit was primed with 5000</w:t>
      </w:r>
      <w:r>
        <w:rPr>
          <w:rFonts w:cs="Arial"/>
          <w:sz w:val="24"/>
        </w:rPr>
        <w:t xml:space="preserve"> IU </w:t>
      </w:r>
      <w:r w:rsidRPr="004A7929">
        <w:rPr>
          <w:rFonts w:cs="Arial"/>
          <w:sz w:val="24"/>
        </w:rPr>
        <w:t xml:space="preserve">unfractionated heparin. </w:t>
      </w:r>
      <w:r>
        <w:rPr>
          <w:rFonts w:cs="Arial"/>
          <w:sz w:val="24"/>
        </w:rPr>
        <w:t>For</w:t>
      </w:r>
      <w:r w:rsidRPr="004A7929">
        <w:rPr>
          <w:rFonts w:cs="Arial"/>
          <w:sz w:val="24"/>
        </w:rPr>
        <w:t xml:space="preserve"> patients </w:t>
      </w:r>
      <w:r>
        <w:rPr>
          <w:rFonts w:cs="Arial"/>
          <w:sz w:val="24"/>
        </w:rPr>
        <w:t>with</w:t>
      </w:r>
      <w:r w:rsidRPr="004A7929">
        <w:rPr>
          <w:rFonts w:cs="Arial"/>
          <w:sz w:val="24"/>
        </w:rPr>
        <w:t xml:space="preserve"> recurring filter </w:t>
      </w:r>
      <w:r>
        <w:rPr>
          <w:rFonts w:cs="Arial"/>
          <w:sz w:val="24"/>
        </w:rPr>
        <w:t>clotting,</w:t>
      </w:r>
      <w:r w:rsidRPr="004A7929">
        <w:rPr>
          <w:rFonts w:cs="Arial"/>
          <w:sz w:val="24"/>
        </w:rPr>
        <w:t xml:space="preserve"> LMWH doses were adjusted based on anti-Xa levels where necessary, filter blood pump speed was increased</w:t>
      </w:r>
      <w:r>
        <w:rPr>
          <w:rFonts w:cs="Arial"/>
          <w:sz w:val="24"/>
        </w:rPr>
        <w:t>,</w:t>
      </w:r>
      <w:r w:rsidRPr="004A7929">
        <w:rPr>
          <w:rFonts w:cs="Arial"/>
          <w:sz w:val="24"/>
        </w:rPr>
        <w:t xml:space="preserve"> predilution ratio changed to 50%</w:t>
      </w:r>
      <w:r>
        <w:rPr>
          <w:rFonts w:cs="Arial"/>
          <w:sz w:val="24"/>
        </w:rPr>
        <w:t>,</w:t>
      </w:r>
      <w:r w:rsidRPr="004A7929">
        <w:rPr>
          <w:rFonts w:cs="Arial"/>
          <w:sz w:val="24"/>
        </w:rPr>
        <w:t xml:space="preserve"> and adding parenteral epoprostenol</w:t>
      </w:r>
      <w:r>
        <w:rPr>
          <w:rFonts w:cs="Arial"/>
          <w:sz w:val="24"/>
        </w:rPr>
        <w:t xml:space="preserve"> considered.</w:t>
      </w:r>
    </w:p>
    <w:p w14:paraId="470ECB7C" w14:textId="77777777" w:rsidR="00DC4D04" w:rsidRDefault="00DC4D04">
      <w:bookmarkStart w:id="0" w:name="_GoBack"/>
      <w:bookmarkEnd w:id="0"/>
    </w:p>
    <w:sectPr w:rsidR="00DC4D04" w:rsidSect="00404C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942"/>
    <w:multiLevelType w:val="hybridMultilevel"/>
    <w:tmpl w:val="3092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F12EA"/>
    <w:multiLevelType w:val="hybridMultilevel"/>
    <w:tmpl w:val="3D12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1591C"/>
    <w:multiLevelType w:val="hybridMultilevel"/>
    <w:tmpl w:val="AE0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92"/>
    <w:rsid w:val="00000B8C"/>
    <w:rsid w:val="000045D4"/>
    <w:rsid w:val="000050FA"/>
    <w:rsid w:val="000116EA"/>
    <w:rsid w:val="000140B5"/>
    <w:rsid w:val="00015752"/>
    <w:rsid w:val="00020199"/>
    <w:rsid w:val="00036846"/>
    <w:rsid w:val="00040BA5"/>
    <w:rsid w:val="00042C3D"/>
    <w:rsid w:val="00060ADB"/>
    <w:rsid w:val="0006251B"/>
    <w:rsid w:val="000625B3"/>
    <w:rsid w:val="00062892"/>
    <w:rsid w:val="00066240"/>
    <w:rsid w:val="00075301"/>
    <w:rsid w:val="00090C33"/>
    <w:rsid w:val="0009166E"/>
    <w:rsid w:val="0009261B"/>
    <w:rsid w:val="00093038"/>
    <w:rsid w:val="00095850"/>
    <w:rsid w:val="000960F0"/>
    <w:rsid w:val="000A13D3"/>
    <w:rsid w:val="000B2719"/>
    <w:rsid w:val="000B2CB0"/>
    <w:rsid w:val="000D2281"/>
    <w:rsid w:val="000D2BEB"/>
    <w:rsid w:val="000D7EF2"/>
    <w:rsid w:val="000E06FE"/>
    <w:rsid w:val="000E3FF8"/>
    <w:rsid w:val="000F6052"/>
    <w:rsid w:val="00101A5D"/>
    <w:rsid w:val="0010650F"/>
    <w:rsid w:val="0011078B"/>
    <w:rsid w:val="001170DE"/>
    <w:rsid w:val="001234EC"/>
    <w:rsid w:val="00132689"/>
    <w:rsid w:val="00134338"/>
    <w:rsid w:val="00140969"/>
    <w:rsid w:val="001435AD"/>
    <w:rsid w:val="00153D90"/>
    <w:rsid w:val="00154B8B"/>
    <w:rsid w:val="001550A6"/>
    <w:rsid w:val="001563B5"/>
    <w:rsid w:val="00157CD0"/>
    <w:rsid w:val="001760D2"/>
    <w:rsid w:val="001806F3"/>
    <w:rsid w:val="00181BB3"/>
    <w:rsid w:val="0019407C"/>
    <w:rsid w:val="0019525A"/>
    <w:rsid w:val="00195572"/>
    <w:rsid w:val="001B04EE"/>
    <w:rsid w:val="001B0880"/>
    <w:rsid w:val="001B2AE8"/>
    <w:rsid w:val="001C03AF"/>
    <w:rsid w:val="001D323E"/>
    <w:rsid w:val="001D5538"/>
    <w:rsid w:val="001E795B"/>
    <w:rsid w:val="001F62AA"/>
    <w:rsid w:val="001F7A12"/>
    <w:rsid w:val="00202050"/>
    <w:rsid w:val="00203A38"/>
    <w:rsid w:val="00221ACF"/>
    <w:rsid w:val="002232F2"/>
    <w:rsid w:val="00227DAB"/>
    <w:rsid w:val="00230172"/>
    <w:rsid w:val="0023100B"/>
    <w:rsid w:val="002400C5"/>
    <w:rsid w:val="002407E9"/>
    <w:rsid w:val="00245A25"/>
    <w:rsid w:val="002504F2"/>
    <w:rsid w:val="0026181E"/>
    <w:rsid w:val="002633B9"/>
    <w:rsid w:val="00281CC2"/>
    <w:rsid w:val="00287F14"/>
    <w:rsid w:val="00292907"/>
    <w:rsid w:val="002958EC"/>
    <w:rsid w:val="002A31B5"/>
    <w:rsid w:val="002A7E01"/>
    <w:rsid w:val="002C3B8C"/>
    <w:rsid w:val="002E05F6"/>
    <w:rsid w:val="002E132B"/>
    <w:rsid w:val="002E31A4"/>
    <w:rsid w:val="002E7460"/>
    <w:rsid w:val="002F5EFE"/>
    <w:rsid w:val="00300CAB"/>
    <w:rsid w:val="00301A68"/>
    <w:rsid w:val="003045BA"/>
    <w:rsid w:val="00314CB8"/>
    <w:rsid w:val="0032521A"/>
    <w:rsid w:val="003264DE"/>
    <w:rsid w:val="00346E53"/>
    <w:rsid w:val="0036249C"/>
    <w:rsid w:val="00372961"/>
    <w:rsid w:val="003760B2"/>
    <w:rsid w:val="00376778"/>
    <w:rsid w:val="00382AAD"/>
    <w:rsid w:val="00385991"/>
    <w:rsid w:val="0039314C"/>
    <w:rsid w:val="00395747"/>
    <w:rsid w:val="003C1FCC"/>
    <w:rsid w:val="003D5F16"/>
    <w:rsid w:val="003F45C3"/>
    <w:rsid w:val="00402BBB"/>
    <w:rsid w:val="00404C92"/>
    <w:rsid w:val="00410889"/>
    <w:rsid w:val="00422ACC"/>
    <w:rsid w:val="004238D6"/>
    <w:rsid w:val="004303CD"/>
    <w:rsid w:val="00432015"/>
    <w:rsid w:val="00432919"/>
    <w:rsid w:val="0044315F"/>
    <w:rsid w:val="0044341C"/>
    <w:rsid w:val="004476B8"/>
    <w:rsid w:val="004523D3"/>
    <w:rsid w:val="00455FDB"/>
    <w:rsid w:val="00475249"/>
    <w:rsid w:val="004830BE"/>
    <w:rsid w:val="0049547B"/>
    <w:rsid w:val="004974FF"/>
    <w:rsid w:val="00497D6C"/>
    <w:rsid w:val="004A148C"/>
    <w:rsid w:val="004A1897"/>
    <w:rsid w:val="004A274B"/>
    <w:rsid w:val="004A5A82"/>
    <w:rsid w:val="004A5D56"/>
    <w:rsid w:val="004A6483"/>
    <w:rsid w:val="004B59C0"/>
    <w:rsid w:val="004B7DB1"/>
    <w:rsid w:val="004C124E"/>
    <w:rsid w:val="004E032C"/>
    <w:rsid w:val="004E5D7E"/>
    <w:rsid w:val="004F07F4"/>
    <w:rsid w:val="004F2301"/>
    <w:rsid w:val="004F56F3"/>
    <w:rsid w:val="004F79BB"/>
    <w:rsid w:val="00500C3F"/>
    <w:rsid w:val="005051F7"/>
    <w:rsid w:val="0050675B"/>
    <w:rsid w:val="00507A80"/>
    <w:rsid w:val="0051268B"/>
    <w:rsid w:val="0051436D"/>
    <w:rsid w:val="00522C27"/>
    <w:rsid w:val="00530C65"/>
    <w:rsid w:val="005314D2"/>
    <w:rsid w:val="005338CE"/>
    <w:rsid w:val="005430BC"/>
    <w:rsid w:val="005558A0"/>
    <w:rsid w:val="00564077"/>
    <w:rsid w:val="00567406"/>
    <w:rsid w:val="0057649F"/>
    <w:rsid w:val="005774F8"/>
    <w:rsid w:val="005972E6"/>
    <w:rsid w:val="00597C8F"/>
    <w:rsid w:val="005A0A4E"/>
    <w:rsid w:val="005B4018"/>
    <w:rsid w:val="005D0E7E"/>
    <w:rsid w:val="005D2B4E"/>
    <w:rsid w:val="005D304E"/>
    <w:rsid w:val="005E5895"/>
    <w:rsid w:val="005E7E1D"/>
    <w:rsid w:val="006050A7"/>
    <w:rsid w:val="0060591F"/>
    <w:rsid w:val="00606CE7"/>
    <w:rsid w:val="006141BA"/>
    <w:rsid w:val="006262F5"/>
    <w:rsid w:val="00627382"/>
    <w:rsid w:val="00630C4D"/>
    <w:rsid w:val="00631F5D"/>
    <w:rsid w:val="00633761"/>
    <w:rsid w:val="006353C9"/>
    <w:rsid w:val="00642B0A"/>
    <w:rsid w:val="00651320"/>
    <w:rsid w:val="00664781"/>
    <w:rsid w:val="00667AAC"/>
    <w:rsid w:val="006751CD"/>
    <w:rsid w:val="0068378B"/>
    <w:rsid w:val="006919AA"/>
    <w:rsid w:val="0069501C"/>
    <w:rsid w:val="006B628D"/>
    <w:rsid w:val="006C322A"/>
    <w:rsid w:val="006D5299"/>
    <w:rsid w:val="006E368D"/>
    <w:rsid w:val="006E6BC0"/>
    <w:rsid w:val="007018CF"/>
    <w:rsid w:val="00702AE8"/>
    <w:rsid w:val="007222DD"/>
    <w:rsid w:val="00722FC1"/>
    <w:rsid w:val="00742A76"/>
    <w:rsid w:val="0076010F"/>
    <w:rsid w:val="0076077B"/>
    <w:rsid w:val="00771FEE"/>
    <w:rsid w:val="007823C6"/>
    <w:rsid w:val="007879A7"/>
    <w:rsid w:val="00792975"/>
    <w:rsid w:val="007939A0"/>
    <w:rsid w:val="0079473C"/>
    <w:rsid w:val="007960B8"/>
    <w:rsid w:val="007A42D6"/>
    <w:rsid w:val="007A73D8"/>
    <w:rsid w:val="007B0BA0"/>
    <w:rsid w:val="007B242B"/>
    <w:rsid w:val="007B30EB"/>
    <w:rsid w:val="007C279A"/>
    <w:rsid w:val="007F2D0B"/>
    <w:rsid w:val="007F3550"/>
    <w:rsid w:val="007F6A99"/>
    <w:rsid w:val="00812EA0"/>
    <w:rsid w:val="00814A7E"/>
    <w:rsid w:val="0085021E"/>
    <w:rsid w:val="00850C4C"/>
    <w:rsid w:val="0085144D"/>
    <w:rsid w:val="008667D3"/>
    <w:rsid w:val="00872C84"/>
    <w:rsid w:val="0087597F"/>
    <w:rsid w:val="00885509"/>
    <w:rsid w:val="0089597D"/>
    <w:rsid w:val="00895DDB"/>
    <w:rsid w:val="00897003"/>
    <w:rsid w:val="008B2F6E"/>
    <w:rsid w:val="008B3264"/>
    <w:rsid w:val="008C01A0"/>
    <w:rsid w:val="008C7FE2"/>
    <w:rsid w:val="008D11A2"/>
    <w:rsid w:val="008D2B5B"/>
    <w:rsid w:val="008D6D63"/>
    <w:rsid w:val="008D6FFC"/>
    <w:rsid w:val="008E479B"/>
    <w:rsid w:val="008F3B43"/>
    <w:rsid w:val="009021EA"/>
    <w:rsid w:val="00903A31"/>
    <w:rsid w:val="00907B72"/>
    <w:rsid w:val="009103B8"/>
    <w:rsid w:val="00911283"/>
    <w:rsid w:val="00920AC0"/>
    <w:rsid w:val="009218C1"/>
    <w:rsid w:val="00923D3B"/>
    <w:rsid w:val="009359C3"/>
    <w:rsid w:val="00950F17"/>
    <w:rsid w:val="009528BD"/>
    <w:rsid w:val="00953FAE"/>
    <w:rsid w:val="00962AB0"/>
    <w:rsid w:val="00975095"/>
    <w:rsid w:val="00981612"/>
    <w:rsid w:val="00983F0E"/>
    <w:rsid w:val="00987F10"/>
    <w:rsid w:val="00997983"/>
    <w:rsid w:val="009B0030"/>
    <w:rsid w:val="009B0536"/>
    <w:rsid w:val="009B66D0"/>
    <w:rsid w:val="009C0938"/>
    <w:rsid w:val="009C211B"/>
    <w:rsid w:val="009C5545"/>
    <w:rsid w:val="009D1197"/>
    <w:rsid w:val="009D1613"/>
    <w:rsid w:val="009D1EB6"/>
    <w:rsid w:val="009D5FDE"/>
    <w:rsid w:val="009E4100"/>
    <w:rsid w:val="009E6877"/>
    <w:rsid w:val="009F4F94"/>
    <w:rsid w:val="00A011C7"/>
    <w:rsid w:val="00A1492C"/>
    <w:rsid w:val="00A32A81"/>
    <w:rsid w:val="00A332EC"/>
    <w:rsid w:val="00A37AF6"/>
    <w:rsid w:val="00A458AA"/>
    <w:rsid w:val="00A54A93"/>
    <w:rsid w:val="00A558E3"/>
    <w:rsid w:val="00A56106"/>
    <w:rsid w:val="00A5713A"/>
    <w:rsid w:val="00A626F7"/>
    <w:rsid w:val="00A7386E"/>
    <w:rsid w:val="00A81E55"/>
    <w:rsid w:val="00A928D9"/>
    <w:rsid w:val="00A93B36"/>
    <w:rsid w:val="00A96FD9"/>
    <w:rsid w:val="00AA21AE"/>
    <w:rsid w:val="00AA30DE"/>
    <w:rsid w:val="00AB127E"/>
    <w:rsid w:val="00AC0711"/>
    <w:rsid w:val="00AC2471"/>
    <w:rsid w:val="00AC47B9"/>
    <w:rsid w:val="00AC6175"/>
    <w:rsid w:val="00AC79CD"/>
    <w:rsid w:val="00AD13A8"/>
    <w:rsid w:val="00AD1F87"/>
    <w:rsid w:val="00AF2867"/>
    <w:rsid w:val="00B005B9"/>
    <w:rsid w:val="00B022D6"/>
    <w:rsid w:val="00B0493B"/>
    <w:rsid w:val="00B20CAE"/>
    <w:rsid w:val="00B256A3"/>
    <w:rsid w:val="00B25EB2"/>
    <w:rsid w:val="00B30654"/>
    <w:rsid w:val="00B32851"/>
    <w:rsid w:val="00B335FE"/>
    <w:rsid w:val="00B341BC"/>
    <w:rsid w:val="00B37AA9"/>
    <w:rsid w:val="00B42066"/>
    <w:rsid w:val="00B45F0E"/>
    <w:rsid w:val="00B46E53"/>
    <w:rsid w:val="00B63EAE"/>
    <w:rsid w:val="00B70AC1"/>
    <w:rsid w:val="00B76291"/>
    <w:rsid w:val="00B86C74"/>
    <w:rsid w:val="00B90B5A"/>
    <w:rsid w:val="00B92878"/>
    <w:rsid w:val="00B96FA9"/>
    <w:rsid w:val="00BA3A7F"/>
    <w:rsid w:val="00BB1B0E"/>
    <w:rsid w:val="00BB31F1"/>
    <w:rsid w:val="00BC2CF8"/>
    <w:rsid w:val="00BF21EE"/>
    <w:rsid w:val="00C00536"/>
    <w:rsid w:val="00C039D5"/>
    <w:rsid w:val="00C05736"/>
    <w:rsid w:val="00C06036"/>
    <w:rsid w:val="00C07E3D"/>
    <w:rsid w:val="00C146EF"/>
    <w:rsid w:val="00C17D5C"/>
    <w:rsid w:val="00C231E3"/>
    <w:rsid w:val="00C25E73"/>
    <w:rsid w:val="00C27BE7"/>
    <w:rsid w:val="00C46CB1"/>
    <w:rsid w:val="00C46DDA"/>
    <w:rsid w:val="00C47FAF"/>
    <w:rsid w:val="00C567DB"/>
    <w:rsid w:val="00C61395"/>
    <w:rsid w:val="00C64153"/>
    <w:rsid w:val="00C65B84"/>
    <w:rsid w:val="00C7027D"/>
    <w:rsid w:val="00C75430"/>
    <w:rsid w:val="00C84445"/>
    <w:rsid w:val="00C94767"/>
    <w:rsid w:val="00CA222B"/>
    <w:rsid w:val="00CA2F63"/>
    <w:rsid w:val="00CA438D"/>
    <w:rsid w:val="00CA62E8"/>
    <w:rsid w:val="00CB3980"/>
    <w:rsid w:val="00CC5286"/>
    <w:rsid w:val="00CD05B7"/>
    <w:rsid w:val="00CE2905"/>
    <w:rsid w:val="00CE7BDB"/>
    <w:rsid w:val="00CF0CA2"/>
    <w:rsid w:val="00CF77E7"/>
    <w:rsid w:val="00D017DF"/>
    <w:rsid w:val="00D01FAC"/>
    <w:rsid w:val="00D06B43"/>
    <w:rsid w:val="00D15421"/>
    <w:rsid w:val="00D16961"/>
    <w:rsid w:val="00D20177"/>
    <w:rsid w:val="00D23A01"/>
    <w:rsid w:val="00D257C0"/>
    <w:rsid w:val="00D30ACB"/>
    <w:rsid w:val="00D31BA6"/>
    <w:rsid w:val="00D3611F"/>
    <w:rsid w:val="00D375B9"/>
    <w:rsid w:val="00D42A6D"/>
    <w:rsid w:val="00D539B7"/>
    <w:rsid w:val="00D53BA6"/>
    <w:rsid w:val="00D62BD9"/>
    <w:rsid w:val="00D766C8"/>
    <w:rsid w:val="00D802EF"/>
    <w:rsid w:val="00DB0E47"/>
    <w:rsid w:val="00DB2209"/>
    <w:rsid w:val="00DC1842"/>
    <w:rsid w:val="00DC4D04"/>
    <w:rsid w:val="00DD1F19"/>
    <w:rsid w:val="00DE1606"/>
    <w:rsid w:val="00DE473E"/>
    <w:rsid w:val="00DE4B89"/>
    <w:rsid w:val="00DF0B4E"/>
    <w:rsid w:val="00E04C7B"/>
    <w:rsid w:val="00E04F32"/>
    <w:rsid w:val="00E07402"/>
    <w:rsid w:val="00E11305"/>
    <w:rsid w:val="00E11A78"/>
    <w:rsid w:val="00E12C46"/>
    <w:rsid w:val="00E1486F"/>
    <w:rsid w:val="00E22C96"/>
    <w:rsid w:val="00E243CF"/>
    <w:rsid w:val="00E3476A"/>
    <w:rsid w:val="00E425A4"/>
    <w:rsid w:val="00E438F7"/>
    <w:rsid w:val="00E5690D"/>
    <w:rsid w:val="00E7033F"/>
    <w:rsid w:val="00E808B0"/>
    <w:rsid w:val="00E81CA7"/>
    <w:rsid w:val="00E84E17"/>
    <w:rsid w:val="00E963BE"/>
    <w:rsid w:val="00EC2F61"/>
    <w:rsid w:val="00EC6324"/>
    <w:rsid w:val="00EC7B5E"/>
    <w:rsid w:val="00ED0839"/>
    <w:rsid w:val="00ED5DE9"/>
    <w:rsid w:val="00ED626E"/>
    <w:rsid w:val="00EE48C2"/>
    <w:rsid w:val="00EE4A00"/>
    <w:rsid w:val="00EE52B0"/>
    <w:rsid w:val="00EF072B"/>
    <w:rsid w:val="00EF6726"/>
    <w:rsid w:val="00F149F8"/>
    <w:rsid w:val="00F16E4C"/>
    <w:rsid w:val="00F2452A"/>
    <w:rsid w:val="00F26BE6"/>
    <w:rsid w:val="00F37370"/>
    <w:rsid w:val="00F43597"/>
    <w:rsid w:val="00F436AB"/>
    <w:rsid w:val="00F52085"/>
    <w:rsid w:val="00F56B98"/>
    <w:rsid w:val="00F57DD3"/>
    <w:rsid w:val="00F66E56"/>
    <w:rsid w:val="00F701FE"/>
    <w:rsid w:val="00F7115D"/>
    <w:rsid w:val="00F72246"/>
    <w:rsid w:val="00F816FF"/>
    <w:rsid w:val="00F9459A"/>
    <w:rsid w:val="00F97A38"/>
    <w:rsid w:val="00FB126B"/>
    <w:rsid w:val="00FB49C2"/>
    <w:rsid w:val="00FB757E"/>
    <w:rsid w:val="00FC3834"/>
    <w:rsid w:val="00FC49BA"/>
    <w:rsid w:val="00FC6564"/>
    <w:rsid w:val="00FC68EF"/>
    <w:rsid w:val="00FD1602"/>
    <w:rsid w:val="00FD51D1"/>
    <w:rsid w:val="00FD65B8"/>
    <w:rsid w:val="00FD7116"/>
    <w:rsid w:val="00FF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DB38"/>
  <w15:chartTrackingRefBased/>
  <w15:docId w15:val="{92DDF4E3-6134-164E-9B7E-F5FE8B1B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C92"/>
    <w:pPr>
      <w:spacing w:line="480" w:lineRule="auto"/>
      <w:jc w:val="both"/>
    </w:pPr>
    <w:rPr>
      <w:rFonts w:ascii="Arial" w:hAnsi="Arial"/>
      <w:sz w:val="20"/>
    </w:rPr>
  </w:style>
  <w:style w:type="paragraph" w:styleId="Heading1">
    <w:name w:val="heading 1"/>
    <w:basedOn w:val="Normal"/>
    <w:next w:val="Normal"/>
    <w:link w:val="Heading1Char"/>
    <w:uiPriority w:val="9"/>
    <w:qFormat/>
    <w:rsid w:val="00404C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C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F87"/>
    <w:rPr>
      <w:rFonts w:ascii="Times New Roman" w:hAnsi="Times New Roman" w:cs="Times New Roman"/>
      <w:sz w:val="18"/>
      <w:szCs w:val="18"/>
    </w:rPr>
  </w:style>
  <w:style w:type="character" w:customStyle="1" w:styleId="Heading1Char">
    <w:name w:val="Heading 1 Char"/>
    <w:basedOn w:val="DefaultParagraphFont"/>
    <w:link w:val="Heading1"/>
    <w:uiPriority w:val="9"/>
    <w:rsid w:val="00404C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4C92"/>
    <w:rPr>
      <w:rFonts w:asciiTheme="majorHAnsi" w:eastAsiaTheme="majorEastAsia" w:hAnsiTheme="majorHAnsi" w:cstheme="majorBidi"/>
      <w:color w:val="2F5496" w:themeColor="accent1" w:themeShade="BF"/>
      <w:sz w:val="26"/>
      <w:szCs w:val="26"/>
    </w:rPr>
  </w:style>
  <w:style w:type="table" w:styleId="GridTable4-Accent1">
    <w:name w:val="Grid Table 4 Accent 1"/>
    <w:basedOn w:val="TableNormal"/>
    <w:uiPriority w:val="49"/>
    <w:rsid w:val="00404C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404C92"/>
    <w:pPr>
      <w:ind w:left="720"/>
      <w:contextualSpacing/>
    </w:pPr>
  </w:style>
  <w:style w:type="paragraph" w:styleId="CommentText">
    <w:name w:val="annotation text"/>
    <w:basedOn w:val="Normal"/>
    <w:link w:val="CommentTextChar"/>
    <w:uiPriority w:val="99"/>
    <w:semiHidden/>
    <w:unhideWhenUsed/>
    <w:rsid w:val="00404C92"/>
    <w:pPr>
      <w:spacing w:line="240" w:lineRule="auto"/>
    </w:pPr>
    <w:rPr>
      <w:szCs w:val="20"/>
    </w:rPr>
  </w:style>
  <w:style w:type="character" w:customStyle="1" w:styleId="CommentTextChar">
    <w:name w:val="Comment Text Char"/>
    <w:basedOn w:val="DefaultParagraphFont"/>
    <w:link w:val="CommentText"/>
    <w:uiPriority w:val="99"/>
    <w:semiHidden/>
    <w:rsid w:val="00404C9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905</Words>
  <Characters>5250</Characters>
  <Application>Microsoft Office Word</Application>
  <DocSecurity>0</DocSecurity>
  <Lines>111</Lines>
  <Paragraphs>59</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Arulkumaran, Nishkantha</dc:creator>
  <cp:keywords/>
  <dc:description/>
  <cp:lastModifiedBy>Arulkumaran, Nishkantha</cp:lastModifiedBy>
  <cp:revision>1</cp:revision>
  <dcterms:created xsi:type="dcterms:W3CDTF">2020-09-20T13:56:00Z</dcterms:created>
  <dcterms:modified xsi:type="dcterms:W3CDTF">2020-09-20T13:56:00Z</dcterms:modified>
</cp:coreProperties>
</file>