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8B3F" w14:textId="06C4F075" w:rsidR="00812E05" w:rsidRPr="001A0863" w:rsidRDefault="00812E05" w:rsidP="00812E05">
      <w:pPr>
        <w:spacing w:line="256" w:lineRule="auto"/>
        <w:rPr>
          <w:rFonts w:ascii="Calibri" w:eastAsia="DengXian" w:hAnsi="Calibri" w:cs="Times New Roman"/>
          <w:b/>
          <w:sz w:val="28"/>
          <w:szCs w:val="28"/>
        </w:rPr>
      </w:pPr>
      <w:r w:rsidRPr="001A0863">
        <w:rPr>
          <w:rFonts w:ascii="Calibri" w:eastAsia="DengXian" w:hAnsi="Calibri" w:cs="Times New Roman"/>
          <w:b/>
          <w:sz w:val="28"/>
          <w:szCs w:val="28"/>
        </w:rPr>
        <w:t xml:space="preserve">Genome-wide association studies dissect the GXE interaction for agronomic traits in a world-wide </w:t>
      </w:r>
      <w:r>
        <w:rPr>
          <w:rFonts w:ascii="Calibri" w:eastAsia="DengXian" w:hAnsi="Calibri" w:cs="Times New Roman"/>
          <w:b/>
          <w:sz w:val="28"/>
          <w:szCs w:val="28"/>
        </w:rPr>
        <w:t xml:space="preserve">collection of </w:t>
      </w:r>
      <w:r w:rsidRPr="001A0863">
        <w:rPr>
          <w:rFonts w:ascii="Calibri" w:eastAsia="DengXian" w:hAnsi="Calibri" w:cs="Times New Roman"/>
          <w:b/>
          <w:sz w:val="28"/>
          <w:szCs w:val="28"/>
        </w:rPr>
        <w:t>Safflower</w:t>
      </w:r>
      <w:r w:rsidR="00EC46D2">
        <w:rPr>
          <w:rFonts w:ascii="Calibri" w:eastAsia="DengXian" w:hAnsi="Calibri" w:cs="Times New Roman"/>
          <w:b/>
          <w:sz w:val="28"/>
          <w:szCs w:val="28"/>
        </w:rPr>
        <w:t>s</w:t>
      </w:r>
      <w:r w:rsidRPr="001A0863">
        <w:rPr>
          <w:rFonts w:ascii="Calibri" w:eastAsia="DengXian" w:hAnsi="Calibri" w:cs="Times New Roman"/>
          <w:b/>
          <w:sz w:val="28"/>
          <w:szCs w:val="28"/>
        </w:rPr>
        <w:t xml:space="preserve"> </w:t>
      </w:r>
      <w:bookmarkStart w:id="0" w:name="_Hlk45013010"/>
      <w:r w:rsidRPr="001A0863">
        <w:rPr>
          <w:rFonts w:ascii="Calibri" w:eastAsia="DengXian" w:hAnsi="Calibri" w:cs="Times New Roman"/>
          <w:b/>
          <w:sz w:val="28"/>
          <w:szCs w:val="28"/>
        </w:rPr>
        <w:t>(</w:t>
      </w:r>
      <w:r w:rsidRPr="001A0863">
        <w:rPr>
          <w:rFonts w:ascii="Calibri" w:eastAsia="DengXian" w:hAnsi="Calibri" w:cs="Times New Roman"/>
          <w:b/>
          <w:i/>
          <w:iCs/>
          <w:sz w:val="28"/>
          <w:szCs w:val="28"/>
        </w:rPr>
        <w:t>Carthamus tinctorius</w:t>
      </w:r>
      <w:r w:rsidRPr="001A0863">
        <w:rPr>
          <w:rFonts w:ascii="Calibri" w:eastAsia="DengXian" w:hAnsi="Calibri" w:cs="Times New Roman"/>
          <w:b/>
          <w:sz w:val="28"/>
          <w:szCs w:val="28"/>
        </w:rPr>
        <w:t xml:space="preserve"> L.) </w:t>
      </w:r>
    </w:p>
    <w:bookmarkEnd w:id="0"/>
    <w:p w14:paraId="65A5E6CC" w14:textId="52095D8F" w:rsidR="00812E05" w:rsidRPr="001A0863" w:rsidRDefault="00812E05" w:rsidP="00812E05">
      <w:pPr>
        <w:spacing w:after="0" w:line="360" w:lineRule="auto"/>
        <w:rPr>
          <w:rFonts w:ascii="Calibri" w:eastAsia="DengXian" w:hAnsi="Calibri" w:cs="Times New Roman"/>
        </w:rPr>
      </w:pPr>
      <w:r w:rsidRPr="001A0863">
        <w:rPr>
          <w:rFonts w:ascii="Calibri" w:eastAsia="DengXian" w:hAnsi="Calibri" w:cs="Times New Roman"/>
        </w:rPr>
        <w:t>Huanhuan Zhao</w:t>
      </w:r>
      <w:r w:rsidRPr="001A0863">
        <w:rPr>
          <w:rFonts w:ascii="Calibri" w:eastAsia="DengXian" w:hAnsi="Calibri" w:cs="Times New Roman"/>
          <w:vertAlign w:val="superscript"/>
        </w:rPr>
        <w:t>1,</w:t>
      </w:r>
      <w:r>
        <w:rPr>
          <w:rFonts w:ascii="Calibri" w:eastAsia="DengXian" w:hAnsi="Calibri" w:cs="Times New Roman"/>
          <w:vertAlign w:val="superscript"/>
        </w:rPr>
        <w:t>2*</w:t>
      </w:r>
      <w:r w:rsidRPr="001A0863">
        <w:rPr>
          <w:rFonts w:ascii="Calibri" w:eastAsia="DengXian" w:hAnsi="Calibri" w:cs="Times New Roman"/>
        </w:rPr>
        <w:t>, Keith W. Savin</w:t>
      </w:r>
      <w:r>
        <w:rPr>
          <w:rFonts w:ascii="Calibri" w:eastAsia="DengXian" w:hAnsi="Calibri" w:cs="Times New Roman"/>
          <w:vertAlign w:val="superscript"/>
        </w:rPr>
        <w:t>2</w:t>
      </w:r>
      <w:r w:rsidRPr="001A0863">
        <w:rPr>
          <w:rFonts w:ascii="Calibri" w:eastAsia="DengXian" w:hAnsi="Calibri" w:cs="Times New Roman"/>
          <w:lang w:val="en-US"/>
        </w:rPr>
        <w:t xml:space="preserve">, </w:t>
      </w:r>
      <w:r w:rsidRPr="001A0863">
        <w:rPr>
          <w:rFonts w:ascii="Calibri" w:eastAsia="DengXian" w:hAnsi="Calibri" w:cs="Times New Roman"/>
        </w:rPr>
        <w:t>Yongjun Li</w:t>
      </w:r>
      <w:r>
        <w:rPr>
          <w:rFonts w:ascii="Calibri" w:eastAsia="DengXian" w:hAnsi="Calibri" w:cs="Times New Roman"/>
          <w:vertAlign w:val="superscript"/>
        </w:rPr>
        <w:t>2</w:t>
      </w:r>
      <w:r w:rsidRPr="001A0863">
        <w:rPr>
          <w:rFonts w:ascii="Calibri" w:eastAsia="DengXian" w:hAnsi="Calibri" w:cs="Times New Roman"/>
        </w:rPr>
        <w:t xml:space="preserve">, </w:t>
      </w:r>
      <w:r w:rsidRPr="001A0863">
        <w:rPr>
          <w:rFonts w:ascii="Calibri" w:eastAsia="DengXian" w:hAnsi="Calibri" w:cs="Times New Roman"/>
          <w:lang w:val="en-US"/>
        </w:rPr>
        <w:t>Ed J Breen</w:t>
      </w:r>
      <w:r>
        <w:rPr>
          <w:rFonts w:ascii="Calibri" w:eastAsia="DengXian" w:hAnsi="Calibri" w:cs="Times New Roman"/>
          <w:vertAlign w:val="superscript"/>
          <w:lang w:val="en-US"/>
        </w:rPr>
        <w:t>2</w:t>
      </w:r>
      <w:r w:rsidRPr="001A0863">
        <w:rPr>
          <w:rFonts w:ascii="Calibri" w:eastAsia="DengXian" w:hAnsi="Calibri" w:cs="Times New Roman"/>
          <w:lang w:val="en-US"/>
        </w:rPr>
        <w:t xml:space="preserve">, </w:t>
      </w:r>
      <w:r>
        <w:rPr>
          <w:lang w:val="en-US"/>
        </w:rPr>
        <w:t>Pankaj Maharjan</w:t>
      </w:r>
      <w:r>
        <w:rPr>
          <w:vertAlign w:val="superscript"/>
          <w:lang w:val="en-US"/>
        </w:rPr>
        <w:t>3</w:t>
      </w:r>
      <w:r>
        <w:t xml:space="preserve">, </w:t>
      </w:r>
      <w:r w:rsidRPr="001A0863">
        <w:rPr>
          <w:rFonts w:ascii="Calibri" w:eastAsia="DengXian" w:hAnsi="Calibri" w:cs="Times New Roman"/>
        </w:rPr>
        <w:t xml:space="preserve">Josquin F. Tibbits </w:t>
      </w:r>
      <w:r>
        <w:rPr>
          <w:rFonts w:ascii="Calibri" w:eastAsia="DengXian" w:hAnsi="Calibri" w:cs="Times New Roman"/>
          <w:vertAlign w:val="superscript"/>
        </w:rPr>
        <w:t>2</w:t>
      </w:r>
      <w:r w:rsidRPr="001A0863">
        <w:rPr>
          <w:rFonts w:ascii="Calibri" w:eastAsia="DengXian" w:hAnsi="Calibri" w:cs="Times New Roman"/>
        </w:rPr>
        <w:t>, Surya Kant</w:t>
      </w:r>
      <w:r>
        <w:rPr>
          <w:rFonts w:ascii="Calibri" w:eastAsia="DengXian" w:hAnsi="Calibri" w:cs="Times New Roman"/>
          <w:vertAlign w:val="superscript"/>
        </w:rPr>
        <w:t>1</w:t>
      </w:r>
      <w:r w:rsidRPr="001A0863">
        <w:rPr>
          <w:rFonts w:ascii="Calibri" w:eastAsia="DengXian" w:hAnsi="Calibri" w:cs="Times New Roman"/>
          <w:vertAlign w:val="superscript"/>
        </w:rPr>
        <w:t>,</w:t>
      </w:r>
      <w:r>
        <w:rPr>
          <w:rFonts w:ascii="Calibri" w:eastAsia="DengXian" w:hAnsi="Calibri" w:cs="Times New Roman"/>
          <w:vertAlign w:val="superscript"/>
        </w:rPr>
        <w:t>3</w:t>
      </w:r>
      <w:r w:rsidRPr="001A0863">
        <w:rPr>
          <w:rFonts w:ascii="Calibri" w:eastAsia="DengXian" w:hAnsi="Calibri" w:cs="Times New Roman"/>
        </w:rPr>
        <w:t>, Matthew J. Hayden</w:t>
      </w:r>
      <w:r w:rsidRPr="001A0863">
        <w:rPr>
          <w:rFonts w:ascii="Calibri" w:eastAsia="DengXian" w:hAnsi="Calibri" w:cs="Times New Roman"/>
          <w:vertAlign w:val="superscript"/>
        </w:rPr>
        <w:t>1,</w:t>
      </w:r>
      <w:r>
        <w:rPr>
          <w:rFonts w:ascii="Calibri" w:eastAsia="DengXian" w:hAnsi="Calibri" w:cs="Times New Roman"/>
          <w:vertAlign w:val="superscript"/>
        </w:rPr>
        <w:t>2</w:t>
      </w:r>
      <w:r w:rsidRPr="001A0863">
        <w:rPr>
          <w:rFonts w:ascii="Calibri" w:eastAsia="DengXian" w:hAnsi="Calibri" w:cs="Times New Roman"/>
        </w:rPr>
        <w:t>, Hans D. Daetwyler</w:t>
      </w:r>
      <w:r w:rsidRPr="001A0863">
        <w:rPr>
          <w:rFonts w:ascii="Calibri" w:eastAsia="DengXian" w:hAnsi="Calibri" w:cs="Times New Roman"/>
          <w:vertAlign w:val="superscript"/>
        </w:rPr>
        <w:t>1,</w:t>
      </w:r>
      <w:r>
        <w:rPr>
          <w:rFonts w:ascii="Calibri" w:eastAsia="DengXian" w:hAnsi="Calibri" w:cs="Times New Roman"/>
          <w:vertAlign w:val="superscript"/>
        </w:rPr>
        <w:t>2</w:t>
      </w:r>
    </w:p>
    <w:p w14:paraId="372FAE9B" w14:textId="28DF7D69" w:rsidR="00DA7715" w:rsidRDefault="00DA7715"/>
    <w:p w14:paraId="20DAEC67" w14:textId="573BEBED" w:rsidR="007C10CE" w:rsidRDefault="00834982">
      <w:r w:rsidRPr="00F67CB3">
        <w:rPr>
          <w:b/>
          <w:bCs/>
        </w:rPr>
        <w:t>Supplementary Figure s1</w:t>
      </w:r>
      <w:r w:rsidR="00F67CB3" w:rsidRPr="00F67CB3">
        <w:rPr>
          <w:b/>
          <w:bCs/>
        </w:rPr>
        <w:t>.</w:t>
      </w:r>
      <w:r w:rsidRPr="00834982">
        <w:t xml:space="preserve"> Heatmap of genomic relationships among 318 safflower accessions</w:t>
      </w:r>
      <w:r w:rsidR="00B730C9">
        <w:t xml:space="preserve"> (</w:t>
      </w:r>
      <w:r w:rsidR="00AE50C7">
        <w:t>subset from the previous publication</w:t>
      </w:r>
      <w:r w:rsidR="003F0B20">
        <w:t>,</w:t>
      </w:r>
      <w:r w:rsidR="00AE50C7">
        <w:t xml:space="preserve"> </w:t>
      </w:r>
      <w:r w:rsidR="003F0B20" w:rsidRPr="003F0B20">
        <w:t>Zhao et al. 2021</w:t>
      </w:r>
      <w:r w:rsidR="00B730C9">
        <w:t>)</w:t>
      </w:r>
      <w:r w:rsidRPr="00834982">
        <w:t>. Blue indicates less related, while orange means more related.</w:t>
      </w:r>
    </w:p>
    <w:p w14:paraId="52DF8702" w14:textId="77777777" w:rsidR="00F67CB3" w:rsidRDefault="00F67CB3"/>
    <w:p w14:paraId="25D437DA" w14:textId="644B3D2D" w:rsidR="007C10CE" w:rsidRDefault="001D304B">
      <w:r>
        <w:rPr>
          <w:noProof/>
        </w:rPr>
        <w:drawing>
          <wp:inline distT="0" distB="0" distL="0" distR="0" wp14:anchorId="2CEB02F7" wp14:editId="78BB12BE">
            <wp:extent cx="370078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6E54E" w14:textId="77777777" w:rsidR="00F67CB3" w:rsidRDefault="00F67CB3"/>
    <w:p w14:paraId="21CDBB5A" w14:textId="30160ADD" w:rsidR="00812E05" w:rsidRPr="006346AE" w:rsidRDefault="00812E05" w:rsidP="00812E05">
      <w:r w:rsidRPr="0057119E">
        <w:rPr>
          <w:b/>
          <w:bCs/>
        </w:rPr>
        <w:t>Supplementary Figure s</w:t>
      </w:r>
      <w:r w:rsidR="00F67CB3">
        <w:rPr>
          <w:b/>
          <w:bCs/>
        </w:rPr>
        <w:t>2</w:t>
      </w:r>
      <w:r w:rsidRPr="0057119E">
        <w:rPr>
          <w:b/>
          <w:bCs/>
        </w:rPr>
        <w:t>.</w:t>
      </w:r>
      <w:r w:rsidRPr="006346AE">
        <w:t xml:space="preserve"> Scatter plot of pa</w:t>
      </w:r>
      <w:r>
        <w:t>ir</w:t>
      </w:r>
      <w:r w:rsidRPr="006346AE">
        <w:t>wise LD</w:t>
      </w:r>
      <w:r>
        <w:t xml:space="preserve"> (</w:t>
      </w:r>
      <w:r w:rsidRPr="006346AE">
        <w:t xml:space="preserve">r2) decay between SNPs </w:t>
      </w:r>
      <w:r>
        <w:t>positioned in</w:t>
      </w:r>
      <w:r w:rsidRPr="006346AE">
        <w:t xml:space="preserve"> the same </w:t>
      </w:r>
      <w:r>
        <w:t xml:space="preserve">pseudochromosomes with </w:t>
      </w:r>
      <w:r w:rsidRPr="006346AE">
        <w:t xml:space="preserve">physical distance between SNPs (kilobases) for each locus (grey dots) and the average for each set of SNPs within 200kb distance (black dots). </w:t>
      </w:r>
    </w:p>
    <w:p w14:paraId="3054D243" w14:textId="09C3DD00" w:rsidR="00812E05" w:rsidRDefault="0039770D">
      <w:r>
        <w:rPr>
          <w:noProof/>
        </w:rPr>
        <w:drawing>
          <wp:inline distT="0" distB="0" distL="0" distR="0" wp14:anchorId="3A02082A" wp14:editId="76C590B1">
            <wp:extent cx="4672800" cy="2239760"/>
            <wp:effectExtent l="0" t="0" r="0" b="8255"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641" cy="225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517D" w14:textId="0AB589DF" w:rsidR="00812E05" w:rsidRDefault="00812E05"/>
    <w:p w14:paraId="2E32A026" w14:textId="3C64B062" w:rsidR="008F3AB3" w:rsidRDefault="008F3AB3" w:rsidP="008F3AB3">
      <w:r w:rsidRPr="009C102F">
        <w:rPr>
          <w:b/>
          <w:bCs/>
        </w:rPr>
        <w:t>Supplementary Fig s</w:t>
      </w:r>
      <w:r w:rsidR="00F67CB3">
        <w:rPr>
          <w:b/>
          <w:bCs/>
        </w:rPr>
        <w:t>3</w:t>
      </w:r>
      <w:r w:rsidRPr="009C102F">
        <w:rPr>
          <w:b/>
          <w:bCs/>
        </w:rPr>
        <w:t>.</w:t>
      </w:r>
      <w:r w:rsidRPr="006346AE">
        <w:t xml:space="preserve"> Left, QQ plot</w:t>
      </w:r>
      <w:r w:rsidR="00A86912">
        <w:t xml:space="preserve"> </w:t>
      </w:r>
      <w:r>
        <w:t xml:space="preserve">for </w:t>
      </w:r>
      <w:r w:rsidR="00A86912">
        <w:t>PR,</w:t>
      </w:r>
      <w:r w:rsidRPr="006346AE">
        <w:t xml:space="preserve"> SW</w:t>
      </w:r>
      <w:r w:rsidR="00A86912">
        <w:t>,</w:t>
      </w:r>
      <w:r w:rsidRPr="006346AE">
        <w:t xml:space="preserve"> YP</w:t>
      </w:r>
      <w:r w:rsidR="00A86912">
        <w:t>, DF and PH</w:t>
      </w:r>
      <w:r w:rsidRPr="006346AE">
        <w:t xml:space="preserve"> at </w:t>
      </w:r>
      <w:r>
        <w:t xml:space="preserve">the </w:t>
      </w:r>
      <w:r w:rsidRPr="006346AE">
        <w:t xml:space="preserve">four </w:t>
      </w:r>
      <w:r>
        <w:t xml:space="preserve">trial </w:t>
      </w:r>
      <w:r w:rsidRPr="006346AE">
        <w:t>sites. Right, negative Log</w:t>
      </w:r>
      <w:r w:rsidRPr="009C102F">
        <w:rPr>
          <w:vertAlign w:val="subscript"/>
        </w:rPr>
        <w:t>10</w:t>
      </w:r>
      <w:r w:rsidRPr="006346AE">
        <w:t xml:space="preserve"> p</w:t>
      </w:r>
      <w:r>
        <w:t>-</w:t>
      </w:r>
      <w:r w:rsidRPr="006346AE">
        <w:t xml:space="preserve">values plotted against all SNP </w:t>
      </w:r>
      <w:r>
        <w:t>across the</w:t>
      </w:r>
      <w:r w:rsidRPr="006346AE">
        <w:t xml:space="preserve"> four sites</w:t>
      </w:r>
      <w:r>
        <w:t>.</w:t>
      </w:r>
      <w:r w:rsidRPr="006346AE">
        <w:t xml:space="preserve"> </w:t>
      </w:r>
      <w:r>
        <w:t>B</w:t>
      </w:r>
      <w:r w:rsidRPr="006346AE">
        <w:t xml:space="preserve">lue line </w:t>
      </w:r>
      <w:r>
        <w:t xml:space="preserve">indicates </w:t>
      </w:r>
      <w:r w:rsidRPr="006346AE">
        <w:t>the t</w:t>
      </w:r>
      <w:r>
        <w:t>hr</w:t>
      </w:r>
      <w:r w:rsidRPr="006346AE">
        <w:t xml:space="preserve">eshold of significance </w:t>
      </w:r>
      <w:r>
        <w:t>for</w:t>
      </w:r>
      <w:r w:rsidRPr="006346AE">
        <w:t xml:space="preserve"> MLM-GWAS method</w:t>
      </w:r>
      <w:r>
        <w:t xml:space="preserve"> (upper)</w:t>
      </w:r>
      <w:r w:rsidRPr="006346AE">
        <w:t xml:space="preserve">, and SNP effects for </w:t>
      </w:r>
      <w:r>
        <w:t>the traits</w:t>
      </w:r>
      <w:r w:rsidRPr="006346AE">
        <w:t xml:space="preserve"> in </w:t>
      </w:r>
      <w:r>
        <w:t xml:space="preserve">the </w:t>
      </w:r>
      <w:proofErr w:type="spellStart"/>
      <w:r w:rsidRPr="006346AE">
        <w:t>BayesR</w:t>
      </w:r>
      <w:proofErr w:type="spellEnd"/>
      <w:r w:rsidRPr="006346AE">
        <w:t xml:space="preserve"> method </w:t>
      </w:r>
      <w:r w:rsidRPr="006346AE">
        <w:lastRenderedPageBreak/>
        <w:t>(</w:t>
      </w:r>
      <w:r>
        <w:t>lower</w:t>
      </w:r>
      <w:r w:rsidRPr="006346AE">
        <w:t xml:space="preserve">). SNPs are sorted according to physical position in 12 </w:t>
      </w:r>
      <w:r>
        <w:t>pseudochromosomes</w:t>
      </w:r>
      <w:r w:rsidRPr="006346AE">
        <w:t xml:space="preserve"> and are in the same order </w:t>
      </w:r>
      <w:r>
        <w:t>for each of the four trial sites.</w:t>
      </w:r>
    </w:p>
    <w:p w14:paraId="33C8F421" w14:textId="73CF52BD" w:rsidR="008F3AB3" w:rsidRDefault="0039770D" w:rsidP="008F3AB3">
      <w:r>
        <w:rPr>
          <w:noProof/>
        </w:rPr>
        <w:drawing>
          <wp:inline distT="0" distB="0" distL="0" distR="0" wp14:anchorId="73A6204E" wp14:editId="7ED08A35">
            <wp:extent cx="4190400" cy="8024510"/>
            <wp:effectExtent l="0" t="0" r="635" b="0"/>
            <wp:docPr id="3" name="Picture 3" descr="Graphical user interface, 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chart, lin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140" cy="80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5ECBD" w14:textId="2AA63FC4" w:rsidR="008F3AB3" w:rsidRPr="006346AE" w:rsidRDefault="008F3AB3" w:rsidP="008F3AB3"/>
    <w:p w14:paraId="384CA36D" w14:textId="6F26634A" w:rsidR="00812E05" w:rsidRDefault="00812E05"/>
    <w:p w14:paraId="52AB11EA" w14:textId="19536E2B" w:rsidR="00A86912" w:rsidRDefault="00A86912" w:rsidP="00A86912">
      <w:r w:rsidRPr="004D66AD">
        <w:rPr>
          <w:b/>
          <w:bCs/>
        </w:rPr>
        <w:t>Supplementary Fig s</w:t>
      </w:r>
      <w:r w:rsidR="00F67CB3">
        <w:rPr>
          <w:b/>
          <w:bCs/>
        </w:rPr>
        <w:t>4</w:t>
      </w:r>
      <w:r w:rsidRPr="00251415">
        <w:t>. Heatmap plot of p</w:t>
      </w:r>
      <w:r>
        <w:t>air</w:t>
      </w:r>
      <w:r w:rsidRPr="00251415">
        <w:t xml:space="preserve">wise LD between significant associated SNPs for each trait. </w:t>
      </w:r>
      <w:r>
        <w:t>D</w:t>
      </w:r>
      <w:r w:rsidRPr="00251415">
        <w:t>arker colo</w:t>
      </w:r>
      <w:r>
        <w:t xml:space="preserve">ur indicates </w:t>
      </w:r>
      <w:r w:rsidRPr="00251415">
        <w:t>higher LD between SNPs</w:t>
      </w:r>
      <w:r>
        <w:t>.</w:t>
      </w:r>
    </w:p>
    <w:p w14:paraId="2EBBEDCB" w14:textId="3DCC33FC" w:rsidR="00812E05" w:rsidRDefault="0039770D">
      <w:r>
        <w:rPr>
          <w:noProof/>
        </w:rPr>
        <w:drawing>
          <wp:inline distT="0" distB="0" distL="0" distR="0" wp14:anchorId="5DF32FEC" wp14:editId="0B49207C">
            <wp:extent cx="4982400" cy="4359601"/>
            <wp:effectExtent l="0" t="0" r="8890" b="3175"/>
            <wp:docPr id="4" name="Picture 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588" cy="436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B979" w14:textId="77777777" w:rsidR="00A92CE5" w:rsidRDefault="00A92CE5" w:rsidP="00A86912">
      <w:pPr>
        <w:spacing w:after="0" w:line="240" w:lineRule="auto"/>
      </w:pPr>
      <w:r>
        <w:separator/>
      </w:r>
    </w:p>
  </w:endnote>
  <w:endnote w:type="continuationSeparator" w:id="0">
    <w:p w14:paraId="5FE93525" w14:textId="77777777" w:rsidR="00A92CE5" w:rsidRDefault="00A92CE5" w:rsidP="00A8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AA3A" w14:textId="77777777" w:rsidR="00A92CE5" w:rsidRDefault="00A92CE5" w:rsidP="00A86912">
      <w:pPr>
        <w:spacing w:after="0" w:line="240" w:lineRule="auto"/>
      </w:pPr>
      <w:r>
        <w:separator/>
      </w:r>
    </w:p>
  </w:footnote>
  <w:footnote w:type="continuationSeparator" w:id="0">
    <w:p w14:paraId="52F0A848" w14:textId="77777777" w:rsidR="00A92CE5" w:rsidRDefault="00A92CE5" w:rsidP="00A86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zGwNDI1MbAwNzBU0lEKTi0uzszPAykwqwUA42bJhywAAAA="/>
  </w:docVars>
  <w:rsids>
    <w:rsidRoot w:val="00812E05"/>
    <w:rsid w:val="001D304B"/>
    <w:rsid w:val="0039770D"/>
    <w:rsid w:val="003F0B20"/>
    <w:rsid w:val="007C10CE"/>
    <w:rsid w:val="00812E05"/>
    <w:rsid w:val="00834982"/>
    <w:rsid w:val="008F3AB3"/>
    <w:rsid w:val="00922E1A"/>
    <w:rsid w:val="00A86912"/>
    <w:rsid w:val="00A92CE5"/>
    <w:rsid w:val="00AE50C7"/>
    <w:rsid w:val="00B730C9"/>
    <w:rsid w:val="00CE3657"/>
    <w:rsid w:val="00DA7715"/>
    <w:rsid w:val="00EC46D2"/>
    <w:rsid w:val="00F67CB3"/>
    <w:rsid w:val="00F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2BB77"/>
  <w15:chartTrackingRefBased/>
  <w15:docId w15:val="{005D2C5A-EDC2-41F8-AED4-B6DF88C9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Zhao (DJPR)</dc:creator>
  <cp:keywords/>
  <dc:description/>
  <cp:lastModifiedBy>Huan Zhao (DJPR)</cp:lastModifiedBy>
  <cp:revision>12</cp:revision>
  <dcterms:created xsi:type="dcterms:W3CDTF">2021-09-14T06:21:00Z</dcterms:created>
  <dcterms:modified xsi:type="dcterms:W3CDTF">2022-02-25T05:45:00Z</dcterms:modified>
</cp:coreProperties>
</file>