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A36CE" w:rsidRPr="002D3408" w:rsidRDefault="00EA36CE" w:rsidP="00CD591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D3408">
        <w:rPr>
          <w:rFonts w:ascii="Times New Roman" w:hAnsi="Times New Roman" w:cs="Times New Roman"/>
          <w:b/>
          <w:sz w:val="28"/>
        </w:rPr>
        <w:t xml:space="preserve">Supplemental </w:t>
      </w:r>
      <w:r>
        <w:rPr>
          <w:rFonts w:ascii="Times New Roman" w:hAnsi="Times New Roman" w:cs="Times New Roman"/>
          <w:b/>
          <w:sz w:val="28"/>
        </w:rPr>
        <w:t>Figures</w:t>
      </w: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A36CE" w:rsidRPr="002D3408" w:rsidRDefault="00EA36CE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E073D6" w:rsidRPr="00202004" w:rsidRDefault="004A4C81" w:rsidP="00CD59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S1.</w:t>
      </w:r>
      <w:r w:rsidR="00362273">
        <w:rPr>
          <w:rFonts w:ascii="Times New Roman" w:hAnsi="Times New Roman" w:cs="Times New Roman"/>
          <w:b/>
          <w:sz w:val="24"/>
        </w:rPr>
        <w:t xml:space="preserve"> Circus plot showing the results of gene-level genetic association analysis of GWAS summary statistics on PBC. </w:t>
      </w:r>
      <w:r w:rsidR="00EF42D6">
        <w:rPr>
          <w:rFonts w:ascii="Times New Roman" w:hAnsi="Times New Roman" w:cs="Times New Roman"/>
          <w:sz w:val="24"/>
        </w:rPr>
        <w:t>Note: T</w:t>
      </w:r>
      <w:r w:rsidR="00362273" w:rsidRPr="00362273">
        <w:rPr>
          <w:rFonts w:ascii="Times New Roman" w:hAnsi="Times New Roman" w:cs="Times New Roman"/>
          <w:sz w:val="24"/>
        </w:rPr>
        <w:t xml:space="preserve">his </w:t>
      </w:r>
      <w:r w:rsidR="00362273">
        <w:rPr>
          <w:rFonts w:ascii="Times New Roman" w:hAnsi="Times New Roman" w:cs="Times New Roman"/>
          <w:sz w:val="24"/>
        </w:rPr>
        <w:t xml:space="preserve">analysis was performed using </w:t>
      </w:r>
      <w:r w:rsidR="00FD24FC">
        <w:rPr>
          <w:rFonts w:ascii="Times New Roman" w:hAnsi="Times New Roman" w:cs="Times New Roman"/>
          <w:sz w:val="24"/>
        </w:rPr>
        <w:t xml:space="preserve">the </w:t>
      </w:r>
      <w:r w:rsidR="00362273">
        <w:rPr>
          <w:rFonts w:ascii="Times New Roman" w:hAnsi="Times New Roman" w:cs="Times New Roman"/>
          <w:sz w:val="24"/>
        </w:rPr>
        <w:t>MAGMA software. A circular symbol in the outer ring stands for a given gene, and color of a circular symbol represents t</w:t>
      </w:r>
      <w:r w:rsidR="00362273" w:rsidRPr="007C1097">
        <w:rPr>
          <w:rFonts w:ascii="Times New Roman" w:hAnsi="Times New Roman" w:cs="Times New Roman"/>
          <w:sz w:val="24"/>
          <w:szCs w:val="24"/>
        </w:rPr>
        <w:t>he statistical significanc</w:t>
      </w:r>
      <w:r w:rsidR="00362273" w:rsidRPr="0027418B">
        <w:rPr>
          <w:rFonts w:ascii="Times New Roman" w:hAnsi="Times New Roman" w:cs="Times New Roman"/>
          <w:sz w:val="24"/>
          <w:szCs w:val="24"/>
        </w:rPr>
        <w:t>e of a specific gene, i.e., red color marks genes significantly associated with PBC with FDR ≤ 1×10</w:t>
      </w:r>
      <w:r w:rsidR="00362273" w:rsidRPr="0027418B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="00362273" w:rsidRPr="0027418B">
        <w:rPr>
          <w:rFonts w:ascii="Times New Roman" w:hAnsi="Times New Roman" w:cs="Times New Roman"/>
          <w:sz w:val="24"/>
          <w:szCs w:val="24"/>
        </w:rPr>
        <w:t>, orange color marks genes significantly associated with PBC with FDR ranging from 1×10</w:t>
      </w:r>
      <w:r w:rsidR="00362273" w:rsidRPr="0027418B">
        <w:rPr>
          <w:rFonts w:ascii="Times New Roman" w:hAnsi="Times New Roman" w:cs="Times New Roman"/>
          <w:sz w:val="24"/>
          <w:szCs w:val="24"/>
          <w:vertAlign w:val="superscript"/>
        </w:rPr>
        <w:t>-8</w:t>
      </w:r>
      <w:r w:rsidR="00362273" w:rsidRPr="0027418B">
        <w:rPr>
          <w:rFonts w:ascii="Times New Roman" w:hAnsi="Times New Roman" w:cs="Times New Roman"/>
          <w:sz w:val="24"/>
          <w:szCs w:val="24"/>
        </w:rPr>
        <w:t xml:space="preserve"> to 0.001, light blue indicates genes significantly associated with PBC with FDR ranging from 0.001 to 0.05, and dark blue indicates genes showing non-significant associations with PBC (FDR &gt; 0.05).</w:t>
      </w:r>
      <w:r w:rsidR="00E0772C">
        <w:rPr>
          <w:rFonts w:ascii="Times New Roman" w:hAnsi="Times New Roman" w:cs="Times New Roman"/>
          <w:sz w:val="24"/>
          <w:szCs w:val="24"/>
        </w:rPr>
        <w:t xml:space="preserve"> There were 563 genes showing significant associations with PBC (</w:t>
      </w:r>
      <w:r w:rsidR="00E0772C" w:rsidRPr="00D75962">
        <w:rPr>
          <w:rFonts w:ascii="Times New Roman" w:hAnsi="Times New Roman" w:cs="Times New Roman"/>
          <w:sz w:val="24"/>
        </w:rPr>
        <w:t xml:space="preserve">FDR </w:t>
      </w:r>
      <w:r w:rsidR="00E0772C" w:rsidRPr="0027418B">
        <w:rPr>
          <w:rFonts w:ascii="Times New Roman" w:hAnsi="Times New Roman" w:cs="Times New Roman"/>
          <w:sz w:val="24"/>
          <w:szCs w:val="24"/>
        </w:rPr>
        <w:t>≤</w:t>
      </w:r>
      <w:r w:rsidR="00E0772C" w:rsidRPr="00D75962">
        <w:rPr>
          <w:rFonts w:ascii="Times New Roman" w:hAnsi="Times New Roman" w:cs="Times New Roman"/>
          <w:sz w:val="24"/>
        </w:rPr>
        <w:t xml:space="preserve"> 0.05</w:t>
      </w:r>
      <w:r w:rsidR="00E0772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073D6" w:rsidRDefault="00E073D6" w:rsidP="00CD59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073D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70F1318" wp14:editId="1F8D5371">
            <wp:extent cx="5343525" cy="4476696"/>
            <wp:effectExtent l="0" t="0" r="0" b="63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742" cy="44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D6" w:rsidRDefault="00E073D6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EA36CE" w:rsidRPr="00E76FBF" w:rsidRDefault="004A4C81" w:rsidP="00CD5915">
      <w:pPr>
        <w:spacing w:line="360" w:lineRule="auto"/>
        <w:rPr>
          <w:rFonts w:ascii="Times New Roman" w:hAnsi="Times New Roman" w:cs="Times New Roman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</w:t>
      </w:r>
      <w:r w:rsidRPr="002D3408">
        <w:rPr>
          <w:rFonts w:ascii="Times New Roman" w:hAnsi="Times New Roman" w:cs="Times New Roman"/>
          <w:b/>
          <w:sz w:val="24"/>
        </w:rPr>
        <w:t xml:space="preserve"> S</w:t>
      </w:r>
      <w:r w:rsidR="001C5535">
        <w:rPr>
          <w:rFonts w:ascii="Times New Roman" w:hAnsi="Times New Roman" w:cs="Times New Roman"/>
          <w:b/>
          <w:sz w:val="24"/>
        </w:rPr>
        <w:t>2</w:t>
      </w:r>
      <w:r w:rsidRPr="002D3408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MAGMA-based functional annotation analysis for GWAS summary data.</w:t>
      </w:r>
      <w:r w:rsidR="00E76FBF">
        <w:rPr>
          <w:rFonts w:ascii="Times New Roman" w:hAnsi="Times New Roman" w:cs="Times New Roman"/>
          <w:b/>
          <w:sz w:val="24"/>
        </w:rPr>
        <w:t xml:space="preserve"> </w:t>
      </w:r>
      <w:r w:rsidR="00E76FBF" w:rsidRPr="00E76FBF">
        <w:rPr>
          <w:rFonts w:ascii="Times New Roman" w:hAnsi="Times New Roman" w:cs="Times New Roman"/>
          <w:sz w:val="24"/>
        </w:rPr>
        <w:t>a)</w:t>
      </w:r>
      <w:r w:rsidR="00E76FBF">
        <w:rPr>
          <w:rFonts w:ascii="Times New Roman" w:hAnsi="Times New Roman" w:cs="Times New Roman"/>
          <w:sz w:val="24"/>
        </w:rPr>
        <w:t xml:space="preserve"> MAGMA-based pathway enrichment analysis based on GWAS summary data on PBC. b) M</w:t>
      </w:r>
      <w:r w:rsidR="003F08DE">
        <w:rPr>
          <w:rFonts w:ascii="Times New Roman" w:hAnsi="Times New Roman" w:cs="Times New Roman"/>
          <w:sz w:val="24"/>
        </w:rPr>
        <w:t>ultidimensional scaling analysis of 41 significant pathways identified MAGMA-based pathway analysis. Note: Circular ring size represents the number of each enriched pathway. Color stands for the exponent function transformed</w:t>
      </w:r>
      <w:r w:rsidR="003F08DE" w:rsidRPr="003F08DE">
        <w:rPr>
          <w:rFonts w:ascii="Times New Roman" w:hAnsi="Times New Roman" w:cs="Times New Roman"/>
          <w:i/>
          <w:sz w:val="24"/>
        </w:rPr>
        <w:t xml:space="preserve"> beta</w:t>
      </w:r>
      <w:r w:rsidR="003F08DE">
        <w:rPr>
          <w:rFonts w:ascii="Times New Roman" w:hAnsi="Times New Roman" w:cs="Times New Roman"/>
          <w:sz w:val="24"/>
        </w:rPr>
        <w:t xml:space="preserve"> value of each enriched pathway. Number of circular ring in the plot represents the pathway ID as shown in </w:t>
      </w:r>
      <w:r w:rsidR="00087A65">
        <w:rPr>
          <w:rFonts w:ascii="Times New Roman" w:hAnsi="Times New Roman" w:cs="Times New Roman"/>
          <w:sz w:val="24"/>
        </w:rPr>
        <w:t xml:space="preserve">the </w:t>
      </w:r>
      <w:r w:rsidR="003F08DE">
        <w:rPr>
          <w:rFonts w:ascii="Times New Roman" w:hAnsi="Times New Roman" w:cs="Times New Roman"/>
          <w:sz w:val="24"/>
        </w:rPr>
        <w:t xml:space="preserve">Supplemental Table S3. </w:t>
      </w:r>
    </w:p>
    <w:p w:rsidR="00457789" w:rsidRPr="00EA36CE" w:rsidRDefault="008341D2" w:rsidP="00CD5915">
      <w:pPr>
        <w:spacing w:line="360" w:lineRule="auto"/>
        <w:rPr>
          <w:sz w:val="24"/>
        </w:rPr>
      </w:pPr>
      <w:r w:rsidRPr="008341D2">
        <w:rPr>
          <w:noProof/>
          <w:sz w:val="24"/>
        </w:rPr>
        <w:drawing>
          <wp:inline distT="0" distB="0" distL="0" distR="0" wp14:anchorId="2E71414F" wp14:editId="2CAA40C5">
            <wp:extent cx="6188710" cy="443103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03" w:rsidRPr="00D94103" w:rsidRDefault="00D94103" w:rsidP="00CD5915">
      <w:pPr>
        <w:spacing w:line="360" w:lineRule="auto"/>
        <w:rPr>
          <w:sz w:val="24"/>
        </w:rPr>
      </w:pPr>
    </w:p>
    <w:p w:rsidR="00D94103" w:rsidRPr="00D94103" w:rsidRDefault="00D94103" w:rsidP="00CD5915">
      <w:pPr>
        <w:spacing w:line="360" w:lineRule="auto"/>
        <w:rPr>
          <w:sz w:val="24"/>
        </w:rPr>
      </w:pPr>
    </w:p>
    <w:p w:rsidR="00D94103" w:rsidRDefault="00D94103" w:rsidP="00CD5915">
      <w:pPr>
        <w:spacing w:line="360" w:lineRule="auto"/>
        <w:rPr>
          <w:sz w:val="24"/>
        </w:rPr>
      </w:pPr>
    </w:p>
    <w:p w:rsidR="006D25C3" w:rsidRDefault="006D25C3" w:rsidP="00CD5915">
      <w:pPr>
        <w:spacing w:line="360" w:lineRule="auto"/>
        <w:rPr>
          <w:sz w:val="24"/>
        </w:rPr>
      </w:pPr>
    </w:p>
    <w:p w:rsidR="006D25C3" w:rsidRPr="00D94103" w:rsidRDefault="006D25C3" w:rsidP="00CD5915">
      <w:pPr>
        <w:spacing w:line="360" w:lineRule="auto"/>
        <w:rPr>
          <w:sz w:val="24"/>
        </w:rPr>
      </w:pPr>
    </w:p>
    <w:p w:rsidR="00D94103" w:rsidRDefault="00D94103" w:rsidP="00CD5915">
      <w:pPr>
        <w:spacing w:line="360" w:lineRule="auto"/>
        <w:rPr>
          <w:sz w:val="24"/>
        </w:rPr>
      </w:pPr>
    </w:p>
    <w:p w:rsidR="00154B93" w:rsidRDefault="00154B93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S3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B25F6" w:rsidRPr="006D25C3">
        <w:rPr>
          <w:rFonts w:ascii="Times New Roman" w:hAnsi="Times New Roman" w:cs="Times New Roman"/>
          <w:b/>
          <w:sz w:val="24"/>
        </w:rPr>
        <w:t>Results of MAGMA gene-property analysis based on the web-access tool of FUMA.</w:t>
      </w:r>
      <w:r w:rsidR="00CB25F6">
        <w:rPr>
          <w:rFonts w:ascii="Times New Roman" w:hAnsi="Times New Roman" w:cs="Times New Roman"/>
          <w:sz w:val="24"/>
        </w:rPr>
        <w:t xml:space="preserve"> Gray color means non-significant enrichment. Orange color stands for significant enrichment</w:t>
      </w:r>
      <w:r w:rsidR="007268FC">
        <w:rPr>
          <w:rFonts w:ascii="Times New Roman" w:hAnsi="Times New Roman" w:cs="Times New Roman"/>
          <w:sz w:val="24"/>
        </w:rPr>
        <w:t>.</w:t>
      </w:r>
    </w:p>
    <w:p w:rsidR="00154B93" w:rsidRDefault="004B7A06" w:rsidP="00CD5915">
      <w:pPr>
        <w:spacing w:line="360" w:lineRule="auto"/>
        <w:jc w:val="center"/>
        <w:rPr>
          <w:sz w:val="24"/>
        </w:rPr>
      </w:pPr>
      <w:r w:rsidRPr="004B7A06">
        <w:rPr>
          <w:noProof/>
          <w:sz w:val="24"/>
        </w:rPr>
        <w:drawing>
          <wp:inline distT="0" distB="0" distL="0" distR="0" wp14:anchorId="49F42CFA" wp14:editId="1B8B9792">
            <wp:extent cx="3968794" cy="3717471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720" cy="37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93" w:rsidRDefault="00154B93" w:rsidP="00CD5915">
      <w:pPr>
        <w:spacing w:line="360" w:lineRule="auto"/>
        <w:rPr>
          <w:sz w:val="24"/>
        </w:rPr>
      </w:pPr>
    </w:p>
    <w:p w:rsidR="00154B93" w:rsidRDefault="00154B93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Default="009B129E" w:rsidP="00CD5915">
      <w:pPr>
        <w:spacing w:line="360" w:lineRule="auto"/>
        <w:rPr>
          <w:sz w:val="24"/>
        </w:rPr>
      </w:pPr>
    </w:p>
    <w:p w:rsidR="009B129E" w:rsidRPr="00D94103" w:rsidRDefault="009B129E" w:rsidP="00CD5915">
      <w:pPr>
        <w:spacing w:line="360" w:lineRule="auto"/>
        <w:rPr>
          <w:sz w:val="24"/>
        </w:rPr>
      </w:pPr>
    </w:p>
    <w:p w:rsidR="00D94103" w:rsidRPr="008B34DE" w:rsidRDefault="00DC333E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4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Venn plot shows the overlap of results between MAGMA and S-MultiXcan analysis</w:t>
      </w:r>
      <w:r w:rsidR="008B34DE">
        <w:rPr>
          <w:rFonts w:ascii="Times New Roman" w:hAnsi="Times New Roman" w:cs="Times New Roman"/>
          <w:b/>
          <w:sz w:val="24"/>
        </w:rPr>
        <w:t xml:space="preserve">. </w:t>
      </w:r>
      <w:r w:rsidR="008B34DE" w:rsidRPr="008B34DE">
        <w:rPr>
          <w:rFonts w:ascii="Times New Roman" w:hAnsi="Times New Roman" w:cs="Times New Roman"/>
          <w:sz w:val="24"/>
        </w:rPr>
        <w:t xml:space="preserve">Note: </w:t>
      </w:r>
      <w:r w:rsidR="008B34DE">
        <w:rPr>
          <w:rFonts w:ascii="Times New Roman" w:hAnsi="Times New Roman" w:cs="Times New Roman"/>
          <w:sz w:val="24"/>
        </w:rPr>
        <w:t xml:space="preserve">There is a high overlap rate of 86.6% (232/268) </w:t>
      </w:r>
      <w:r w:rsidR="00134792">
        <w:rPr>
          <w:rFonts w:ascii="Times New Roman" w:hAnsi="Times New Roman" w:cs="Times New Roman"/>
          <w:sz w:val="24"/>
        </w:rPr>
        <w:t>between significant genes from</w:t>
      </w:r>
      <w:r w:rsidR="008B34DE">
        <w:rPr>
          <w:rFonts w:ascii="Times New Roman" w:hAnsi="Times New Roman" w:cs="Times New Roman"/>
          <w:sz w:val="24"/>
        </w:rPr>
        <w:t xml:space="preserve"> S-MultiXcan analysis </w:t>
      </w:r>
      <w:r w:rsidR="00134792">
        <w:rPr>
          <w:rFonts w:ascii="Times New Roman" w:hAnsi="Times New Roman" w:cs="Times New Roman"/>
          <w:sz w:val="24"/>
        </w:rPr>
        <w:t>and</w:t>
      </w:r>
      <w:r w:rsidR="008B34DE">
        <w:rPr>
          <w:rFonts w:ascii="Times New Roman" w:hAnsi="Times New Roman" w:cs="Times New Roman"/>
          <w:sz w:val="24"/>
        </w:rPr>
        <w:t xml:space="preserve"> that from MAGMA analysis.</w:t>
      </w:r>
    </w:p>
    <w:p w:rsidR="00D94103" w:rsidRPr="00D94103" w:rsidRDefault="00CF0ADC" w:rsidP="00CD5915">
      <w:pPr>
        <w:spacing w:line="360" w:lineRule="auto"/>
        <w:jc w:val="center"/>
        <w:rPr>
          <w:sz w:val="24"/>
        </w:rPr>
      </w:pPr>
      <w:r w:rsidRPr="00CF0ADC">
        <w:rPr>
          <w:noProof/>
          <w:sz w:val="24"/>
        </w:rPr>
        <w:drawing>
          <wp:inline distT="0" distB="0" distL="0" distR="0" wp14:anchorId="4E82DDD3" wp14:editId="3B21F7E0">
            <wp:extent cx="4157832" cy="1896020"/>
            <wp:effectExtent l="0" t="0" r="0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7832" cy="18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03" w:rsidRDefault="00D94103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D52022" w:rsidRPr="00D94103" w:rsidRDefault="00D52022" w:rsidP="00CD5915">
      <w:pPr>
        <w:spacing w:line="360" w:lineRule="auto"/>
        <w:rPr>
          <w:sz w:val="24"/>
        </w:rPr>
      </w:pPr>
    </w:p>
    <w:p w:rsidR="00D94103" w:rsidRPr="007E1E75" w:rsidRDefault="00EA0F8B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5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Permutation analysis of 100,000 times for results from MAGMA and S-PrediXcan (liver and blood) compared with results from S-MultiXcan across multiple tissues</w:t>
      </w:r>
      <w:r w:rsidR="007E1E75">
        <w:rPr>
          <w:rFonts w:ascii="Times New Roman" w:hAnsi="Times New Roman" w:cs="Times New Roman"/>
          <w:b/>
          <w:sz w:val="24"/>
        </w:rPr>
        <w:t xml:space="preserve">. </w:t>
      </w:r>
      <w:r w:rsidR="007E1E75" w:rsidRPr="007E1E75">
        <w:rPr>
          <w:rFonts w:ascii="Times New Roman" w:hAnsi="Times New Roman" w:cs="Times New Roman"/>
          <w:sz w:val="24"/>
        </w:rPr>
        <w:t>a) for the comparison between MAGMA and S-M</w:t>
      </w:r>
      <w:r w:rsidR="00C23DD3">
        <w:rPr>
          <w:rFonts w:ascii="Times New Roman" w:hAnsi="Times New Roman" w:cs="Times New Roman"/>
          <w:sz w:val="24"/>
        </w:rPr>
        <w:t>ultiXcan (the observed number of overlapped genes is 232, permuted P &lt; 1</w:t>
      </w:r>
      <w:r w:rsidR="00C23DD3" w:rsidRPr="00D75962">
        <w:rPr>
          <w:rFonts w:ascii="Times New Roman" w:hAnsi="Times New Roman" w:cs="Times New Roman"/>
          <w:sz w:val="24"/>
        </w:rPr>
        <w:t>×10</w:t>
      </w:r>
      <w:r w:rsidR="00C23DD3">
        <w:rPr>
          <w:rFonts w:ascii="Times New Roman" w:hAnsi="Times New Roman" w:cs="Times New Roman"/>
          <w:sz w:val="24"/>
          <w:vertAlign w:val="superscript"/>
        </w:rPr>
        <w:t>-5</w:t>
      </w:r>
      <w:r w:rsidR="00C23DD3">
        <w:rPr>
          <w:rFonts w:ascii="Times New Roman" w:hAnsi="Times New Roman" w:cs="Times New Roman"/>
          <w:sz w:val="24"/>
        </w:rPr>
        <w:t>);</w:t>
      </w:r>
      <w:r w:rsidR="007E1E75" w:rsidRPr="007E1E75">
        <w:rPr>
          <w:rFonts w:ascii="Times New Roman" w:hAnsi="Times New Roman" w:cs="Times New Roman"/>
          <w:sz w:val="24"/>
        </w:rPr>
        <w:t xml:space="preserve"> b) for the comparison between S-PrediXcan on liver and S-MultiXcan</w:t>
      </w:r>
      <w:r w:rsidR="00C23DD3">
        <w:rPr>
          <w:rFonts w:ascii="Times New Roman" w:hAnsi="Times New Roman" w:cs="Times New Roman"/>
          <w:sz w:val="24"/>
        </w:rPr>
        <w:t xml:space="preserve"> (the observed number of overlapped genes is 64, permuted P &lt; 1</w:t>
      </w:r>
      <w:r w:rsidR="00C23DD3" w:rsidRPr="00D75962">
        <w:rPr>
          <w:rFonts w:ascii="Times New Roman" w:hAnsi="Times New Roman" w:cs="Times New Roman"/>
          <w:sz w:val="24"/>
        </w:rPr>
        <w:t>×10</w:t>
      </w:r>
      <w:r w:rsidR="00C23DD3">
        <w:rPr>
          <w:rFonts w:ascii="Times New Roman" w:hAnsi="Times New Roman" w:cs="Times New Roman"/>
          <w:sz w:val="24"/>
          <w:vertAlign w:val="superscript"/>
        </w:rPr>
        <w:t>-5</w:t>
      </w:r>
      <w:r w:rsidR="00C23DD3">
        <w:rPr>
          <w:rFonts w:ascii="Times New Roman" w:hAnsi="Times New Roman" w:cs="Times New Roman"/>
          <w:sz w:val="24"/>
        </w:rPr>
        <w:t>)</w:t>
      </w:r>
      <w:r w:rsidR="007E1E75" w:rsidRPr="007E1E75">
        <w:rPr>
          <w:rFonts w:ascii="Times New Roman" w:hAnsi="Times New Roman" w:cs="Times New Roman"/>
          <w:sz w:val="24"/>
        </w:rPr>
        <w:t>, and c) for the comparison between S-PrediXcan on blood and S-MultiXcan</w:t>
      </w:r>
      <w:r w:rsidR="00C23DD3">
        <w:rPr>
          <w:rFonts w:ascii="Times New Roman" w:hAnsi="Times New Roman" w:cs="Times New Roman"/>
          <w:sz w:val="24"/>
        </w:rPr>
        <w:t xml:space="preserve"> (the observed number of overlapped genes is 91, permuted P &lt; 1</w:t>
      </w:r>
      <w:r w:rsidR="00C23DD3" w:rsidRPr="00D75962">
        <w:rPr>
          <w:rFonts w:ascii="Times New Roman" w:hAnsi="Times New Roman" w:cs="Times New Roman"/>
          <w:sz w:val="24"/>
        </w:rPr>
        <w:t>×10</w:t>
      </w:r>
      <w:r w:rsidR="00C23DD3">
        <w:rPr>
          <w:rFonts w:ascii="Times New Roman" w:hAnsi="Times New Roman" w:cs="Times New Roman"/>
          <w:sz w:val="24"/>
          <w:vertAlign w:val="superscript"/>
        </w:rPr>
        <w:t>-5</w:t>
      </w:r>
      <w:r w:rsidR="00C23DD3">
        <w:rPr>
          <w:rFonts w:ascii="Times New Roman" w:hAnsi="Times New Roman" w:cs="Times New Roman"/>
          <w:sz w:val="24"/>
        </w:rPr>
        <w:t>)</w:t>
      </w:r>
      <w:r w:rsidR="007E1E75">
        <w:rPr>
          <w:rFonts w:ascii="Times New Roman" w:hAnsi="Times New Roman" w:cs="Times New Roman"/>
          <w:sz w:val="24"/>
        </w:rPr>
        <w:t xml:space="preserve">. </w:t>
      </w:r>
      <w:r w:rsidR="00C23DD3">
        <w:rPr>
          <w:rFonts w:ascii="Times New Roman" w:hAnsi="Times New Roman" w:cs="Times New Roman"/>
          <w:sz w:val="24"/>
        </w:rPr>
        <w:t>Note: the observed gene</w:t>
      </w:r>
      <w:r w:rsidR="00297173">
        <w:rPr>
          <w:rFonts w:ascii="Times New Roman" w:hAnsi="Times New Roman" w:cs="Times New Roman"/>
          <w:sz w:val="24"/>
        </w:rPr>
        <w:t xml:space="preserve"> </w:t>
      </w:r>
      <w:r w:rsidR="00C23DD3">
        <w:rPr>
          <w:rFonts w:ascii="Times New Roman" w:hAnsi="Times New Roman" w:cs="Times New Roman"/>
          <w:sz w:val="24"/>
        </w:rPr>
        <w:t>from each method w</w:t>
      </w:r>
      <w:r w:rsidR="00297173">
        <w:rPr>
          <w:rFonts w:ascii="Times New Roman" w:hAnsi="Times New Roman" w:cs="Times New Roman"/>
          <w:sz w:val="24"/>
        </w:rPr>
        <w:t>as</w:t>
      </w:r>
      <w:r w:rsidR="00C23DD3">
        <w:rPr>
          <w:rFonts w:ascii="Times New Roman" w:hAnsi="Times New Roman" w:cs="Times New Roman"/>
          <w:sz w:val="24"/>
        </w:rPr>
        <w:t xml:space="preserve"> based on </w:t>
      </w:r>
      <w:r w:rsidR="00297173">
        <w:rPr>
          <w:rFonts w:ascii="Times New Roman" w:hAnsi="Times New Roman" w:cs="Times New Roman"/>
          <w:sz w:val="24"/>
        </w:rPr>
        <w:t xml:space="preserve">the significant threshold at </w:t>
      </w:r>
      <w:r w:rsidR="00C23DD3">
        <w:rPr>
          <w:rFonts w:ascii="Times New Roman" w:hAnsi="Times New Roman" w:cs="Times New Roman"/>
          <w:sz w:val="24"/>
        </w:rPr>
        <w:t xml:space="preserve">FDR </w:t>
      </w:r>
      <w:r w:rsidR="00A87926">
        <w:rPr>
          <w:rFonts w:ascii="Times New Roman" w:hAnsi="Times New Roman" w:cs="Times New Roman"/>
          <w:sz w:val="24"/>
        </w:rPr>
        <w:t>≤</w:t>
      </w:r>
      <w:r w:rsidR="00C23DD3">
        <w:rPr>
          <w:rFonts w:ascii="Times New Roman" w:hAnsi="Times New Roman" w:cs="Times New Roman"/>
          <w:sz w:val="24"/>
        </w:rPr>
        <w:t xml:space="preserve"> 0.05. </w:t>
      </w:r>
    </w:p>
    <w:p w:rsidR="00EA0F8B" w:rsidRDefault="00EA0F8B" w:rsidP="00CD5915">
      <w:pPr>
        <w:spacing w:line="360" w:lineRule="auto"/>
        <w:rPr>
          <w:sz w:val="24"/>
        </w:rPr>
      </w:pPr>
      <w:r w:rsidRPr="00EA0F8B">
        <w:rPr>
          <w:noProof/>
          <w:sz w:val="24"/>
        </w:rPr>
        <w:drawing>
          <wp:inline distT="0" distB="0" distL="0" distR="0" wp14:anchorId="44127F64" wp14:editId="7C96975E">
            <wp:extent cx="6188710" cy="2038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8B" w:rsidRDefault="00EA0F8B" w:rsidP="00CD5915">
      <w:pPr>
        <w:spacing w:line="360" w:lineRule="auto"/>
        <w:rPr>
          <w:sz w:val="24"/>
        </w:rPr>
      </w:pPr>
    </w:p>
    <w:p w:rsidR="00EA0F8B" w:rsidRDefault="00EA0F8B" w:rsidP="00CD5915">
      <w:pPr>
        <w:spacing w:line="360" w:lineRule="auto"/>
        <w:rPr>
          <w:sz w:val="24"/>
        </w:rPr>
      </w:pPr>
    </w:p>
    <w:p w:rsidR="00730E32" w:rsidRDefault="00730E32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1C5535" w:rsidRDefault="001C5535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Pr="001D7654" w:rsidRDefault="00CF414C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6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Differential gene expression analysis of 29 risk genes based on bulk RNA profiles of liver tissue (Dataset of GSE159676). </w:t>
      </w:r>
      <w:r w:rsidRPr="008F1800">
        <w:rPr>
          <w:rFonts w:ascii="Times New Roman" w:hAnsi="Times New Roman" w:cs="Times New Roman"/>
          <w:sz w:val="24"/>
        </w:rPr>
        <w:t>a)-</w:t>
      </w:r>
      <w:r>
        <w:rPr>
          <w:rFonts w:ascii="Times New Roman" w:hAnsi="Times New Roman" w:cs="Times New Roman"/>
          <w:sz w:val="24"/>
        </w:rPr>
        <w:t>e</w:t>
      </w:r>
      <w:r w:rsidRPr="008F1800">
        <w:rPr>
          <w:rFonts w:ascii="Times New Roman" w:hAnsi="Times New Roman" w:cs="Times New Roman"/>
          <w:sz w:val="24"/>
        </w:rPr>
        <w:t>) Violin plot showing the significantly differential expressions of genes in the data</w:t>
      </w:r>
      <w:r>
        <w:rPr>
          <w:rFonts w:ascii="Times New Roman" w:hAnsi="Times New Roman" w:cs="Times New Roman"/>
          <w:sz w:val="24"/>
        </w:rPr>
        <w:t>set of GSE159676</w:t>
      </w:r>
      <w:r w:rsidRPr="008F1800">
        <w:rPr>
          <w:rFonts w:ascii="Times New Roman" w:hAnsi="Times New Roman" w:cs="Times New Roman"/>
          <w:sz w:val="24"/>
        </w:rPr>
        <w:t xml:space="preserve"> between </w:t>
      </w:r>
      <w:r>
        <w:rPr>
          <w:rFonts w:ascii="Times New Roman" w:hAnsi="Times New Roman" w:cs="Times New Roman"/>
          <w:sz w:val="24"/>
        </w:rPr>
        <w:t xml:space="preserve">healthy controls and PBC patients. </w:t>
      </w:r>
    </w:p>
    <w:p w:rsidR="00CF414C" w:rsidRDefault="00CF414C" w:rsidP="00CD5915">
      <w:pPr>
        <w:spacing w:line="360" w:lineRule="auto"/>
        <w:rPr>
          <w:sz w:val="24"/>
        </w:rPr>
      </w:pPr>
      <w:r w:rsidRPr="003F7758">
        <w:rPr>
          <w:noProof/>
          <w:sz w:val="24"/>
        </w:rPr>
        <w:drawing>
          <wp:inline distT="0" distB="0" distL="0" distR="0" wp14:anchorId="24ADE555" wp14:editId="3E43C6E5">
            <wp:extent cx="6188710" cy="4922520"/>
            <wp:effectExtent l="0" t="0" r="2540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Default="00CF414C" w:rsidP="00CD5915">
      <w:pPr>
        <w:spacing w:line="360" w:lineRule="auto"/>
        <w:rPr>
          <w:sz w:val="24"/>
        </w:rPr>
      </w:pPr>
    </w:p>
    <w:p w:rsidR="00CF414C" w:rsidRPr="0094606E" w:rsidRDefault="00CF414C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7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Differential gene expression analysis of 29 risk genes based on bulk RNA profiles of blood tissue (Dataset of GSE119600). </w:t>
      </w:r>
      <w:r w:rsidRPr="008F1800">
        <w:rPr>
          <w:rFonts w:ascii="Times New Roman" w:hAnsi="Times New Roman" w:cs="Times New Roman"/>
          <w:sz w:val="24"/>
        </w:rPr>
        <w:t xml:space="preserve">a)-m) Violin plot showing the significantly differential expressions of genes in the dataset of GSE119600 between </w:t>
      </w:r>
      <w:r>
        <w:rPr>
          <w:rFonts w:ascii="Times New Roman" w:hAnsi="Times New Roman" w:cs="Times New Roman"/>
          <w:sz w:val="24"/>
        </w:rPr>
        <w:t xml:space="preserve">healthy controls and PBC patients. </w:t>
      </w:r>
    </w:p>
    <w:p w:rsidR="00CF414C" w:rsidRDefault="00CF414C" w:rsidP="00CD591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93210F0" wp14:editId="20C0A78C">
            <wp:extent cx="6001173" cy="70104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719" cy="701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4C" w:rsidRDefault="00CF414C" w:rsidP="00CD5915">
      <w:pPr>
        <w:spacing w:line="360" w:lineRule="auto"/>
        <w:rPr>
          <w:sz w:val="24"/>
        </w:rPr>
      </w:pPr>
    </w:p>
    <w:p w:rsidR="00CF414C" w:rsidRPr="00CF414C" w:rsidRDefault="00CF414C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8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Differential gene expression analysis of 29 risk genes based on bulk RNA profiles in CD4+T cells (Dataset of GSE93170). </w:t>
      </w:r>
      <w:r w:rsidRPr="007059B1">
        <w:rPr>
          <w:rFonts w:ascii="Times New Roman" w:hAnsi="Times New Roman" w:cs="Times New Roman"/>
          <w:sz w:val="24"/>
        </w:rPr>
        <w:t>a) Results of co-expression patterns among 29 genes</w:t>
      </w:r>
      <w:r>
        <w:rPr>
          <w:rFonts w:ascii="Times New Roman" w:hAnsi="Times New Roman" w:cs="Times New Roman"/>
          <w:sz w:val="24"/>
        </w:rPr>
        <w:t xml:space="preserve"> in CD4+T cells</w:t>
      </w:r>
      <w:r w:rsidRPr="007059B1">
        <w:rPr>
          <w:rFonts w:ascii="Times New Roman" w:hAnsi="Times New Roman" w:cs="Times New Roman"/>
          <w:sz w:val="24"/>
        </w:rPr>
        <w:t xml:space="preserve"> between control group and PBC group. </w:t>
      </w:r>
      <w:r>
        <w:rPr>
          <w:rFonts w:ascii="Times New Roman" w:hAnsi="Times New Roman" w:cs="Times New Roman"/>
          <w:sz w:val="24"/>
        </w:rPr>
        <w:t xml:space="preserve">b)-i) Boxplot showing the significantly differential expression of genes in CD4+T cells between healthy control and PBC patients. b) CSNK2B, c) DDAH2, d) KPNA4, e) SOCS1, f) TSFM, g)SYNGR1, h) UBE2D3, i) ZCRB1. </w:t>
      </w:r>
    </w:p>
    <w:p w:rsidR="001C5535" w:rsidRDefault="00CF414C" w:rsidP="00CD5915">
      <w:pPr>
        <w:spacing w:line="360" w:lineRule="auto"/>
        <w:rPr>
          <w:sz w:val="24"/>
        </w:rPr>
      </w:pPr>
      <w:r w:rsidRPr="00915DD6">
        <w:rPr>
          <w:noProof/>
          <w:sz w:val="24"/>
        </w:rPr>
        <w:drawing>
          <wp:inline distT="0" distB="0" distL="0" distR="0" wp14:anchorId="6B6AC783" wp14:editId="7A74E958">
            <wp:extent cx="6188710" cy="5948045"/>
            <wp:effectExtent l="0" t="0" r="2540" b="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35" w:rsidRDefault="001C5535" w:rsidP="00CD5915">
      <w:pPr>
        <w:spacing w:line="360" w:lineRule="auto"/>
        <w:rPr>
          <w:sz w:val="24"/>
        </w:rPr>
      </w:pPr>
    </w:p>
    <w:p w:rsidR="00B62CE6" w:rsidRDefault="00B62CE6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CF414C" w:rsidRPr="004C6270" w:rsidRDefault="00CF414C" w:rsidP="00CD5915">
      <w:pPr>
        <w:spacing w:line="360" w:lineRule="auto"/>
        <w:rPr>
          <w:rFonts w:ascii="Times New Roman" w:hAnsi="Times New Roman" w:cs="Times New Roman"/>
          <w:sz w:val="24"/>
        </w:rPr>
      </w:pPr>
    </w:p>
    <w:p w:rsidR="00B62CE6" w:rsidRPr="0085199A" w:rsidRDefault="00B62CE6" w:rsidP="00CD591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Supplemental Figure S</w:t>
      </w:r>
      <w:r w:rsidR="00F7288E">
        <w:rPr>
          <w:rFonts w:ascii="Times New Roman" w:hAnsi="Times New Roman" w:cs="Times New Roman"/>
          <w:b/>
          <w:sz w:val="24"/>
        </w:rPr>
        <w:t>9</w:t>
      </w:r>
      <w:r w:rsidR="00FD0FCF">
        <w:rPr>
          <w:rFonts w:ascii="Times New Roman" w:hAnsi="Times New Roman" w:cs="Times New Roman"/>
          <w:b/>
          <w:sz w:val="24"/>
        </w:rPr>
        <w:t>.</w:t>
      </w:r>
      <w:r w:rsidRPr="00413F9D">
        <w:rPr>
          <w:rFonts w:ascii="Times New Roman" w:hAnsi="Times New Roman" w:cs="Times New Roman"/>
          <w:b/>
          <w:sz w:val="24"/>
        </w:rPr>
        <w:t xml:space="preserve"> Functional characterization of 29 risk associated with PBC</w:t>
      </w:r>
      <w:r>
        <w:rPr>
          <w:rFonts w:ascii="Times New Roman" w:hAnsi="Times New Roman" w:cs="Times New Roman"/>
          <w:sz w:val="24"/>
        </w:rPr>
        <w:t>. a) Schematic diagram showing the literature mining and GWAS catalog searching for novel PBC-risk genes. b) Phenotype-based enrichment analysis based on the GLAD4U database for 29 risk genes.</w:t>
      </w:r>
    </w:p>
    <w:p w:rsidR="00B62CE6" w:rsidRPr="00B62CE6" w:rsidRDefault="00C10AA2" w:rsidP="00CD5915">
      <w:pPr>
        <w:spacing w:line="360" w:lineRule="auto"/>
        <w:rPr>
          <w:sz w:val="24"/>
        </w:rPr>
      </w:pPr>
      <w:r w:rsidRPr="00C10AA2">
        <w:rPr>
          <w:noProof/>
          <w:sz w:val="24"/>
        </w:rPr>
        <w:drawing>
          <wp:inline distT="0" distB="0" distL="0" distR="0" wp14:anchorId="02489D1F" wp14:editId="0F1BCE33">
            <wp:extent cx="6141306" cy="235131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14778" b="54604"/>
                    <a:stretch/>
                  </pic:blipFill>
                  <pic:spPr bwMode="auto">
                    <a:xfrm>
                      <a:off x="0" y="0"/>
                      <a:ext cx="6155348" cy="235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535" w:rsidRDefault="001C5535" w:rsidP="00CD5915">
      <w:pPr>
        <w:spacing w:line="360" w:lineRule="auto"/>
        <w:rPr>
          <w:sz w:val="24"/>
        </w:rPr>
      </w:pPr>
    </w:p>
    <w:p w:rsidR="00B62CE6" w:rsidRDefault="00B62CE6" w:rsidP="00CD5915">
      <w:pPr>
        <w:spacing w:line="360" w:lineRule="auto"/>
        <w:rPr>
          <w:sz w:val="24"/>
        </w:rPr>
      </w:pPr>
    </w:p>
    <w:p w:rsidR="00B62CE6" w:rsidRDefault="00B62CE6" w:rsidP="00CD5915">
      <w:pPr>
        <w:spacing w:line="360" w:lineRule="auto"/>
        <w:rPr>
          <w:sz w:val="24"/>
        </w:rPr>
      </w:pPr>
    </w:p>
    <w:p w:rsidR="00B62CE6" w:rsidRDefault="00B62CE6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066F91" w:rsidRDefault="00066F91" w:rsidP="00CD5915">
      <w:pPr>
        <w:spacing w:line="360" w:lineRule="auto"/>
        <w:rPr>
          <w:sz w:val="24"/>
        </w:rPr>
      </w:pPr>
    </w:p>
    <w:p w:rsidR="00CD5915" w:rsidRDefault="00CD5915" w:rsidP="00CD5915">
      <w:pPr>
        <w:spacing w:line="360" w:lineRule="auto"/>
        <w:rPr>
          <w:sz w:val="24"/>
        </w:rPr>
      </w:pPr>
    </w:p>
    <w:p w:rsidR="00B62CE6" w:rsidRDefault="00B62CE6" w:rsidP="00CD5915">
      <w:pPr>
        <w:spacing w:line="360" w:lineRule="auto"/>
        <w:rPr>
          <w:sz w:val="24"/>
        </w:rPr>
      </w:pPr>
    </w:p>
    <w:p w:rsidR="00FD0FCF" w:rsidRPr="00D94103" w:rsidRDefault="00FD0FCF" w:rsidP="00CD5915">
      <w:pPr>
        <w:spacing w:line="360" w:lineRule="auto"/>
        <w:rPr>
          <w:sz w:val="24"/>
        </w:rPr>
      </w:pPr>
    </w:p>
    <w:p w:rsidR="00D94103" w:rsidRPr="00D94103" w:rsidRDefault="00947A0E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F7288E">
        <w:rPr>
          <w:rFonts w:ascii="Times New Roman" w:hAnsi="Times New Roman" w:cs="Times New Roman"/>
          <w:b/>
          <w:sz w:val="24"/>
        </w:rPr>
        <w:t>10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Functional enrichment analysis of GO-term of biological process for 29 PBC-risk genes</w:t>
      </w:r>
      <w:r w:rsidR="003D340B">
        <w:rPr>
          <w:rFonts w:ascii="Times New Roman" w:hAnsi="Times New Roman" w:cs="Times New Roman"/>
          <w:b/>
          <w:sz w:val="24"/>
        </w:rPr>
        <w:t xml:space="preserve">. </w:t>
      </w:r>
    </w:p>
    <w:p w:rsidR="00D94103" w:rsidRPr="00D94103" w:rsidRDefault="003D340B" w:rsidP="00CD5915">
      <w:pPr>
        <w:spacing w:line="360" w:lineRule="auto"/>
        <w:rPr>
          <w:sz w:val="24"/>
        </w:rPr>
      </w:pPr>
      <w:r w:rsidRPr="003D340B">
        <w:rPr>
          <w:noProof/>
          <w:sz w:val="24"/>
        </w:rPr>
        <w:drawing>
          <wp:inline distT="0" distB="0" distL="0" distR="0" wp14:anchorId="34FD8598" wp14:editId="56F5714C">
            <wp:extent cx="6188710" cy="3980815"/>
            <wp:effectExtent l="0" t="0" r="254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F210FE" w:rsidRDefault="00F210FE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F210FE" w:rsidRDefault="00F210FE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F210FE" w:rsidRDefault="00F210FE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F210FE" w:rsidRDefault="00F210FE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72945" w:rsidRDefault="00D7294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94103" w:rsidRPr="00EA0F8B" w:rsidRDefault="00EA0F8B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CF414C">
        <w:rPr>
          <w:rFonts w:ascii="Times New Roman" w:hAnsi="Times New Roman" w:cs="Times New Roman"/>
          <w:b/>
          <w:sz w:val="24"/>
        </w:rPr>
        <w:t>1</w:t>
      </w:r>
      <w:r w:rsidR="00F7288E">
        <w:rPr>
          <w:rFonts w:ascii="Times New Roman" w:hAnsi="Times New Roman" w:cs="Times New Roman"/>
          <w:b/>
          <w:sz w:val="24"/>
        </w:rPr>
        <w:t>1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Functional enrichment analysis of GO-term of </w:t>
      </w:r>
      <w:r w:rsidR="00D72945">
        <w:rPr>
          <w:rFonts w:ascii="Times New Roman" w:hAnsi="Times New Roman" w:cs="Times New Roman"/>
          <w:b/>
          <w:sz w:val="24"/>
        </w:rPr>
        <w:t>cellular components</w:t>
      </w:r>
      <w:r>
        <w:rPr>
          <w:rFonts w:ascii="Times New Roman" w:hAnsi="Times New Roman" w:cs="Times New Roman"/>
          <w:b/>
          <w:sz w:val="24"/>
        </w:rPr>
        <w:t xml:space="preserve"> for 29 PBC-risk genes. </w:t>
      </w:r>
    </w:p>
    <w:p w:rsidR="00EA0F8B" w:rsidRDefault="00D72945" w:rsidP="00CD5915">
      <w:pPr>
        <w:spacing w:line="360" w:lineRule="auto"/>
        <w:jc w:val="center"/>
        <w:rPr>
          <w:sz w:val="24"/>
        </w:rPr>
      </w:pPr>
      <w:r w:rsidRPr="00D72945">
        <w:rPr>
          <w:noProof/>
          <w:sz w:val="24"/>
        </w:rPr>
        <w:drawing>
          <wp:inline distT="0" distB="0" distL="0" distR="0" wp14:anchorId="0962575A" wp14:editId="1CBDDB5C">
            <wp:extent cx="5450296" cy="6858594"/>
            <wp:effectExtent l="0" t="0" r="0" b="0"/>
            <wp:docPr id="7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0296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8B" w:rsidRDefault="00EA0F8B" w:rsidP="00CD5915">
      <w:pPr>
        <w:spacing w:line="360" w:lineRule="auto"/>
        <w:rPr>
          <w:sz w:val="24"/>
        </w:rPr>
      </w:pPr>
    </w:p>
    <w:p w:rsidR="00D72945" w:rsidRDefault="00D72945" w:rsidP="00CD5915">
      <w:pPr>
        <w:spacing w:line="360" w:lineRule="auto"/>
        <w:rPr>
          <w:sz w:val="24"/>
        </w:rPr>
      </w:pPr>
    </w:p>
    <w:p w:rsidR="00770C2C" w:rsidRDefault="00770C2C" w:rsidP="00CD5915">
      <w:pPr>
        <w:spacing w:line="360" w:lineRule="auto"/>
        <w:rPr>
          <w:sz w:val="24"/>
        </w:rPr>
      </w:pPr>
    </w:p>
    <w:p w:rsidR="00D72945" w:rsidRPr="00EA0F8B" w:rsidRDefault="00D72945" w:rsidP="00CD5915">
      <w:pPr>
        <w:spacing w:line="360" w:lineRule="auto"/>
        <w:rPr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CF414C">
        <w:rPr>
          <w:rFonts w:ascii="Times New Roman" w:hAnsi="Times New Roman" w:cs="Times New Roman"/>
          <w:b/>
          <w:sz w:val="24"/>
        </w:rPr>
        <w:t>1</w:t>
      </w:r>
      <w:r w:rsidR="00F7288E">
        <w:rPr>
          <w:rFonts w:ascii="Times New Roman" w:hAnsi="Times New Roman" w:cs="Times New Roman"/>
          <w:b/>
          <w:sz w:val="24"/>
        </w:rPr>
        <w:t>2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bookmarkStart w:id="0" w:name="OLE_LINK1"/>
      <w:r>
        <w:rPr>
          <w:rFonts w:ascii="Times New Roman" w:hAnsi="Times New Roman" w:cs="Times New Roman"/>
          <w:b/>
          <w:sz w:val="24"/>
        </w:rPr>
        <w:t xml:space="preserve">Functional enrichment analysis of GO-term of </w:t>
      </w:r>
      <w:r w:rsidR="00A74A70">
        <w:rPr>
          <w:rFonts w:ascii="Times New Roman" w:hAnsi="Times New Roman" w:cs="Times New Roman"/>
          <w:b/>
          <w:sz w:val="24"/>
        </w:rPr>
        <w:t>molecular function</w:t>
      </w:r>
      <w:r>
        <w:rPr>
          <w:rFonts w:ascii="Times New Roman" w:hAnsi="Times New Roman" w:cs="Times New Roman"/>
          <w:b/>
          <w:sz w:val="24"/>
        </w:rPr>
        <w:t xml:space="preserve"> for 29 PBC-risk genes. </w:t>
      </w:r>
    </w:p>
    <w:bookmarkEnd w:id="0"/>
    <w:p w:rsidR="00D72945" w:rsidRPr="00A74A70" w:rsidRDefault="00A74A70" w:rsidP="00CD5915">
      <w:pPr>
        <w:spacing w:line="360" w:lineRule="auto"/>
        <w:rPr>
          <w:sz w:val="24"/>
        </w:rPr>
      </w:pPr>
      <w:r w:rsidRPr="00A74A70">
        <w:rPr>
          <w:noProof/>
          <w:sz w:val="24"/>
        </w:rPr>
        <w:drawing>
          <wp:inline distT="0" distB="0" distL="0" distR="0" wp14:anchorId="0F4055DC" wp14:editId="27871814">
            <wp:extent cx="6188710" cy="416814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45" w:rsidRDefault="00D72945" w:rsidP="00CD5915">
      <w:pPr>
        <w:spacing w:line="360" w:lineRule="auto"/>
        <w:rPr>
          <w:sz w:val="24"/>
        </w:rPr>
      </w:pPr>
    </w:p>
    <w:p w:rsidR="00F210FE" w:rsidRDefault="00F210FE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C5535" w:rsidRDefault="001C553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770C2C" w:rsidRDefault="00770C2C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C5688" w:rsidRDefault="00CC5688" w:rsidP="00CD5915">
      <w:pPr>
        <w:spacing w:line="360" w:lineRule="auto"/>
        <w:rPr>
          <w:sz w:val="24"/>
        </w:rPr>
      </w:pPr>
    </w:p>
    <w:p w:rsidR="006D1E71" w:rsidRDefault="006D1E71" w:rsidP="00CD5915">
      <w:pPr>
        <w:spacing w:line="360" w:lineRule="auto"/>
        <w:rPr>
          <w:sz w:val="24"/>
        </w:rPr>
      </w:pPr>
    </w:p>
    <w:p w:rsidR="00CC5688" w:rsidRDefault="00CC5688" w:rsidP="00CD5915">
      <w:pPr>
        <w:spacing w:line="360" w:lineRule="auto"/>
        <w:rPr>
          <w:sz w:val="24"/>
        </w:rPr>
      </w:pPr>
    </w:p>
    <w:p w:rsidR="00431795" w:rsidRPr="00D762CF" w:rsidRDefault="00431795" w:rsidP="00CD5915">
      <w:pPr>
        <w:spacing w:line="360" w:lineRule="auto"/>
        <w:rPr>
          <w:rFonts w:ascii="Times New Roman" w:hAnsi="Times New Roman" w:cs="Times New Roman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4D1FB2">
        <w:rPr>
          <w:rFonts w:ascii="Times New Roman" w:hAnsi="Times New Roman" w:cs="Times New Roman"/>
          <w:b/>
          <w:sz w:val="24"/>
        </w:rPr>
        <w:t>1</w:t>
      </w:r>
      <w:r w:rsidR="00F7288E">
        <w:rPr>
          <w:rFonts w:ascii="Times New Roman" w:hAnsi="Times New Roman" w:cs="Times New Roman"/>
          <w:b/>
          <w:sz w:val="24"/>
        </w:rPr>
        <w:t>3</w:t>
      </w:r>
      <w:r w:rsidRPr="002D340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Gene-drug interaction analysis for these identified PBC-associated risk genes.</w:t>
      </w:r>
      <w:r w:rsidRPr="006C1AEA">
        <w:rPr>
          <w:rFonts w:ascii="Times New Roman" w:hAnsi="Times New Roman" w:cs="Times New Roman"/>
          <w:sz w:val="24"/>
        </w:rPr>
        <w:t xml:space="preserve"> </w:t>
      </w:r>
      <w:r w:rsidR="00066F91">
        <w:rPr>
          <w:rFonts w:ascii="Times New Roman" w:hAnsi="Times New Roman" w:cs="Times New Roman"/>
          <w:sz w:val="24"/>
        </w:rPr>
        <w:t>a) Drug-gene interaction analysis showi</w:t>
      </w:r>
      <w:r w:rsidR="00D762CF">
        <w:rPr>
          <w:rFonts w:ascii="Times New Roman" w:hAnsi="Times New Roman" w:cs="Times New Roman"/>
          <w:sz w:val="24"/>
        </w:rPr>
        <w:t xml:space="preserve">ng 10 druggable gene categories. b) Drug-gene subnetwork. </w:t>
      </w:r>
      <w:r w:rsidR="00D762CF" w:rsidRPr="006C1AEA">
        <w:rPr>
          <w:rFonts w:ascii="Times New Roman" w:hAnsi="Times New Roman" w:cs="Times New Roman"/>
          <w:sz w:val="24"/>
        </w:rPr>
        <w:t>Note: Orange ring represents a specific gene, and blue triangle represents a given drug.</w:t>
      </w:r>
      <w:r w:rsidR="00D762CF">
        <w:rPr>
          <w:rFonts w:ascii="Times New Roman" w:hAnsi="Times New Roman" w:cs="Times New Roman"/>
          <w:sz w:val="24"/>
        </w:rPr>
        <w:t xml:space="preserve"> The drug-gene interactions were plotted on the basis of the DGIdb database (</w:t>
      </w:r>
      <w:hyperlink r:id="rId18" w:history="1">
        <w:r w:rsidR="00D762CF" w:rsidRPr="007F74AE">
          <w:rPr>
            <w:rStyle w:val="a7"/>
            <w:rFonts w:ascii="Times New Roman" w:hAnsi="Times New Roman" w:cs="Times New Roman"/>
            <w:sz w:val="24"/>
          </w:rPr>
          <w:t>https://www.dgidb.org/</w:t>
        </w:r>
      </w:hyperlink>
      <w:r w:rsidR="00D762CF">
        <w:rPr>
          <w:rFonts w:ascii="Times New Roman" w:hAnsi="Times New Roman" w:cs="Times New Roman"/>
          <w:sz w:val="24"/>
        </w:rPr>
        <w:t>).</w:t>
      </w:r>
    </w:p>
    <w:p w:rsidR="00431795" w:rsidRDefault="007C28F7" w:rsidP="00CD59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7C28F7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03B0ED9" wp14:editId="34B56FCD">
            <wp:extent cx="3956957" cy="3997472"/>
            <wp:effectExtent l="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159" cy="40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95" w:rsidRDefault="00431795" w:rsidP="00CD59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431795" w:rsidRDefault="00431795" w:rsidP="00CD5915">
      <w:pPr>
        <w:spacing w:line="360" w:lineRule="auto"/>
        <w:rPr>
          <w:sz w:val="24"/>
        </w:rPr>
      </w:pPr>
    </w:p>
    <w:p w:rsidR="00431795" w:rsidRDefault="00431795" w:rsidP="00CD5915">
      <w:pPr>
        <w:spacing w:line="360" w:lineRule="auto"/>
        <w:rPr>
          <w:sz w:val="24"/>
        </w:rPr>
      </w:pPr>
    </w:p>
    <w:p w:rsidR="00431795" w:rsidRDefault="00431795" w:rsidP="00CD5915">
      <w:pPr>
        <w:spacing w:line="360" w:lineRule="auto"/>
        <w:rPr>
          <w:sz w:val="24"/>
        </w:rPr>
      </w:pPr>
    </w:p>
    <w:p w:rsidR="00431795" w:rsidRDefault="00431795" w:rsidP="00CD5915">
      <w:pPr>
        <w:spacing w:line="360" w:lineRule="auto"/>
        <w:rPr>
          <w:sz w:val="24"/>
        </w:rPr>
      </w:pPr>
    </w:p>
    <w:p w:rsidR="007F48C0" w:rsidRDefault="007F48C0" w:rsidP="00CD5915">
      <w:pPr>
        <w:spacing w:line="360" w:lineRule="auto"/>
        <w:rPr>
          <w:sz w:val="24"/>
        </w:rPr>
      </w:pPr>
    </w:p>
    <w:p w:rsidR="00E7593F" w:rsidRDefault="00E7593F" w:rsidP="00CD5915">
      <w:pPr>
        <w:spacing w:line="360" w:lineRule="auto"/>
        <w:rPr>
          <w:sz w:val="24"/>
        </w:rPr>
      </w:pPr>
    </w:p>
    <w:p w:rsidR="00FC092C" w:rsidRDefault="00FC092C" w:rsidP="00CD5915">
      <w:pPr>
        <w:spacing w:line="360" w:lineRule="auto"/>
        <w:rPr>
          <w:sz w:val="24"/>
        </w:rPr>
      </w:pPr>
    </w:p>
    <w:p w:rsidR="00CD5915" w:rsidRDefault="00CD5915" w:rsidP="00CD5915">
      <w:pPr>
        <w:spacing w:line="360" w:lineRule="auto"/>
        <w:rPr>
          <w:sz w:val="24"/>
        </w:rPr>
      </w:pPr>
    </w:p>
    <w:p w:rsidR="004F5C01" w:rsidRDefault="00FC092C" w:rsidP="00CD5915">
      <w:pPr>
        <w:spacing w:line="360" w:lineRule="auto"/>
        <w:rPr>
          <w:sz w:val="24"/>
        </w:rPr>
      </w:pPr>
      <w:r w:rsidRPr="009F5F5A">
        <w:rPr>
          <w:rFonts w:ascii="Times New Roman" w:hAnsi="Times New Roman" w:cs="Times New Roman"/>
          <w:b/>
          <w:sz w:val="24"/>
        </w:rPr>
        <w:t>Supplemental Figure S1</w:t>
      </w:r>
      <w:r>
        <w:rPr>
          <w:rFonts w:ascii="Times New Roman" w:hAnsi="Times New Roman" w:cs="Times New Roman"/>
          <w:b/>
          <w:sz w:val="24"/>
        </w:rPr>
        <w:t>4</w:t>
      </w:r>
      <w:r w:rsidRPr="009F5F5A">
        <w:rPr>
          <w:rFonts w:ascii="Times New Roman" w:hAnsi="Times New Roman" w:cs="Times New Roman"/>
          <w:b/>
          <w:sz w:val="24"/>
        </w:rPr>
        <w:t>.</w:t>
      </w:r>
      <w:r w:rsidRPr="009F5F5A">
        <w:rPr>
          <w:rFonts w:ascii="Times New Roman" w:hAnsi="Times New Roman" w:cs="Times New Roman"/>
          <w:sz w:val="24"/>
        </w:rPr>
        <w:t xml:space="preserve"> </w:t>
      </w:r>
      <w:r w:rsidRPr="009F5F5A">
        <w:rPr>
          <w:rFonts w:ascii="Times New Roman" w:hAnsi="Times New Roman" w:cs="Times New Roman"/>
          <w:b/>
          <w:sz w:val="24"/>
        </w:rPr>
        <w:t>Box plots showing the effects of different genotypes (CC, CT, and TT) of rs9303277 on the expression of</w:t>
      </w:r>
      <w:r w:rsidRPr="009F5F5A">
        <w:rPr>
          <w:rFonts w:ascii="Times New Roman" w:hAnsi="Times New Roman" w:cs="Times New Roman"/>
          <w:b/>
          <w:i/>
          <w:sz w:val="24"/>
        </w:rPr>
        <w:t xml:space="preserve"> ORMDL3 </w:t>
      </w:r>
      <w:r w:rsidRPr="009F5F5A">
        <w:rPr>
          <w:rFonts w:ascii="Times New Roman" w:hAnsi="Times New Roman" w:cs="Times New Roman"/>
          <w:b/>
          <w:sz w:val="24"/>
        </w:rPr>
        <w:t xml:space="preserve">among different immune cell types. </w:t>
      </w:r>
      <w:r w:rsidRPr="009F5F5A">
        <w:rPr>
          <w:rFonts w:ascii="Times New Roman" w:hAnsi="Times New Roman" w:cs="Times New Roman"/>
          <w:sz w:val="24"/>
        </w:rPr>
        <w:t xml:space="preserve">This dataset was based on </w:t>
      </w:r>
      <w:r>
        <w:rPr>
          <w:rFonts w:ascii="Times New Roman" w:hAnsi="Times New Roman" w:cs="Times New Roman"/>
          <w:sz w:val="24"/>
        </w:rPr>
        <w:t xml:space="preserve">the Database of Immune Cell Expression quantitative trait loci and Epigenomics (DICE, </w:t>
      </w:r>
      <w:hyperlink r:id="rId20" w:history="1">
        <w:r w:rsidRPr="00B82912">
          <w:rPr>
            <w:rStyle w:val="a7"/>
            <w:rFonts w:ascii="Times New Roman" w:hAnsi="Times New Roman" w:cs="Times New Roman"/>
            <w:sz w:val="24"/>
          </w:rPr>
          <w:t>https://dice-database.org/landing</w:t>
        </w:r>
      </w:hyperlink>
      <w:r>
        <w:rPr>
          <w:rFonts w:ascii="Times New Roman" w:hAnsi="Times New Roman" w:cs="Times New Roman"/>
          <w:sz w:val="24"/>
        </w:rPr>
        <w:t>)</w:t>
      </w:r>
    </w:p>
    <w:p w:rsidR="004F5C01" w:rsidRDefault="00FC092C" w:rsidP="00CD5915">
      <w:pPr>
        <w:spacing w:line="360" w:lineRule="auto"/>
        <w:jc w:val="center"/>
        <w:rPr>
          <w:sz w:val="24"/>
        </w:rPr>
      </w:pPr>
      <w:r w:rsidRPr="00665EB1">
        <w:rPr>
          <w:noProof/>
          <w:sz w:val="24"/>
        </w:rPr>
        <w:drawing>
          <wp:inline distT="0" distB="0" distL="0" distR="0" wp14:anchorId="54168E72" wp14:editId="00638389">
            <wp:extent cx="5543170" cy="5648960"/>
            <wp:effectExtent l="0" t="0" r="635" b="889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560" cy="56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01" w:rsidRDefault="004F5C01" w:rsidP="00CD5915">
      <w:pPr>
        <w:spacing w:line="360" w:lineRule="auto"/>
        <w:jc w:val="center"/>
        <w:rPr>
          <w:sz w:val="24"/>
        </w:rPr>
      </w:pPr>
    </w:p>
    <w:p w:rsidR="004F5C01" w:rsidRDefault="004F5C01" w:rsidP="00CD5915">
      <w:pPr>
        <w:spacing w:line="360" w:lineRule="auto"/>
        <w:jc w:val="center"/>
        <w:rPr>
          <w:sz w:val="24"/>
        </w:rPr>
      </w:pPr>
    </w:p>
    <w:p w:rsidR="004F5C01" w:rsidRDefault="004F5C01" w:rsidP="00CD5915">
      <w:pPr>
        <w:spacing w:line="360" w:lineRule="auto"/>
        <w:jc w:val="center"/>
        <w:rPr>
          <w:sz w:val="24"/>
        </w:rPr>
      </w:pPr>
    </w:p>
    <w:p w:rsidR="00006337" w:rsidRDefault="00006337" w:rsidP="00CD5915">
      <w:pPr>
        <w:spacing w:line="360" w:lineRule="auto"/>
        <w:jc w:val="left"/>
        <w:rPr>
          <w:sz w:val="24"/>
        </w:rPr>
      </w:pPr>
    </w:p>
    <w:p w:rsidR="0069391B" w:rsidRDefault="0069391B" w:rsidP="00CD5915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</w:p>
    <w:p w:rsidR="00BA1C4A" w:rsidRPr="007C700E" w:rsidRDefault="0069391B" w:rsidP="00CD5915">
      <w:pPr>
        <w:spacing w:line="360" w:lineRule="auto"/>
        <w:rPr>
          <w:rFonts w:ascii="Times New Roman" w:hAnsi="Times New Roman" w:cs="Times New Roman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S15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7C700E">
        <w:rPr>
          <w:rFonts w:ascii="Times New Roman" w:hAnsi="Times New Roman" w:cs="Times New Roman"/>
          <w:b/>
          <w:sz w:val="24"/>
        </w:rPr>
        <w:t xml:space="preserve"> Functional enrichment analysis of differential expressed genes between </w:t>
      </w:r>
      <w:r w:rsidR="007C700E" w:rsidRPr="00D451FA">
        <w:rPr>
          <w:rFonts w:ascii="Times New Roman" w:hAnsi="Times New Roman" w:cs="Times New Roman"/>
          <w:b/>
          <w:i/>
          <w:sz w:val="24"/>
        </w:rPr>
        <w:t>ORMDL3</w:t>
      </w:r>
      <w:r w:rsidR="007C700E" w:rsidRPr="00D451FA">
        <w:rPr>
          <w:rFonts w:ascii="Times New Roman" w:hAnsi="Times New Roman" w:cs="Times New Roman"/>
          <w:b/>
          <w:sz w:val="24"/>
          <w:vertAlign w:val="superscript"/>
        </w:rPr>
        <w:t>+</w:t>
      </w:r>
      <w:r w:rsidR="007C700E" w:rsidRPr="00D451FA">
        <w:rPr>
          <w:rFonts w:ascii="Times New Roman" w:hAnsi="Times New Roman" w:cs="Times New Roman"/>
          <w:b/>
          <w:sz w:val="24"/>
        </w:rPr>
        <w:t xml:space="preserve"> and </w:t>
      </w:r>
      <w:r w:rsidR="007C700E" w:rsidRPr="00D451FA">
        <w:rPr>
          <w:rFonts w:ascii="Times New Roman" w:hAnsi="Times New Roman" w:cs="Times New Roman"/>
          <w:b/>
          <w:i/>
          <w:sz w:val="24"/>
        </w:rPr>
        <w:t>ORMDL3</w:t>
      </w:r>
      <w:r w:rsidR="007C700E" w:rsidRPr="00D451FA">
        <w:rPr>
          <w:rFonts w:ascii="Times New Roman" w:hAnsi="Times New Roman" w:cs="Times New Roman"/>
          <w:b/>
          <w:sz w:val="24"/>
          <w:vertAlign w:val="superscript"/>
        </w:rPr>
        <w:t>-</w:t>
      </w:r>
      <w:r w:rsidR="007C700E" w:rsidRPr="00D451FA">
        <w:rPr>
          <w:rFonts w:ascii="Times New Roman" w:hAnsi="Times New Roman" w:cs="Times New Roman"/>
          <w:b/>
          <w:sz w:val="24"/>
        </w:rPr>
        <w:t xml:space="preserve"> cholangiocytes.</w:t>
      </w:r>
      <w:r w:rsidR="007C700E" w:rsidRPr="00D451FA">
        <w:rPr>
          <w:rFonts w:ascii="Times New Roman" w:hAnsi="Times New Roman" w:cs="Times New Roman"/>
          <w:sz w:val="24"/>
        </w:rPr>
        <w:t xml:space="preserve"> </w:t>
      </w:r>
      <w:r w:rsidR="007C700E">
        <w:rPr>
          <w:rFonts w:ascii="Times New Roman" w:hAnsi="Times New Roman" w:cs="Times New Roman"/>
          <w:sz w:val="24"/>
        </w:rPr>
        <w:t xml:space="preserve">(a) </w:t>
      </w:r>
      <w:r w:rsidR="007C700E" w:rsidRPr="00D451FA">
        <w:rPr>
          <w:rFonts w:ascii="Times New Roman" w:hAnsi="Times New Roman" w:cs="Times New Roman"/>
          <w:sz w:val="24"/>
        </w:rPr>
        <w:t xml:space="preserve">6 up-regulated DEGs based on the KEGG pathway resource. </w:t>
      </w:r>
      <w:r w:rsidR="007C700E">
        <w:rPr>
          <w:rFonts w:ascii="Times New Roman" w:hAnsi="Times New Roman" w:cs="Times New Roman"/>
          <w:sz w:val="24"/>
        </w:rPr>
        <w:t>b</w:t>
      </w:r>
      <w:r w:rsidR="007C700E" w:rsidRPr="00D451FA">
        <w:rPr>
          <w:rFonts w:ascii="Times New Roman" w:hAnsi="Times New Roman" w:cs="Times New Roman"/>
          <w:sz w:val="24"/>
        </w:rPr>
        <w:t>)-</w:t>
      </w:r>
      <w:r w:rsidR="007C700E">
        <w:rPr>
          <w:rFonts w:ascii="Times New Roman" w:hAnsi="Times New Roman" w:cs="Times New Roman"/>
          <w:sz w:val="24"/>
        </w:rPr>
        <w:t>d</w:t>
      </w:r>
      <w:r w:rsidR="007C700E" w:rsidRPr="00D451FA">
        <w:rPr>
          <w:rFonts w:ascii="Times New Roman" w:hAnsi="Times New Roman" w:cs="Times New Roman"/>
          <w:sz w:val="24"/>
        </w:rPr>
        <w:t>) GO enrichment analyses of 71 down-regulated DEGs according to three categories: (</w:t>
      </w:r>
      <w:r w:rsidR="007C700E">
        <w:rPr>
          <w:rFonts w:ascii="Times New Roman" w:hAnsi="Times New Roman" w:cs="Times New Roman"/>
          <w:sz w:val="24"/>
        </w:rPr>
        <w:t>b</w:t>
      </w:r>
      <w:r w:rsidR="007C700E" w:rsidRPr="00D451FA">
        <w:rPr>
          <w:rFonts w:ascii="Times New Roman" w:hAnsi="Times New Roman" w:cs="Times New Roman"/>
          <w:sz w:val="24"/>
        </w:rPr>
        <w:t>) biological process, (</w:t>
      </w:r>
      <w:r w:rsidR="007C700E">
        <w:rPr>
          <w:rFonts w:ascii="Times New Roman" w:hAnsi="Times New Roman" w:cs="Times New Roman"/>
          <w:sz w:val="24"/>
        </w:rPr>
        <w:t>c</w:t>
      </w:r>
      <w:r w:rsidR="007C700E" w:rsidRPr="00D451FA">
        <w:rPr>
          <w:rFonts w:ascii="Times New Roman" w:hAnsi="Times New Roman" w:cs="Times New Roman"/>
          <w:sz w:val="24"/>
        </w:rPr>
        <w:t>) cellular component, and (</w:t>
      </w:r>
      <w:r w:rsidR="007C700E">
        <w:rPr>
          <w:rFonts w:ascii="Times New Roman" w:hAnsi="Times New Roman" w:cs="Times New Roman"/>
          <w:sz w:val="24"/>
        </w:rPr>
        <w:t>d</w:t>
      </w:r>
      <w:r w:rsidR="007C700E" w:rsidRPr="00D451FA">
        <w:rPr>
          <w:rFonts w:ascii="Times New Roman" w:hAnsi="Times New Roman" w:cs="Times New Roman"/>
          <w:sz w:val="24"/>
        </w:rPr>
        <w:t xml:space="preserve">) molecular function. </w:t>
      </w:r>
      <w:r w:rsidR="007C700E">
        <w:rPr>
          <w:rFonts w:ascii="Times New Roman" w:hAnsi="Times New Roman" w:cs="Times New Roman"/>
          <w:sz w:val="24"/>
        </w:rPr>
        <w:t>FDR &lt; 0.05 represents a significantly enriched pathway or GO-term.</w:t>
      </w:r>
    </w:p>
    <w:p w:rsidR="00BA1C4A" w:rsidRDefault="00BA1C4A" w:rsidP="00CD5915">
      <w:pPr>
        <w:spacing w:line="360" w:lineRule="auto"/>
        <w:jc w:val="center"/>
        <w:rPr>
          <w:sz w:val="24"/>
        </w:rPr>
      </w:pPr>
      <w:r w:rsidRPr="00BA1C4A">
        <w:rPr>
          <w:noProof/>
          <w:sz w:val="24"/>
        </w:rPr>
        <w:drawing>
          <wp:inline distT="0" distB="0" distL="0" distR="0" wp14:anchorId="4400D2D6" wp14:editId="516A594B">
            <wp:extent cx="5124768" cy="412568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8389" cy="41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01" w:rsidRDefault="004F5C01" w:rsidP="00CD5915">
      <w:pPr>
        <w:spacing w:line="360" w:lineRule="auto"/>
        <w:rPr>
          <w:sz w:val="24"/>
        </w:rPr>
      </w:pPr>
    </w:p>
    <w:p w:rsidR="004F5C01" w:rsidRDefault="004F5C01" w:rsidP="00CD5915">
      <w:pPr>
        <w:spacing w:line="360" w:lineRule="auto"/>
        <w:rPr>
          <w:sz w:val="24"/>
        </w:rPr>
      </w:pPr>
    </w:p>
    <w:p w:rsidR="00CB0D64" w:rsidRDefault="00CB0D64" w:rsidP="00CD5915">
      <w:pPr>
        <w:spacing w:line="360" w:lineRule="auto"/>
        <w:rPr>
          <w:sz w:val="24"/>
        </w:rPr>
      </w:pPr>
    </w:p>
    <w:p w:rsidR="00CB0D64" w:rsidRDefault="00CB0D64" w:rsidP="00CD5915">
      <w:pPr>
        <w:spacing w:line="360" w:lineRule="auto"/>
        <w:rPr>
          <w:sz w:val="24"/>
        </w:rPr>
      </w:pPr>
    </w:p>
    <w:p w:rsidR="00CB0D64" w:rsidRDefault="00CB0D64" w:rsidP="00CD5915">
      <w:pPr>
        <w:spacing w:line="360" w:lineRule="auto"/>
        <w:rPr>
          <w:sz w:val="24"/>
        </w:rPr>
      </w:pPr>
    </w:p>
    <w:p w:rsidR="00CB0D64" w:rsidRDefault="00CB0D64" w:rsidP="00CD5915">
      <w:pPr>
        <w:spacing w:line="360" w:lineRule="auto"/>
        <w:rPr>
          <w:sz w:val="24"/>
        </w:rPr>
      </w:pPr>
    </w:p>
    <w:p w:rsidR="00CB0D64" w:rsidRDefault="00CB0D64" w:rsidP="00CD5915">
      <w:pPr>
        <w:spacing w:line="360" w:lineRule="auto"/>
        <w:rPr>
          <w:sz w:val="24"/>
        </w:rPr>
      </w:pPr>
    </w:p>
    <w:p w:rsidR="00CD5915" w:rsidRDefault="00CD5915" w:rsidP="00CD5915">
      <w:pPr>
        <w:spacing w:line="360" w:lineRule="auto"/>
        <w:rPr>
          <w:sz w:val="24"/>
        </w:rPr>
      </w:pPr>
    </w:p>
    <w:p w:rsidR="00CB0D64" w:rsidRPr="00C50088" w:rsidRDefault="00CB0D64" w:rsidP="00CD5915">
      <w:pPr>
        <w:pStyle w:val="3"/>
        <w:shd w:val="clear" w:color="auto" w:fill="FFFFFF"/>
        <w:spacing w:before="300" w:beforeAutospacing="0" w:after="150" w:afterAutospacing="0" w:line="360" w:lineRule="auto"/>
        <w:rPr>
          <w:rFonts w:ascii="Times New Roman" w:hAnsi="Times New Roman" w:cs="Times New Roman"/>
          <w:b w:val="0"/>
          <w:sz w:val="24"/>
        </w:rPr>
      </w:pPr>
      <w:r w:rsidRPr="002D3408">
        <w:rPr>
          <w:rFonts w:ascii="Times New Roman" w:hAnsi="Times New Roman" w:cs="Times New Roman"/>
          <w:sz w:val="24"/>
        </w:rPr>
        <w:t xml:space="preserve">Supplemental </w:t>
      </w:r>
      <w:r>
        <w:rPr>
          <w:rFonts w:ascii="Times New Roman" w:hAnsi="Times New Roman" w:cs="Times New Roman"/>
          <w:sz w:val="24"/>
        </w:rPr>
        <w:t>Figure S1</w:t>
      </w:r>
      <w:r>
        <w:rPr>
          <w:rFonts w:ascii="Times New Roman" w:hAnsi="Times New Roman" w:cs="Times New Roman"/>
          <w:b w:val="0"/>
          <w:sz w:val="24"/>
        </w:rPr>
        <w:t>6</w:t>
      </w:r>
      <w:r w:rsidRPr="002D3408">
        <w:rPr>
          <w:rFonts w:ascii="Times New Roman" w:hAnsi="Times New Roman" w:cs="Times New Roman"/>
          <w:sz w:val="24"/>
        </w:rPr>
        <w:t>.</w:t>
      </w:r>
      <w:r w:rsidR="00C50088">
        <w:rPr>
          <w:rFonts w:ascii="Times New Roman" w:hAnsi="Times New Roman" w:cs="Times New Roman"/>
          <w:b w:val="0"/>
          <w:sz w:val="24"/>
        </w:rPr>
        <w:t xml:space="preserve"> </w:t>
      </w:r>
      <w:r w:rsidR="00C50088" w:rsidRPr="00C50088">
        <w:rPr>
          <w:rFonts w:ascii="Times New Roman" w:hAnsi="Times New Roman" w:cs="Times New Roman"/>
          <w:sz w:val="24"/>
        </w:rPr>
        <w:t xml:space="preserve">Identify signals contributing most to outgoing </w:t>
      </w:r>
      <w:r w:rsidR="00C50088">
        <w:rPr>
          <w:rFonts w:ascii="Times New Roman" w:hAnsi="Times New Roman" w:cs="Times New Roman"/>
          <w:sz w:val="24"/>
        </w:rPr>
        <w:t xml:space="preserve">(sources) </w:t>
      </w:r>
      <w:r w:rsidR="00C50088" w:rsidRPr="00C50088">
        <w:rPr>
          <w:rFonts w:ascii="Times New Roman" w:hAnsi="Times New Roman" w:cs="Times New Roman"/>
          <w:sz w:val="24"/>
        </w:rPr>
        <w:t xml:space="preserve">or incoming </w:t>
      </w:r>
      <w:r w:rsidR="00C50088">
        <w:rPr>
          <w:rFonts w:ascii="Times New Roman" w:hAnsi="Times New Roman" w:cs="Times New Roman"/>
          <w:sz w:val="24"/>
        </w:rPr>
        <w:t xml:space="preserve">(targets) </w:t>
      </w:r>
      <w:r w:rsidR="00C50088" w:rsidRPr="00C50088">
        <w:rPr>
          <w:rFonts w:ascii="Times New Roman" w:hAnsi="Times New Roman" w:cs="Times New Roman"/>
          <w:sz w:val="24"/>
        </w:rPr>
        <w:t xml:space="preserve">signaling of </w:t>
      </w:r>
      <w:r w:rsidR="003D7347">
        <w:rPr>
          <w:rFonts w:ascii="Times New Roman" w:hAnsi="Times New Roman" w:cs="Times New Roman"/>
          <w:sz w:val="24"/>
        </w:rPr>
        <w:t xml:space="preserve">cell populations in liver tissues (GSE115469). </w:t>
      </w:r>
      <w:r w:rsidR="00375DA5" w:rsidRPr="00375DA5">
        <w:rPr>
          <w:rFonts w:ascii="Times New Roman" w:hAnsi="Times New Roman" w:cs="Times New Roman"/>
          <w:b w:val="0"/>
          <w:sz w:val="24"/>
        </w:rPr>
        <w:t>(</w:t>
      </w:r>
      <w:r w:rsidR="00375DA5" w:rsidRPr="00375DA5">
        <w:rPr>
          <w:rFonts w:ascii="Times New Roman" w:hAnsi="Times New Roman" w:cs="Times New Roman" w:hint="eastAsia"/>
          <w:b w:val="0"/>
          <w:sz w:val="24"/>
        </w:rPr>
        <w:t>a</w:t>
      </w:r>
      <w:r w:rsidR="00375DA5" w:rsidRPr="00375DA5">
        <w:rPr>
          <w:rFonts w:ascii="Times New Roman" w:hAnsi="Times New Roman" w:cs="Times New Roman"/>
          <w:b w:val="0"/>
          <w:sz w:val="24"/>
        </w:rPr>
        <w:t>) Outgoing signaling patterns</w:t>
      </w:r>
      <w:r w:rsidR="009B5E8C">
        <w:rPr>
          <w:rFonts w:ascii="Times New Roman" w:hAnsi="Times New Roman" w:cs="Times New Roman"/>
          <w:b w:val="0"/>
          <w:sz w:val="24"/>
        </w:rPr>
        <w:t xml:space="preserve"> among 13 cell types</w:t>
      </w:r>
      <w:r w:rsidR="00375DA5" w:rsidRPr="00375DA5">
        <w:rPr>
          <w:rFonts w:ascii="Times New Roman" w:hAnsi="Times New Roman" w:cs="Times New Roman"/>
          <w:b w:val="0"/>
          <w:sz w:val="24"/>
        </w:rPr>
        <w:t>, (b) Incoming signaling patterns</w:t>
      </w:r>
      <w:r w:rsidR="009B5E8C">
        <w:rPr>
          <w:rFonts w:ascii="Times New Roman" w:hAnsi="Times New Roman" w:cs="Times New Roman"/>
          <w:b w:val="0"/>
          <w:sz w:val="24"/>
        </w:rPr>
        <w:t xml:space="preserve"> among cell types</w:t>
      </w:r>
      <w:r w:rsidR="00375DA5" w:rsidRPr="00375DA5">
        <w:rPr>
          <w:rFonts w:ascii="Times New Roman" w:hAnsi="Times New Roman" w:cs="Times New Roman"/>
          <w:b w:val="0"/>
          <w:sz w:val="24"/>
        </w:rPr>
        <w:t>.</w:t>
      </w:r>
      <w:r w:rsidR="009B5E8C">
        <w:rPr>
          <w:rFonts w:ascii="Times New Roman" w:hAnsi="Times New Roman" w:cs="Times New Roman"/>
          <w:b w:val="0"/>
          <w:sz w:val="24"/>
        </w:rPr>
        <w:t xml:space="preserve"> The color of heatmap represents the relative strength of cellular interactions. </w:t>
      </w:r>
    </w:p>
    <w:p w:rsidR="00CB0D64" w:rsidRDefault="0053763C" w:rsidP="00CD591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3763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8199536" wp14:editId="4E5888F9">
            <wp:extent cx="4602214" cy="2699657"/>
            <wp:effectExtent l="0" t="0" r="825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6730" cy="27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D5915" w:rsidRDefault="00CD5915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70F1A" w:rsidRPr="005D1EE1" w:rsidRDefault="00A70F1A" w:rsidP="00CD5915">
      <w:pPr>
        <w:spacing w:line="360" w:lineRule="auto"/>
        <w:rPr>
          <w:rFonts w:ascii="Times New Roman" w:hAnsi="Times New Roman" w:cs="Times New Roman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S17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5D1EE1">
        <w:rPr>
          <w:rFonts w:ascii="Times New Roman" w:hAnsi="Times New Roman" w:cs="Times New Roman"/>
          <w:b/>
          <w:sz w:val="24"/>
        </w:rPr>
        <w:t xml:space="preserve"> The aggregated cell-to-cell communication network among </w:t>
      </w:r>
      <w:r w:rsidR="005D1EE1" w:rsidRPr="005D1EE1">
        <w:rPr>
          <w:rFonts w:ascii="Times New Roman" w:hAnsi="Times New Roman" w:cs="Times New Roman"/>
          <w:b/>
          <w:sz w:val="24"/>
        </w:rPr>
        <w:t>cell populations in liver tissues (GSE115469).</w:t>
      </w:r>
      <w:r w:rsidR="005D1EE1">
        <w:rPr>
          <w:rFonts w:ascii="Times New Roman" w:hAnsi="Times New Roman" w:cs="Times New Roman"/>
          <w:sz w:val="24"/>
        </w:rPr>
        <w:t xml:space="preserve"> The width represents the number of cellular interactions. </w:t>
      </w:r>
    </w:p>
    <w:p w:rsidR="00A70F1A" w:rsidRDefault="00A70F1A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CB0D64" w:rsidRDefault="00A70F1A" w:rsidP="00CD5915">
      <w:pPr>
        <w:spacing w:line="360" w:lineRule="auto"/>
        <w:rPr>
          <w:sz w:val="24"/>
        </w:rPr>
      </w:pPr>
      <w:r w:rsidRPr="00A70F1A">
        <w:rPr>
          <w:noProof/>
          <w:sz w:val="24"/>
        </w:rPr>
        <w:drawing>
          <wp:inline distT="0" distB="0" distL="0" distR="0" wp14:anchorId="71E6E912" wp14:editId="1A6822A9">
            <wp:extent cx="6188710" cy="4249602"/>
            <wp:effectExtent l="0" t="0" r="254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9294"/>
                    <a:stretch/>
                  </pic:blipFill>
                  <pic:spPr bwMode="auto">
                    <a:xfrm>
                      <a:off x="0" y="0"/>
                      <a:ext cx="6188710" cy="424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66B" w:rsidRDefault="008C166B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5D1EE1" w:rsidRDefault="005D1EE1" w:rsidP="00CD5915">
      <w:pPr>
        <w:spacing w:line="360" w:lineRule="auto"/>
        <w:rPr>
          <w:sz w:val="24"/>
        </w:rPr>
      </w:pPr>
    </w:p>
    <w:p w:rsidR="008C166B" w:rsidRDefault="008C166B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S1</w:t>
      </w:r>
      <w:r w:rsidR="00A70F1A">
        <w:rPr>
          <w:rFonts w:ascii="Times New Roman" w:hAnsi="Times New Roman" w:cs="Times New Roman"/>
          <w:b/>
          <w:sz w:val="24"/>
        </w:rPr>
        <w:t>8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5C6645">
        <w:rPr>
          <w:rFonts w:ascii="Times New Roman" w:hAnsi="Times New Roman" w:cs="Times New Roman"/>
          <w:b/>
          <w:sz w:val="24"/>
        </w:rPr>
        <w:t xml:space="preserve"> The </w:t>
      </w:r>
      <w:r w:rsidR="005C6645">
        <w:rPr>
          <w:rFonts w:ascii="Times New Roman" w:hAnsi="Times New Roman" w:cs="Times New Roman" w:hint="eastAsia"/>
          <w:b/>
          <w:sz w:val="24"/>
        </w:rPr>
        <w:t>cel</w:t>
      </w:r>
      <w:r w:rsidR="005C6645">
        <w:rPr>
          <w:rFonts w:ascii="Times New Roman" w:hAnsi="Times New Roman" w:cs="Times New Roman"/>
          <w:b/>
          <w:sz w:val="24"/>
        </w:rPr>
        <w:t xml:space="preserve">lular communications of </w:t>
      </w:r>
      <w:r w:rsidR="005C6645" w:rsidRPr="005C6645">
        <w:rPr>
          <w:rFonts w:ascii="Times New Roman" w:hAnsi="Times New Roman" w:cs="Times New Roman"/>
          <w:b/>
          <w:i/>
          <w:sz w:val="24"/>
        </w:rPr>
        <w:t>ORMDL3</w:t>
      </w:r>
      <w:r w:rsidR="005C6645" w:rsidRPr="005C6645">
        <w:rPr>
          <w:rFonts w:ascii="Times New Roman" w:hAnsi="Times New Roman" w:cs="Times New Roman"/>
          <w:b/>
          <w:i/>
          <w:sz w:val="28"/>
          <w:vertAlign w:val="superscript"/>
        </w:rPr>
        <w:t>-</w:t>
      </w:r>
      <w:r w:rsidR="005C6645" w:rsidRPr="005C6645"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 w:rsidR="005C6645">
        <w:rPr>
          <w:rFonts w:ascii="Times New Roman" w:hAnsi="Times New Roman" w:cs="Times New Roman"/>
          <w:b/>
          <w:sz w:val="24"/>
        </w:rPr>
        <w:t>Cholangiocyte with other cell populations</w:t>
      </w:r>
      <w:r w:rsidR="00D77A86" w:rsidRPr="005D1EE1">
        <w:rPr>
          <w:rFonts w:ascii="Times New Roman" w:hAnsi="Times New Roman" w:cs="Times New Roman"/>
          <w:b/>
          <w:sz w:val="24"/>
        </w:rPr>
        <w:t xml:space="preserve"> in liver tissues (GSE115469).</w:t>
      </w:r>
      <w:r w:rsidR="005C6645">
        <w:rPr>
          <w:rFonts w:ascii="Times New Roman" w:hAnsi="Times New Roman" w:cs="Times New Roman"/>
          <w:b/>
          <w:sz w:val="24"/>
        </w:rPr>
        <w:t xml:space="preserve"> </w:t>
      </w:r>
      <w:r w:rsidR="005C6645">
        <w:rPr>
          <w:rFonts w:ascii="Times New Roman" w:hAnsi="Times New Roman" w:cs="Times New Roman"/>
          <w:sz w:val="24"/>
        </w:rPr>
        <w:t xml:space="preserve">The width represents the number of cellular </w:t>
      </w:r>
      <w:r w:rsidR="00894843">
        <w:rPr>
          <w:rFonts w:ascii="Times New Roman" w:hAnsi="Times New Roman" w:cs="Times New Roman"/>
          <w:sz w:val="24"/>
        </w:rPr>
        <w:t>interactions, and color represents each cell type.</w:t>
      </w:r>
    </w:p>
    <w:p w:rsidR="008C166B" w:rsidRDefault="004259C2" w:rsidP="00CD591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4F830C6">
            <wp:extent cx="4298315" cy="3121660"/>
            <wp:effectExtent l="0" t="0" r="698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9C2" w:rsidRDefault="004259C2" w:rsidP="00CD5915">
      <w:pPr>
        <w:spacing w:line="360" w:lineRule="auto"/>
        <w:jc w:val="center"/>
        <w:rPr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3351F2" w:rsidRDefault="003351F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4259C2" w:rsidRPr="00B407AB" w:rsidRDefault="004259C2" w:rsidP="008D49F8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S1</w:t>
      </w:r>
      <w:r w:rsidR="00A70F1A">
        <w:rPr>
          <w:rFonts w:ascii="Times New Roman" w:hAnsi="Times New Roman" w:cs="Times New Roman"/>
          <w:b/>
          <w:sz w:val="24"/>
        </w:rPr>
        <w:t>9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3351F2">
        <w:rPr>
          <w:rFonts w:ascii="Times New Roman" w:hAnsi="Times New Roman" w:cs="Times New Roman"/>
          <w:b/>
          <w:sz w:val="24"/>
        </w:rPr>
        <w:t xml:space="preserve"> </w:t>
      </w:r>
      <w:r w:rsidR="00D77A86">
        <w:rPr>
          <w:rFonts w:ascii="Times New Roman" w:hAnsi="Times New Roman" w:cs="Times New Roman"/>
          <w:b/>
          <w:sz w:val="24"/>
        </w:rPr>
        <w:t xml:space="preserve">Dot plots showing that predicted cellular interactions of </w:t>
      </w:r>
      <w:r w:rsidR="00D77A86" w:rsidRPr="005C6645">
        <w:rPr>
          <w:rFonts w:ascii="Times New Roman" w:hAnsi="Times New Roman" w:cs="Times New Roman"/>
          <w:b/>
          <w:i/>
          <w:sz w:val="24"/>
        </w:rPr>
        <w:t>ORMDL3</w:t>
      </w:r>
      <w:r w:rsidR="00D77A86" w:rsidRPr="005C6645">
        <w:rPr>
          <w:rFonts w:ascii="Times New Roman" w:hAnsi="Times New Roman" w:cs="Times New Roman"/>
          <w:b/>
          <w:i/>
          <w:sz w:val="28"/>
          <w:vertAlign w:val="superscript"/>
        </w:rPr>
        <w:t>-</w:t>
      </w:r>
      <w:r w:rsidR="00D77A86" w:rsidRPr="005C6645">
        <w:rPr>
          <w:rFonts w:ascii="Times New Roman" w:hAnsi="Times New Roman" w:cs="Times New Roman"/>
          <w:b/>
          <w:sz w:val="28"/>
          <w:vertAlign w:val="superscript"/>
        </w:rPr>
        <w:t xml:space="preserve"> </w:t>
      </w:r>
      <w:r w:rsidR="00D77A86">
        <w:rPr>
          <w:rFonts w:ascii="Times New Roman" w:hAnsi="Times New Roman" w:cs="Times New Roman"/>
          <w:b/>
          <w:sz w:val="24"/>
        </w:rPr>
        <w:t>Cholangiocyte with other cell populations</w:t>
      </w:r>
      <w:r w:rsidR="00D77A86" w:rsidRPr="005D1EE1">
        <w:rPr>
          <w:rFonts w:ascii="Times New Roman" w:hAnsi="Times New Roman" w:cs="Times New Roman"/>
          <w:b/>
          <w:sz w:val="24"/>
        </w:rPr>
        <w:t xml:space="preserve"> in liver tissues (GSE115469).</w:t>
      </w:r>
      <w:r w:rsidR="00253575" w:rsidRPr="00C04AA1">
        <w:rPr>
          <w:rFonts w:ascii="Times New Roman" w:hAnsi="Times New Roman" w:cs="Times New Roman"/>
          <w:sz w:val="24"/>
        </w:rPr>
        <w:t xml:space="preserve"> (a) </w:t>
      </w:r>
      <w:r w:rsidR="00C04AA1" w:rsidRPr="00C04AA1">
        <w:rPr>
          <w:rFonts w:ascii="Times New Roman" w:hAnsi="Times New Roman" w:cs="Times New Roman"/>
          <w:i/>
          <w:sz w:val="24"/>
        </w:rPr>
        <w:t>ORMDL3</w:t>
      </w:r>
      <w:r w:rsidR="00C04AA1" w:rsidRPr="00C04AA1">
        <w:rPr>
          <w:rFonts w:ascii="Times New Roman" w:hAnsi="Times New Roman" w:cs="Times New Roman"/>
          <w:i/>
          <w:sz w:val="28"/>
          <w:vertAlign w:val="superscript"/>
        </w:rPr>
        <w:t>-</w:t>
      </w:r>
      <w:r w:rsidR="00C04AA1" w:rsidRPr="00C04AA1">
        <w:rPr>
          <w:rFonts w:ascii="Times New Roman" w:hAnsi="Times New Roman" w:cs="Times New Roman"/>
          <w:sz w:val="28"/>
          <w:vertAlign w:val="superscript"/>
        </w:rPr>
        <w:t xml:space="preserve"> </w:t>
      </w:r>
      <w:r w:rsidR="00C04AA1" w:rsidRPr="00C04AA1">
        <w:rPr>
          <w:rFonts w:ascii="Times New Roman" w:hAnsi="Times New Roman" w:cs="Times New Roman"/>
          <w:sz w:val="24"/>
        </w:rPr>
        <w:t xml:space="preserve">Cholangiocyte as a source (outgoing) communicating with other cells, (b) </w:t>
      </w:r>
      <w:r w:rsidR="00C04AA1" w:rsidRPr="00C04AA1">
        <w:rPr>
          <w:rFonts w:ascii="Times New Roman" w:hAnsi="Times New Roman" w:cs="Times New Roman"/>
          <w:i/>
          <w:sz w:val="24"/>
        </w:rPr>
        <w:t>ORMDL3</w:t>
      </w:r>
      <w:r w:rsidR="00C04AA1" w:rsidRPr="00C04AA1">
        <w:rPr>
          <w:rFonts w:ascii="Times New Roman" w:hAnsi="Times New Roman" w:cs="Times New Roman"/>
          <w:i/>
          <w:sz w:val="28"/>
          <w:vertAlign w:val="superscript"/>
        </w:rPr>
        <w:t>-</w:t>
      </w:r>
      <w:r w:rsidR="00C04AA1" w:rsidRPr="00C04AA1">
        <w:rPr>
          <w:rFonts w:ascii="Times New Roman" w:hAnsi="Times New Roman" w:cs="Times New Roman"/>
          <w:sz w:val="28"/>
          <w:vertAlign w:val="superscript"/>
        </w:rPr>
        <w:t xml:space="preserve"> </w:t>
      </w:r>
      <w:r w:rsidR="00C04AA1" w:rsidRPr="00C04AA1">
        <w:rPr>
          <w:rFonts w:ascii="Times New Roman" w:hAnsi="Times New Roman" w:cs="Times New Roman"/>
          <w:sz w:val="24"/>
        </w:rPr>
        <w:t>Cholangiocyte as a target (incoming) communicating with other cells.</w:t>
      </w:r>
      <w:r w:rsidR="00B407AB" w:rsidRPr="00AD331A">
        <w:rPr>
          <w:rFonts w:ascii="Times New Roman" w:hAnsi="Times New Roman" w:cs="Times New Roman"/>
          <w:sz w:val="24"/>
        </w:rPr>
        <w:t xml:space="preserve"> </w:t>
      </w:r>
      <w:r w:rsidR="00B407AB">
        <w:rPr>
          <w:rFonts w:ascii="Times New Roman" w:hAnsi="Times New Roman" w:cs="Times New Roman"/>
          <w:sz w:val="24"/>
        </w:rPr>
        <w:t>The circular size of represents the statistical significance of each ligand-receptor pair, and color represents the communication probability.</w:t>
      </w:r>
    </w:p>
    <w:p w:rsidR="004259C2" w:rsidRDefault="004259C2" w:rsidP="00CD5915">
      <w:pPr>
        <w:spacing w:line="360" w:lineRule="auto"/>
        <w:jc w:val="center"/>
        <w:rPr>
          <w:sz w:val="24"/>
        </w:rPr>
      </w:pPr>
      <w:r w:rsidRPr="004259C2">
        <w:rPr>
          <w:noProof/>
          <w:sz w:val="24"/>
        </w:rPr>
        <w:drawing>
          <wp:inline distT="0" distB="0" distL="0" distR="0" wp14:anchorId="0A7D510F" wp14:editId="1D6B48FD">
            <wp:extent cx="6188710" cy="5746750"/>
            <wp:effectExtent l="0" t="0" r="254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00" w:rsidRDefault="008A0F00" w:rsidP="008D49F8">
      <w:pPr>
        <w:spacing w:line="360" w:lineRule="auto"/>
        <w:rPr>
          <w:rFonts w:hint="eastAsia"/>
          <w:sz w:val="24"/>
        </w:rPr>
      </w:pPr>
    </w:p>
    <w:p w:rsidR="004259C2" w:rsidRDefault="004259C2" w:rsidP="00CD5915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8D49F8" w:rsidRDefault="008D49F8" w:rsidP="00CD5915">
      <w:pPr>
        <w:spacing w:line="360" w:lineRule="auto"/>
        <w:rPr>
          <w:rFonts w:ascii="Times New Roman" w:hAnsi="Times New Roman" w:cs="Times New Roman" w:hint="eastAsia"/>
          <w:b/>
          <w:sz w:val="24"/>
        </w:rPr>
      </w:pPr>
    </w:p>
    <w:p w:rsidR="004259C2" w:rsidRPr="006F0E44" w:rsidRDefault="004259C2" w:rsidP="008A0F00">
      <w:pPr>
        <w:spacing w:line="360" w:lineRule="auto"/>
        <w:rPr>
          <w:rFonts w:ascii="Times New Roman" w:hAnsi="Times New Roman" w:cs="Times New Roman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</w:t>
      </w:r>
      <w:r w:rsidR="00A70F1A">
        <w:rPr>
          <w:rFonts w:ascii="Times New Roman" w:hAnsi="Times New Roman" w:cs="Times New Roman"/>
          <w:b/>
          <w:sz w:val="24"/>
        </w:rPr>
        <w:t>20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8A0F00">
        <w:rPr>
          <w:rFonts w:ascii="Times New Roman" w:hAnsi="Times New Roman" w:cs="Times New Roman" w:hint="eastAsia"/>
          <w:b/>
          <w:sz w:val="24"/>
        </w:rPr>
        <w:t xml:space="preserve"> </w:t>
      </w:r>
      <w:r w:rsidR="0011223E">
        <w:rPr>
          <w:rFonts w:ascii="Times New Roman" w:hAnsi="Times New Roman" w:cs="Times New Roman"/>
          <w:b/>
          <w:sz w:val="24"/>
        </w:rPr>
        <w:t>The</w:t>
      </w:r>
      <w:r w:rsidR="009572FF">
        <w:rPr>
          <w:rFonts w:ascii="Times New Roman" w:hAnsi="Times New Roman" w:cs="Times New Roman"/>
          <w:b/>
          <w:sz w:val="24"/>
        </w:rPr>
        <w:t xml:space="preserve"> inferred</w:t>
      </w:r>
      <w:r w:rsidR="0011223E">
        <w:rPr>
          <w:rFonts w:ascii="Times New Roman" w:hAnsi="Times New Roman" w:cs="Times New Roman"/>
          <w:b/>
          <w:sz w:val="24"/>
        </w:rPr>
        <w:t xml:space="preserve"> incoming (target) communication patterns of cell populations in liver tissue (</w:t>
      </w:r>
      <w:r w:rsidR="0011223E" w:rsidRPr="005D1EE1">
        <w:rPr>
          <w:rFonts w:ascii="Times New Roman" w:hAnsi="Times New Roman" w:cs="Times New Roman"/>
          <w:b/>
          <w:sz w:val="24"/>
        </w:rPr>
        <w:t>GSE115469</w:t>
      </w:r>
      <w:r w:rsidR="0011223E">
        <w:rPr>
          <w:rFonts w:ascii="Times New Roman" w:hAnsi="Times New Roman" w:cs="Times New Roman"/>
          <w:b/>
          <w:sz w:val="24"/>
        </w:rPr>
        <w:t xml:space="preserve">). </w:t>
      </w:r>
      <w:r w:rsidR="006F0E44" w:rsidRPr="006F0E44">
        <w:rPr>
          <w:rFonts w:ascii="Times New Roman" w:hAnsi="Times New Roman" w:cs="Times New Roman"/>
          <w:sz w:val="24"/>
        </w:rPr>
        <w:t>(a) Five in</w:t>
      </w:r>
      <w:r w:rsidR="0054219F">
        <w:rPr>
          <w:rFonts w:ascii="Times New Roman" w:hAnsi="Times New Roman" w:cs="Times New Roman"/>
          <w:sz w:val="24"/>
        </w:rPr>
        <w:t>coming communications patterns of 13</w:t>
      </w:r>
      <w:r w:rsidR="006F0E44" w:rsidRPr="006F0E44">
        <w:rPr>
          <w:rFonts w:ascii="Times New Roman" w:hAnsi="Times New Roman" w:cs="Times New Roman"/>
          <w:sz w:val="24"/>
        </w:rPr>
        <w:t xml:space="preserve"> cell populations</w:t>
      </w:r>
      <w:r w:rsidR="009572FF">
        <w:rPr>
          <w:rFonts w:ascii="Times New Roman" w:hAnsi="Times New Roman" w:cs="Times New Roman"/>
          <w:sz w:val="24"/>
        </w:rPr>
        <w:t>, which shows the correspondence between the inferred latent patterns and cell groups, as well as signaling pathways</w:t>
      </w:r>
      <w:r w:rsidR="006F0E44" w:rsidRPr="006F0E44">
        <w:rPr>
          <w:rFonts w:ascii="Times New Roman" w:hAnsi="Times New Roman" w:cs="Times New Roman"/>
          <w:sz w:val="24"/>
        </w:rPr>
        <w:t xml:space="preserve">, (b) The contribution of signaling pathways </w:t>
      </w:r>
      <w:r w:rsidR="009572FF">
        <w:rPr>
          <w:rFonts w:ascii="Times New Roman" w:hAnsi="Times New Roman" w:cs="Times New Roman"/>
          <w:sz w:val="24"/>
        </w:rPr>
        <w:t>among</w:t>
      </w:r>
      <w:r w:rsidR="006F0E44" w:rsidRPr="006F0E44">
        <w:rPr>
          <w:rFonts w:ascii="Times New Roman" w:hAnsi="Times New Roman" w:cs="Times New Roman"/>
          <w:sz w:val="24"/>
        </w:rPr>
        <w:t xml:space="preserve"> the</w:t>
      </w:r>
      <w:r w:rsidR="009572FF">
        <w:rPr>
          <w:rFonts w:ascii="Times New Roman" w:hAnsi="Times New Roman" w:cs="Times New Roman"/>
          <w:sz w:val="24"/>
        </w:rPr>
        <w:t xml:space="preserve"> five</w:t>
      </w:r>
      <w:r w:rsidR="006F0E44" w:rsidRPr="006F0E44">
        <w:rPr>
          <w:rFonts w:ascii="Times New Roman" w:hAnsi="Times New Roman" w:cs="Times New Roman"/>
          <w:sz w:val="24"/>
        </w:rPr>
        <w:t xml:space="preserve"> i</w:t>
      </w:r>
      <w:r w:rsidR="009572FF">
        <w:rPr>
          <w:rFonts w:ascii="Times New Roman" w:hAnsi="Times New Roman" w:cs="Times New Roman"/>
          <w:sz w:val="24"/>
        </w:rPr>
        <w:t>ncoming communications patterns to liver and immune cell types.</w:t>
      </w:r>
    </w:p>
    <w:p w:rsidR="00A70F1A" w:rsidRDefault="00A70F1A" w:rsidP="00CD5915">
      <w:pPr>
        <w:spacing w:line="360" w:lineRule="auto"/>
        <w:jc w:val="center"/>
        <w:rPr>
          <w:sz w:val="24"/>
        </w:rPr>
      </w:pPr>
      <w:r w:rsidRPr="00A70F1A">
        <w:rPr>
          <w:noProof/>
          <w:sz w:val="24"/>
        </w:rPr>
        <w:drawing>
          <wp:inline distT="0" distB="0" distL="0" distR="0" wp14:anchorId="0FF4C52B" wp14:editId="3A159E70">
            <wp:extent cx="6188710" cy="6684645"/>
            <wp:effectExtent l="0" t="0" r="2540" b="190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473"/>
                    <a:stretch/>
                  </pic:blipFill>
                  <pic:spPr bwMode="auto">
                    <a:xfrm>
                      <a:off x="0" y="0"/>
                      <a:ext cx="6188710" cy="668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4D2" w:rsidRDefault="008C64D2" w:rsidP="00281094">
      <w:pPr>
        <w:spacing w:line="360" w:lineRule="auto"/>
        <w:rPr>
          <w:rFonts w:hint="eastAsia"/>
          <w:sz w:val="24"/>
        </w:rPr>
      </w:pPr>
      <w:bookmarkStart w:id="1" w:name="_GoBack"/>
      <w:bookmarkEnd w:id="1"/>
    </w:p>
    <w:p w:rsidR="008C64D2" w:rsidRDefault="008C64D2" w:rsidP="008C64D2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8C64D2" w:rsidRPr="00ED7C64" w:rsidRDefault="008C64D2" w:rsidP="008C64D2">
      <w:pPr>
        <w:spacing w:line="360" w:lineRule="auto"/>
        <w:rPr>
          <w:rFonts w:ascii="Times New Roman" w:hAnsi="Times New Roman" w:cs="Times New Roman" w:hint="eastAsia"/>
          <w:sz w:val="24"/>
        </w:rPr>
      </w:pPr>
      <w:r w:rsidRPr="002D3408">
        <w:rPr>
          <w:rFonts w:ascii="Times New Roman" w:hAnsi="Times New Roman" w:cs="Times New Roman"/>
          <w:b/>
          <w:sz w:val="24"/>
        </w:rPr>
        <w:t xml:space="preserve">Supplemental </w:t>
      </w:r>
      <w:r>
        <w:rPr>
          <w:rFonts w:ascii="Times New Roman" w:hAnsi="Times New Roman" w:cs="Times New Roman"/>
          <w:b/>
          <w:sz w:val="24"/>
        </w:rPr>
        <w:t>Figure S21</w:t>
      </w:r>
      <w:r w:rsidRPr="002D3408">
        <w:rPr>
          <w:rFonts w:ascii="Times New Roman" w:hAnsi="Times New Roman" w:cs="Times New Roman"/>
          <w:b/>
          <w:sz w:val="24"/>
        </w:rPr>
        <w:t>.</w:t>
      </w:r>
      <w:r w:rsidR="00ED7C64">
        <w:rPr>
          <w:rFonts w:ascii="Times New Roman" w:hAnsi="Times New Roman" w:cs="Times New Roman"/>
          <w:b/>
          <w:sz w:val="24"/>
        </w:rPr>
        <w:t xml:space="preserve"> Relative contribution of each ligand-receptor pair to that of VEGF signaling pathway.</w:t>
      </w:r>
      <w:r w:rsidR="00ED7C64" w:rsidRPr="00ED7C64">
        <w:rPr>
          <w:rFonts w:ascii="Times New Roman" w:hAnsi="Times New Roman" w:cs="Times New Roman"/>
          <w:sz w:val="24"/>
        </w:rPr>
        <w:t xml:space="preserve"> The r</w:t>
      </w:r>
      <w:r w:rsidR="00ED7C64" w:rsidRPr="00ED7C64">
        <w:rPr>
          <w:rFonts w:ascii="Times New Roman" w:hAnsi="Times New Roman" w:cs="Times New Roman"/>
          <w:sz w:val="24"/>
        </w:rPr>
        <w:t>elative contribution</w:t>
      </w:r>
      <w:r w:rsidR="00ED7C64" w:rsidRPr="00ED7C64">
        <w:rPr>
          <w:rFonts w:ascii="Times New Roman" w:hAnsi="Times New Roman" w:cs="Times New Roman"/>
          <w:sz w:val="24"/>
        </w:rPr>
        <w:t xml:space="preserve"> is the ratio of </w:t>
      </w:r>
      <w:r w:rsidR="00ED7C64">
        <w:rPr>
          <w:rFonts w:ascii="Times New Roman" w:hAnsi="Times New Roman" w:cs="Times New Roman"/>
          <w:sz w:val="24"/>
        </w:rPr>
        <w:t>the total communication probability of the inferred network of each ligand-receptor pair to that of VEGF signaling pathway.</w:t>
      </w:r>
    </w:p>
    <w:p w:rsidR="008C64D2" w:rsidRPr="00E42D84" w:rsidRDefault="008C64D2" w:rsidP="008C64D2">
      <w:pPr>
        <w:spacing w:line="360" w:lineRule="auto"/>
        <w:jc w:val="center"/>
        <w:rPr>
          <w:sz w:val="24"/>
        </w:rPr>
      </w:pPr>
      <w:r w:rsidRPr="008C64D2">
        <w:rPr>
          <w:noProof/>
          <w:sz w:val="24"/>
        </w:rPr>
        <w:drawing>
          <wp:inline distT="0" distB="0" distL="0" distR="0" wp14:anchorId="1FE9C312" wp14:editId="59D1AE0C">
            <wp:extent cx="2834192" cy="2586819"/>
            <wp:effectExtent l="0" t="0" r="4445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4192" cy="25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4D2" w:rsidRPr="00E42D84" w:rsidSect="00D941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2E2" w:rsidRDefault="009032E2" w:rsidP="00D94103">
      <w:r>
        <w:separator/>
      </w:r>
    </w:p>
  </w:endnote>
  <w:endnote w:type="continuationSeparator" w:id="0">
    <w:p w:rsidR="009032E2" w:rsidRDefault="009032E2" w:rsidP="00D94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2E2" w:rsidRDefault="009032E2" w:rsidP="00D94103">
      <w:r>
        <w:separator/>
      </w:r>
    </w:p>
  </w:footnote>
  <w:footnote w:type="continuationSeparator" w:id="0">
    <w:p w:rsidR="009032E2" w:rsidRDefault="009032E2" w:rsidP="00D94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B3"/>
    <w:rsid w:val="00006337"/>
    <w:rsid w:val="00011E28"/>
    <w:rsid w:val="00022142"/>
    <w:rsid w:val="0004065C"/>
    <w:rsid w:val="00066F91"/>
    <w:rsid w:val="00087A65"/>
    <w:rsid w:val="00090B50"/>
    <w:rsid w:val="000C2426"/>
    <w:rsid w:val="000C2C25"/>
    <w:rsid w:val="00111337"/>
    <w:rsid w:val="0011223E"/>
    <w:rsid w:val="00114207"/>
    <w:rsid w:val="00134792"/>
    <w:rsid w:val="00154B93"/>
    <w:rsid w:val="001C5535"/>
    <w:rsid w:val="001D2021"/>
    <w:rsid w:val="001D7654"/>
    <w:rsid w:val="001D7C0E"/>
    <w:rsid w:val="001F743B"/>
    <w:rsid w:val="00202004"/>
    <w:rsid w:val="002371DB"/>
    <w:rsid w:val="002513B3"/>
    <w:rsid w:val="00253575"/>
    <w:rsid w:val="00281094"/>
    <w:rsid w:val="00297173"/>
    <w:rsid w:val="002A1CDB"/>
    <w:rsid w:val="002D3095"/>
    <w:rsid w:val="00313956"/>
    <w:rsid w:val="003351F2"/>
    <w:rsid w:val="00362273"/>
    <w:rsid w:val="00375DA5"/>
    <w:rsid w:val="003B3569"/>
    <w:rsid w:val="003B5384"/>
    <w:rsid w:val="003D0F7D"/>
    <w:rsid w:val="003D340B"/>
    <w:rsid w:val="003D7347"/>
    <w:rsid w:val="003F08DE"/>
    <w:rsid w:val="003F7758"/>
    <w:rsid w:val="004259C2"/>
    <w:rsid w:val="00431795"/>
    <w:rsid w:val="00456160"/>
    <w:rsid w:val="00457789"/>
    <w:rsid w:val="00483034"/>
    <w:rsid w:val="004A4C81"/>
    <w:rsid w:val="004A5D73"/>
    <w:rsid w:val="004B7A06"/>
    <w:rsid w:val="004D1FB2"/>
    <w:rsid w:val="004E2CBD"/>
    <w:rsid w:val="004E6387"/>
    <w:rsid w:val="004F5C01"/>
    <w:rsid w:val="00502BC0"/>
    <w:rsid w:val="005156C9"/>
    <w:rsid w:val="005356D5"/>
    <w:rsid w:val="0053763C"/>
    <w:rsid w:val="0054219F"/>
    <w:rsid w:val="005C6645"/>
    <w:rsid w:val="005C6801"/>
    <w:rsid w:val="005D1EE1"/>
    <w:rsid w:val="005E4DB4"/>
    <w:rsid w:val="00600923"/>
    <w:rsid w:val="00605956"/>
    <w:rsid w:val="006115F6"/>
    <w:rsid w:val="00665024"/>
    <w:rsid w:val="0069391B"/>
    <w:rsid w:val="00695FC7"/>
    <w:rsid w:val="006B0989"/>
    <w:rsid w:val="006C1AEA"/>
    <w:rsid w:val="006C5FDB"/>
    <w:rsid w:val="006D1E71"/>
    <w:rsid w:val="006D25C3"/>
    <w:rsid w:val="006F0E44"/>
    <w:rsid w:val="007059B1"/>
    <w:rsid w:val="007268FC"/>
    <w:rsid w:val="00730E32"/>
    <w:rsid w:val="00760E00"/>
    <w:rsid w:val="00762804"/>
    <w:rsid w:val="00770C2C"/>
    <w:rsid w:val="007A0E6A"/>
    <w:rsid w:val="007C28F7"/>
    <w:rsid w:val="007C377F"/>
    <w:rsid w:val="007C700E"/>
    <w:rsid w:val="007E1E75"/>
    <w:rsid w:val="007F48C0"/>
    <w:rsid w:val="00815850"/>
    <w:rsid w:val="008341D2"/>
    <w:rsid w:val="00894843"/>
    <w:rsid w:val="008A0F00"/>
    <w:rsid w:val="008B34DE"/>
    <w:rsid w:val="008C166B"/>
    <w:rsid w:val="008C64D2"/>
    <w:rsid w:val="008D49F8"/>
    <w:rsid w:val="008F1800"/>
    <w:rsid w:val="009032E2"/>
    <w:rsid w:val="009142BC"/>
    <w:rsid w:val="00915DD6"/>
    <w:rsid w:val="0094606E"/>
    <w:rsid w:val="00947A0E"/>
    <w:rsid w:val="00956915"/>
    <w:rsid w:val="009572FF"/>
    <w:rsid w:val="009B129E"/>
    <w:rsid w:val="009B23D4"/>
    <w:rsid w:val="009B5E8C"/>
    <w:rsid w:val="009C496A"/>
    <w:rsid w:val="009F1E86"/>
    <w:rsid w:val="00A45C92"/>
    <w:rsid w:val="00A70F1A"/>
    <w:rsid w:val="00A74A70"/>
    <w:rsid w:val="00A81E67"/>
    <w:rsid w:val="00A87926"/>
    <w:rsid w:val="00AA198E"/>
    <w:rsid w:val="00AD1BE8"/>
    <w:rsid w:val="00AD5F49"/>
    <w:rsid w:val="00B21308"/>
    <w:rsid w:val="00B407AB"/>
    <w:rsid w:val="00B62650"/>
    <w:rsid w:val="00B62CE6"/>
    <w:rsid w:val="00B938E1"/>
    <w:rsid w:val="00B96583"/>
    <w:rsid w:val="00BA1C4A"/>
    <w:rsid w:val="00BE58FC"/>
    <w:rsid w:val="00BF3DD4"/>
    <w:rsid w:val="00C04AA1"/>
    <w:rsid w:val="00C10AA2"/>
    <w:rsid w:val="00C23DD3"/>
    <w:rsid w:val="00C43418"/>
    <w:rsid w:val="00C50088"/>
    <w:rsid w:val="00CA73C9"/>
    <w:rsid w:val="00CB0D64"/>
    <w:rsid w:val="00CB25F6"/>
    <w:rsid w:val="00CC5688"/>
    <w:rsid w:val="00CC5A0C"/>
    <w:rsid w:val="00CD5915"/>
    <w:rsid w:val="00CF0ADC"/>
    <w:rsid w:val="00CF414C"/>
    <w:rsid w:val="00D01DB0"/>
    <w:rsid w:val="00D40214"/>
    <w:rsid w:val="00D52022"/>
    <w:rsid w:val="00D72945"/>
    <w:rsid w:val="00D762CF"/>
    <w:rsid w:val="00D77A86"/>
    <w:rsid w:val="00D94103"/>
    <w:rsid w:val="00DC333E"/>
    <w:rsid w:val="00DF179C"/>
    <w:rsid w:val="00E073D6"/>
    <w:rsid w:val="00E0772C"/>
    <w:rsid w:val="00E42D84"/>
    <w:rsid w:val="00E7593F"/>
    <w:rsid w:val="00E76FBF"/>
    <w:rsid w:val="00EA0F8B"/>
    <w:rsid w:val="00EA36CE"/>
    <w:rsid w:val="00EA4E73"/>
    <w:rsid w:val="00EB34D0"/>
    <w:rsid w:val="00EC7B8C"/>
    <w:rsid w:val="00ED7C64"/>
    <w:rsid w:val="00EF42D6"/>
    <w:rsid w:val="00EF4BBD"/>
    <w:rsid w:val="00F201C0"/>
    <w:rsid w:val="00F210FE"/>
    <w:rsid w:val="00F35CF2"/>
    <w:rsid w:val="00F7288E"/>
    <w:rsid w:val="00F773C3"/>
    <w:rsid w:val="00FC092C"/>
    <w:rsid w:val="00FD0FCF"/>
    <w:rsid w:val="00FD24FC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4F4CE"/>
  <w15:chartTrackingRefBased/>
  <w15:docId w15:val="{2A478AE1-4BEB-44E2-95AD-AFA5363E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6CE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C5008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41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41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4103"/>
    <w:rPr>
      <w:sz w:val="18"/>
      <w:szCs w:val="18"/>
    </w:rPr>
  </w:style>
  <w:style w:type="character" w:styleId="a7">
    <w:name w:val="Hyperlink"/>
    <w:basedOn w:val="a0"/>
    <w:uiPriority w:val="99"/>
    <w:unhideWhenUsed/>
    <w:rsid w:val="006C1AEA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C50088"/>
    <w:rPr>
      <w:rFonts w:ascii="宋体" w:eastAsia="宋体" w:hAnsi="宋体" w:cs="宋体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0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dgidb.org/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dice-database.org/landin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3873</TotalTime>
  <Pages>22</Pages>
  <Words>1123</Words>
  <Characters>6405</Characters>
  <Application>Microsoft Office Word</Application>
  <DocSecurity>0</DocSecurity>
  <Lines>53</Lines>
  <Paragraphs>15</Paragraphs>
  <ScaleCrop>false</ScaleCrop>
  <Company/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</dc:creator>
  <cp:keywords/>
  <dc:description/>
  <cp:lastModifiedBy>MYL</cp:lastModifiedBy>
  <cp:revision>61</cp:revision>
  <dcterms:created xsi:type="dcterms:W3CDTF">2021-05-06T08:34:00Z</dcterms:created>
  <dcterms:modified xsi:type="dcterms:W3CDTF">2021-09-16T03:11:00Z</dcterms:modified>
</cp:coreProperties>
</file>