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FCBC" w14:textId="5ECC75DF" w:rsidR="00CB6A50" w:rsidRDefault="00CB6A50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Supplementary Table</w:t>
      </w:r>
      <w:r>
        <w:rPr>
          <w:b/>
          <w:bCs/>
          <w:sz w:val="22"/>
          <w:szCs w:val="22"/>
        </w:rPr>
        <w:t>s</w:t>
      </w:r>
    </w:p>
    <w:tbl>
      <w:tblPr>
        <w:tblpPr w:leftFromText="180" w:rightFromText="180" w:vertAnchor="text" w:horzAnchor="margin" w:tblpXSpec="center" w:tblpY="94"/>
        <w:tblW w:w="100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3"/>
        <w:gridCol w:w="1970"/>
        <w:gridCol w:w="1776"/>
        <w:gridCol w:w="1802"/>
        <w:gridCol w:w="1395"/>
      </w:tblGrid>
      <w:tr w:rsidR="00525C71" w:rsidRPr="00525C71" w14:paraId="2D1285AE" w14:textId="77777777" w:rsidTr="00525C71">
        <w:trPr>
          <w:trHeight w:val="334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64E97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Parameter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1AAB5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Survived (n=76)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EAFE7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Died (n=17)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F1C11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OR (95% CI)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4886C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p</w:t>
            </w:r>
          </w:p>
        </w:tc>
      </w:tr>
      <w:tr w:rsidR="00525C71" w:rsidRPr="00525C71" w14:paraId="39757377" w14:textId="77777777" w:rsidTr="00525C71">
        <w:trPr>
          <w:trHeight w:val="249"/>
        </w:trPr>
        <w:tc>
          <w:tcPr>
            <w:tcW w:w="3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F3429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Age (</w:t>
            </w:r>
            <w:proofErr w:type="spellStart"/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yrs</w:t>
            </w:r>
            <w:proofErr w:type="spellEnd"/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0DB78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41.0 (29.0-54.5)</w:t>
            </w:r>
          </w:p>
        </w:tc>
        <w:tc>
          <w:tcPr>
            <w:tcW w:w="17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04484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63.0 (52.3-74.0)</w:t>
            </w:r>
          </w:p>
        </w:tc>
        <w:tc>
          <w:tcPr>
            <w:tcW w:w="1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13F16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E259B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0.0003</w:t>
            </w:r>
          </w:p>
        </w:tc>
      </w:tr>
      <w:tr w:rsidR="00525C71" w:rsidRPr="00525C71" w14:paraId="4218C4A8" w14:textId="77777777" w:rsidTr="00525C71">
        <w:trPr>
          <w:trHeight w:val="280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B72FF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Sex  (</w:t>
            </w:r>
            <w:proofErr w:type="gramEnd"/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n,% Female)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8784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46 (49.5)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6957D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7 (41.2)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1C1A3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0.46 (0.17-1.28)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E7344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0.1452</w:t>
            </w:r>
          </w:p>
        </w:tc>
      </w:tr>
      <w:tr w:rsidR="00525C71" w:rsidRPr="00525C71" w14:paraId="39C65441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D2969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Pre SARS-CoV-2 infection lymphocyte count (x10</w:t>
            </w: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position w:val="7"/>
                <w:sz w:val="20"/>
                <w:szCs w:val="20"/>
                <w:vertAlign w:val="superscript"/>
                <w:lang w:val="en-US" w:eastAsia="en-GB"/>
              </w:rPr>
              <w:t>9</w:t>
            </w: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/L)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A8CD2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1.40 (1.03-1.70)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90871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0.80 (0.40-1.35)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9AB7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D12C7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0.0025</w:t>
            </w:r>
          </w:p>
        </w:tc>
      </w:tr>
      <w:tr w:rsidR="00525C71" w:rsidRPr="00525C71" w14:paraId="5A69AFA8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B140A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Body mass index (kg/m</w:t>
            </w: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position w:val="7"/>
                <w:sz w:val="20"/>
                <w:szCs w:val="20"/>
                <w:vertAlign w:val="superscript"/>
                <w:lang w:val="en-US" w:eastAsia="en-GB"/>
              </w:rPr>
              <w:t>2</w:t>
            </w: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C6F9E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27.4 (23.9-30.8)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2CBC7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24.2 (16.4-27.4)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060CA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E1AE0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0.0722</w:t>
            </w:r>
          </w:p>
        </w:tc>
      </w:tr>
      <w:tr w:rsidR="00525C71" w:rsidRPr="00525C71" w14:paraId="7430F4B4" w14:textId="77777777" w:rsidTr="00525C71">
        <w:trPr>
          <w:trHeight w:val="233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4A749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Immunoglobulin replacement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25A89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65 (85.5)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80A64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16 (94.1)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38940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2.71 (0.39-30.88)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53DCF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0.3395</w:t>
            </w:r>
          </w:p>
        </w:tc>
      </w:tr>
      <w:tr w:rsidR="00525C71" w:rsidRPr="00525C71" w14:paraId="756D495F" w14:textId="77777777" w:rsidTr="00525C71">
        <w:trPr>
          <w:trHeight w:val="233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89AAC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Prophylactic antibiotics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286EF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39 (51.3)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F5F7C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14 (82.4)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ED7A8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4.43 (1.28-15.22)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45066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0.0195</w:t>
            </w:r>
          </w:p>
        </w:tc>
      </w:tr>
      <w:tr w:rsidR="00525C71" w:rsidRPr="00525C71" w14:paraId="587A693D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4A623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Current immunosuppression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68AD1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16 (21.1)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868BD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 (11.8)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6FB51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0.50 (0.11-2.37)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4388D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0.3809</w:t>
            </w:r>
          </w:p>
        </w:tc>
      </w:tr>
      <w:tr w:rsidR="00525C71" w:rsidRPr="00525C71" w14:paraId="1215C24A" w14:textId="77777777" w:rsidTr="00525C71">
        <w:trPr>
          <w:trHeight w:val="686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43834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Chronic lung disease (n, %)</w:t>
            </w:r>
          </w:p>
          <w:p w14:paraId="678D0412" w14:textId="77777777" w:rsidR="00525C71" w:rsidRPr="00525C71" w:rsidRDefault="00525C71" w:rsidP="00525C71">
            <w:pPr>
              <w:numPr>
                <w:ilvl w:val="0"/>
                <w:numId w:val="1"/>
              </w:numPr>
              <w:ind w:left="99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Bronchiectasis </w:t>
            </w:r>
          </w:p>
          <w:p w14:paraId="27E21702" w14:textId="77777777" w:rsidR="00525C71" w:rsidRPr="00525C71" w:rsidRDefault="00525C71" w:rsidP="00525C71">
            <w:pPr>
              <w:numPr>
                <w:ilvl w:val="0"/>
                <w:numId w:val="1"/>
              </w:numPr>
              <w:ind w:left="99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Granulomatous interstitial lung disease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973DB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38 (50.0)</w:t>
            </w: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 </w:t>
            </w:r>
          </w:p>
          <w:p w14:paraId="677C69C2" w14:textId="77777777" w:rsidR="00525C71" w:rsidRDefault="00525C71" w:rsidP="00525C71">
            <w:pPr>
              <w:jc w:val="center"/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</w:pPr>
          </w:p>
          <w:p w14:paraId="44FE6104" w14:textId="5AC8E169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20 (26.3)</w:t>
            </w:r>
          </w:p>
          <w:p w14:paraId="6DDCA2BA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11 (14.5)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BB653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14 (82.4)</w:t>
            </w:r>
          </w:p>
          <w:p w14:paraId="29577F7F" w14:textId="77777777" w:rsidR="00525C71" w:rsidRDefault="00525C71" w:rsidP="00525C71">
            <w:pPr>
              <w:jc w:val="center"/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</w:pPr>
          </w:p>
          <w:p w14:paraId="0D6E78A1" w14:textId="2AF237E8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8 (47.1)</w:t>
            </w:r>
          </w:p>
          <w:p w14:paraId="6216703C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 (11.8)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C8D09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4.67 (1.35-16.04)</w:t>
            </w:r>
          </w:p>
          <w:p w14:paraId="7EB7329A" w14:textId="77777777" w:rsidR="00525C71" w:rsidRDefault="00525C71" w:rsidP="00525C71">
            <w:pPr>
              <w:jc w:val="center"/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</w:pPr>
          </w:p>
          <w:p w14:paraId="551B4093" w14:textId="1CC2F82A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2.49 (0.78-7.45)</w:t>
            </w:r>
          </w:p>
          <w:p w14:paraId="11892AFC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0.79 (0.16-3.47)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2C862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0.0151</w:t>
            </w:r>
          </w:p>
          <w:p w14:paraId="5FF411F5" w14:textId="77777777" w:rsidR="00525C71" w:rsidRDefault="00525C71" w:rsidP="00525C71">
            <w:pPr>
              <w:jc w:val="center"/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</w:pPr>
          </w:p>
          <w:p w14:paraId="5B0E3257" w14:textId="551D4BDC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0.0919</w:t>
            </w:r>
          </w:p>
          <w:p w14:paraId="4AAE0C2C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0.7709</w:t>
            </w:r>
          </w:p>
        </w:tc>
      </w:tr>
      <w:tr w:rsidR="00525C71" w:rsidRPr="00525C71" w14:paraId="0BDFCDD9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B3D3D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Cardiovascular disease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93B60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8 (10.5)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7D97F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5 (29.4)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FAE49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3.54 (1.06-12.21)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DF57F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0.0424</w:t>
            </w:r>
          </w:p>
        </w:tc>
      </w:tr>
      <w:tr w:rsidR="00525C71" w:rsidRPr="00525C71" w14:paraId="4C21A71A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8C6F7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Rheumatological disease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5AFFF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4 (5.3)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DA14E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 (5.8)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1F4BE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1.13 (0.09-7.71)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6FAD5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0.9185</w:t>
            </w:r>
          </w:p>
        </w:tc>
      </w:tr>
      <w:tr w:rsidR="00525C71" w:rsidRPr="00525C71" w14:paraId="033F6D77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47599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Chronic liver disease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050AA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12 (15.8)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35AAF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5 (29.4)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AA5A6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2.22 (0.72-7.75)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17C03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0.1890</w:t>
            </w:r>
          </w:p>
        </w:tc>
      </w:tr>
      <w:tr w:rsidR="00525C71" w:rsidRPr="00525C71" w14:paraId="4A0A32F7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710C6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Diabetes mellitus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B4BA8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3 (4.0)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240B3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3 (18.7)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8F69B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5.21 (1.10-23.55)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98183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0.0377</w:t>
            </w:r>
          </w:p>
        </w:tc>
      </w:tr>
      <w:tr w:rsidR="00525C71" w:rsidRPr="00525C71" w14:paraId="03509DA2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2064D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Chronic renal disease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85FE8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3 (4.0)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4405D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 (11.8)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61E01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3.24 (0.53-16.73)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9EDB2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0.1964</w:t>
            </w:r>
          </w:p>
        </w:tc>
      </w:tr>
      <w:tr w:rsidR="00525C71" w:rsidRPr="00525C71" w14:paraId="19CDD63C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C0CC5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Autoimmune </w:t>
            </w:r>
            <w:proofErr w:type="spellStart"/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cytopaenia</w:t>
            </w:r>
            <w:proofErr w:type="spellEnd"/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2AEE5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18 (23.7)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C630E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5 (29.4)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0DE15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1.34 (0.47-4.17)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4CF33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0.6207</w:t>
            </w:r>
          </w:p>
        </w:tc>
      </w:tr>
      <w:tr w:rsidR="00525C71" w:rsidRPr="00525C71" w14:paraId="33234953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07545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 xml:space="preserve">Chronic </w:t>
            </w:r>
            <w:proofErr w:type="gramStart"/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gastrointestinal  disease</w:t>
            </w:r>
            <w:proofErr w:type="gramEnd"/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 xml:space="preserve">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F97C2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8 (10.5)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DB016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5 (29.4)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92830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3.54 (1.06-12.21)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79E5D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C00000"/>
                <w:kern w:val="24"/>
                <w:sz w:val="20"/>
                <w:szCs w:val="20"/>
                <w:lang w:val="en-US" w:eastAsia="en-GB"/>
              </w:rPr>
              <w:t>0.0424</w:t>
            </w:r>
          </w:p>
        </w:tc>
      </w:tr>
      <w:tr w:rsidR="00525C71" w:rsidRPr="00525C71" w14:paraId="67E7E397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0D270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Haematological</w:t>
            </w:r>
            <w:proofErr w:type="spellEnd"/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 malignancy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5F1FF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4 (5.3)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19F45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 (5.9)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81FE4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1.13 (0.09-7.71)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C3131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0.9185</w:t>
            </w:r>
          </w:p>
        </w:tc>
      </w:tr>
      <w:tr w:rsidR="00525C71" w:rsidRPr="00525C71" w14:paraId="3B512E94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2F9F0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Splenomegaly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B3D1C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10 (13.2)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43B9C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 (11.8)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F7A61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0.88 (0.18-4.01)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6C99C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0.8769</w:t>
            </w:r>
          </w:p>
        </w:tc>
      </w:tr>
      <w:tr w:rsidR="00525C71" w:rsidRPr="00525C71" w14:paraId="11A6DCEA" w14:textId="77777777" w:rsidTr="00525C71">
        <w:trPr>
          <w:trHeight w:val="40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4B37E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Organ specific autoimmunity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6A670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6 (7.9)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C0356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3 (17.7)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8BC67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2.50 (0.61-9.58)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0A42A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000000"/>
                <w:kern w:val="24"/>
                <w:sz w:val="20"/>
                <w:szCs w:val="20"/>
                <w:lang w:val="en-US" w:eastAsia="en-GB"/>
              </w:rPr>
              <w:t>0.2189</w:t>
            </w:r>
          </w:p>
        </w:tc>
      </w:tr>
    </w:tbl>
    <w:p w14:paraId="1097123B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p w14:paraId="39726ED8" w14:textId="0EA31C41" w:rsidR="00CB6A50" w:rsidRDefault="00CB6A50" w:rsidP="00CB6A50">
      <w:pPr>
        <w:pStyle w:val="Default"/>
        <w:spacing w:before="0"/>
        <w:ind w:right="278"/>
        <w:jc w:val="both"/>
        <w:rPr>
          <w:sz w:val="22"/>
          <w:szCs w:val="22"/>
        </w:rPr>
      </w:pPr>
      <w:r w:rsidRPr="00E51E5B">
        <w:rPr>
          <w:b/>
          <w:bCs/>
          <w:sz w:val="22"/>
          <w:szCs w:val="22"/>
        </w:rPr>
        <w:t xml:space="preserve">Supplementary Table S1: Univariate analysis of risk factors associated with mortality in individuals with a CVID phenotype. </w:t>
      </w:r>
      <w:r w:rsidRPr="00E51E5B">
        <w:rPr>
          <w:sz w:val="22"/>
          <w:szCs w:val="22"/>
        </w:rPr>
        <w:t>93 individuals were included, 87 with genetically undifferentiated CVID and 6 with monogenic CVID-like disease. Median and interquartile ranges are provided for continuous variables. Differences between the distributions evaluated using 2-tailed Mann-Whitney U test. Differences between categorical variables, evaluated using 2-tailed Fisher exact test with ORs calculated using the Baptista-Pike method.</w:t>
      </w:r>
    </w:p>
    <w:p w14:paraId="7613374C" w14:textId="77777777" w:rsidR="00CB6A50" w:rsidRDefault="00CB6A50" w:rsidP="00CB6A50">
      <w:pPr>
        <w:pStyle w:val="Default"/>
        <w:spacing w:before="0"/>
        <w:ind w:right="278"/>
        <w:jc w:val="both"/>
        <w:rPr>
          <w:sz w:val="22"/>
          <w:szCs w:val="22"/>
        </w:rPr>
      </w:pPr>
    </w:p>
    <w:p w14:paraId="4B112E2D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p w14:paraId="49B42A70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tbl>
      <w:tblPr>
        <w:tblW w:w="96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3"/>
        <w:gridCol w:w="1561"/>
        <w:gridCol w:w="2659"/>
        <w:gridCol w:w="1329"/>
        <w:gridCol w:w="1329"/>
      </w:tblGrid>
      <w:tr w:rsidR="00F03B2A" w:rsidRPr="00F03B2A" w14:paraId="25019330" w14:textId="77777777" w:rsidTr="00F03B2A">
        <w:trPr>
          <w:trHeight w:val="597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1D2FD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Variable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803E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Odds ratio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BC15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95% confidence interval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5E8F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Z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75C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P value</w:t>
            </w:r>
          </w:p>
        </w:tc>
      </w:tr>
      <w:tr w:rsidR="00F03B2A" w:rsidRPr="00F03B2A" w14:paraId="6512A5EA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52F5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Age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558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0.96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4CB5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0.90 to 1.02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8FA3A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1.43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4836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0.15</w:t>
            </w:r>
          </w:p>
        </w:tc>
      </w:tr>
      <w:tr w:rsidR="00F03B2A" w:rsidRPr="00F03B2A" w14:paraId="6DC7EC6E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4007E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Male Sex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39D4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0.52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1C1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0.05 to 4.14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33E6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EAB8C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0.54</w:t>
            </w:r>
          </w:p>
        </w:tc>
      </w:tr>
      <w:tr w:rsidR="00F03B2A" w:rsidRPr="00F03B2A" w14:paraId="7E1E4D1C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6183F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Pre SARS-CoV-2 infection lymphocyte count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CEC1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9.99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A524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1.56 to 114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417E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2.15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6FC00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0.03</w:t>
            </w:r>
          </w:p>
        </w:tc>
      </w:tr>
      <w:tr w:rsidR="00F03B2A" w:rsidRPr="00F03B2A" w14:paraId="438AD660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12574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 xml:space="preserve">Immunoglobulin </w:t>
            </w:r>
            <w:proofErr w:type="spellStart"/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replacment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6C94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2.45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57A0B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0.19 to 70.4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7E77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88B0A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0.52</w:t>
            </w:r>
          </w:p>
        </w:tc>
      </w:tr>
      <w:tr w:rsidR="00F03B2A" w:rsidRPr="00F03B2A" w14:paraId="00DC77BE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EEF40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Prophylactic antibiotics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D43F1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25.4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384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2.47 to 711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2A2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2.39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DE7A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C00000"/>
                <w:kern w:val="24"/>
                <w:lang w:eastAsia="en-GB"/>
              </w:rPr>
              <w:t>0.02</w:t>
            </w:r>
          </w:p>
        </w:tc>
      </w:tr>
      <w:tr w:rsidR="00F03B2A" w:rsidRPr="00F03B2A" w14:paraId="77C63D6F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A5C7D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Immune suppression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ADE2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A8DF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0.01 to 2.58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6F6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1.15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B13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0.25</w:t>
            </w:r>
          </w:p>
        </w:tc>
      </w:tr>
      <w:tr w:rsidR="00F03B2A" w:rsidRPr="00F03B2A" w14:paraId="731556A8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C815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Bronchiectasis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91B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1.65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2DDC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0.16 to 16.8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2ADC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662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0.67</w:t>
            </w:r>
          </w:p>
        </w:tc>
      </w:tr>
      <w:tr w:rsidR="00F03B2A" w:rsidRPr="00F03B2A" w14:paraId="72070F45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A543C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GL-ILD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E362B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10E8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0.00 to 2.45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8058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1.18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8B86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0.24</w:t>
            </w:r>
          </w:p>
        </w:tc>
      </w:tr>
      <w:tr w:rsidR="00F03B2A" w:rsidRPr="00F03B2A" w14:paraId="22A2715C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1D1B1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Cardiovascular disease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61E1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3.05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D00F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0.19 to 82.1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EEC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81DF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0.45</w:t>
            </w:r>
          </w:p>
        </w:tc>
      </w:tr>
      <w:tr w:rsidR="00F03B2A" w:rsidRPr="00F03B2A" w14:paraId="5E8BC2BE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3AE16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Rheumatological disease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A6FC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2.95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E69A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0.01 to 202.0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7EF0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0.47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9C4B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0.64</w:t>
            </w:r>
          </w:p>
        </w:tc>
      </w:tr>
      <w:tr w:rsidR="00F03B2A" w:rsidRPr="00F03B2A" w14:paraId="02F09FD6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AEA4F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Chronic liver disease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B92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1.21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A1E6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0.07 to 23.2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039B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D1A2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0.89</w:t>
            </w:r>
          </w:p>
        </w:tc>
      </w:tr>
      <w:tr w:rsidR="00F03B2A" w:rsidRPr="00F03B2A" w14:paraId="09334A3B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09687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Diabetes mellitus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BA551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3.93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1F0F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0.11 to 175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5F3B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3B85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0.46</w:t>
            </w:r>
          </w:p>
        </w:tc>
      </w:tr>
      <w:tr w:rsidR="00F03B2A" w:rsidRPr="00F03B2A" w14:paraId="4B3336E2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37980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Chronic kidney disease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8E29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6.61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9927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0.06 to 644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064B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0.85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22DC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0.40</w:t>
            </w:r>
          </w:p>
        </w:tc>
      </w:tr>
      <w:tr w:rsidR="00F03B2A" w:rsidRPr="00F03B2A" w14:paraId="78768F1F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D6528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 xml:space="preserve">Autoimmune </w:t>
            </w:r>
            <w:proofErr w:type="spellStart"/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cytopenias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E55F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4EBE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0.00 to 1.84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ACA7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1.31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6375B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0.19</w:t>
            </w:r>
          </w:p>
        </w:tc>
      </w:tr>
      <w:tr w:rsidR="00F03B2A" w:rsidRPr="00F03B2A" w14:paraId="51BA9DCA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9C22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 xml:space="preserve">Chronic gastrointestinal disease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BB890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5.74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620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0.19 to 252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167BB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4BD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0.32</w:t>
            </w:r>
          </w:p>
        </w:tc>
      </w:tr>
      <w:tr w:rsidR="00F03B2A" w:rsidRPr="00F03B2A" w14:paraId="24ACE8DF" w14:textId="77777777" w:rsidTr="00F03B2A">
        <w:trPr>
          <w:trHeight w:val="283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43ACD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Haematological malignancy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0C44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7CBAA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0.00 to 4.95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FED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0.97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86B6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0.33</w:t>
            </w:r>
          </w:p>
        </w:tc>
      </w:tr>
      <w:tr w:rsidR="00F03B2A" w:rsidRPr="00F03B2A" w14:paraId="35289405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E6B10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Splenomegaly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DF331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1.44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7895A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0.03 to 57.3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D006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974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0.84</w:t>
            </w:r>
          </w:p>
        </w:tc>
      </w:tr>
      <w:tr w:rsidR="00F03B2A" w:rsidRPr="00F03B2A" w14:paraId="07A50AFA" w14:textId="77777777" w:rsidTr="00F03B2A">
        <w:trPr>
          <w:trHeight w:val="283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363DF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Other</w:t>
            </w:r>
            <w:proofErr w:type="gramEnd"/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 xml:space="preserve"> organ specific autoimmunity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B5CF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8.16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72C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0.27 to 301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2309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1.21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E9A60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0.23</w:t>
            </w:r>
          </w:p>
        </w:tc>
      </w:tr>
    </w:tbl>
    <w:p w14:paraId="149B475F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p w14:paraId="5A3D4EDA" w14:textId="1911506A" w:rsidR="00CB6A50" w:rsidRDefault="00CB6A50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Supplementary Table S2: Multivariate analysis of risk factors associated with mortality in CVID phenotype</w:t>
      </w:r>
    </w:p>
    <w:p w14:paraId="7D06DEED" w14:textId="77777777" w:rsidR="00CB6A50" w:rsidRDefault="00CB6A50" w:rsidP="00CB6A50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BA33338" w14:textId="77777777" w:rsidR="00CB6A50" w:rsidRDefault="00CB6A50" w:rsidP="00CB6A50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9DEE89" w14:textId="77777777" w:rsidR="00F03B2A" w:rsidRDefault="00F03B2A">
      <w:pPr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2"/>
          <w:szCs w:val="22"/>
        </w:rPr>
        <w:br w:type="page"/>
      </w:r>
    </w:p>
    <w:tbl>
      <w:tblPr>
        <w:tblW w:w="100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8"/>
        <w:gridCol w:w="1613"/>
        <w:gridCol w:w="2748"/>
        <w:gridCol w:w="1374"/>
        <w:gridCol w:w="1374"/>
      </w:tblGrid>
      <w:tr w:rsidR="00F03B2A" w:rsidRPr="00F03B2A" w14:paraId="3D619B09" w14:textId="77777777" w:rsidTr="00F03B2A">
        <w:trPr>
          <w:trHeight w:val="60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F8BFB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lastRenderedPageBreak/>
              <w:t>Variable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E44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Odds ratio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6D481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95% confidence interval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31D9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Z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2598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P value</w:t>
            </w:r>
          </w:p>
        </w:tc>
      </w:tr>
      <w:tr w:rsidR="00F03B2A" w:rsidRPr="00F03B2A" w14:paraId="4FF74482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7FEF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Age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9E19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620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0.94 to 1.01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D904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65E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0.23</w:t>
            </w:r>
          </w:p>
        </w:tc>
      </w:tr>
      <w:tr w:rsidR="00F03B2A" w:rsidRPr="00F03B2A" w14:paraId="7CBB2C1E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2264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Male Sex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0372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1.30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0074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0.42 to 4.22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3957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1.20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E74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0.65</w:t>
            </w:r>
          </w:p>
        </w:tc>
      </w:tr>
      <w:tr w:rsidR="00F03B2A" w:rsidRPr="00F03B2A" w14:paraId="04DCDE33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86F1D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 xml:space="preserve">Immunoglobulin </w:t>
            </w:r>
            <w:proofErr w:type="spellStart"/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replacment</w:t>
            </w:r>
            <w:proofErr w:type="spell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B7AE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2.69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617A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0.74 to 11.93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63CB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0.45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3B9D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0.16</w:t>
            </w:r>
          </w:p>
        </w:tc>
      </w:tr>
      <w:tr w:rsidR="00F03B2A" w:rsidRPr="00F03B2A" w14:paraId="5C0911E1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4F863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Prophylactic antibiotics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9A7BB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1.01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4B2D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0.30 to 3.44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7A8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1.42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BB9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0.99</w:t>
            </w:r>
          </w:p>
        </w:tc>
      </w:tr>
      <w:tr w:rsidR="00F03B2A" w:rsidRPr="00F03B2A" w14:paraId="151945C2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BAE7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Immune suppression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2BC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2.18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62E6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0.67 to 7.35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03A8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387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0.20</w:t>
            </w:r>
          </w:p>
        </w:tc>
      </w:tr>
      <w:tr w:rsidR="00F03B2A" w:rsidRPr="00F03B2A" w14:paraId="7855CA80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5DCE0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Chronic lung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361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1.37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323D1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0.38 to 4.89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1CE6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1.29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76E0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0.63</w:t>
            </w:r>
          </w:p>
        </w:tc>
      </w:tr>
      <w:tr w:rsidR="00F03B2A" w:rsidRPr="00F03B2A" w14:paraId="65AF98AE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69247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Cardiovascular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6785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2.58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3BDE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0.83 to 8.40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94360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A886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0.10</w:t>
            </w:r>
          </w:p>
        </w:tc>
      </w:tr>
      <w:tr w:rsidR="00F03B2A" w:rsidRPr="00F03B2A" w14:paraId="56B4C507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12D12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Rheumatological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AC78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0.79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67F6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0.14 to 4.48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A28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1.63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5CDCC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0.79</w:t>
            </w:r>
          </w:p>
        </w:tc>
      </w:tr>
      <w:tr w:rsidR="00F03B2A" w:rsidRPr="00F03B2A" w14:paraId="59608973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7870A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Chronic liver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48CB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10.84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6E22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0.30 to 398.0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FE42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0.27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0F700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0.15</w:t>
            </w:r>
          </w:p>
        </w:tc>
      </w:tr>
      <w:tr w:rsidR="00F03B2A" w:rsidRPr="00F03B2A" w14:paraId="729129C3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E16F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Diabetes mellitus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6454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1.36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D7CFA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0.28 to 6.58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732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1.43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DEA4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0.70</w:t>
            </w:r>
          </w:p>
        </w:tc>
      </w:tr>
      <w:tr w:rsidR="00F03B2A" w:rsidRPr="00F03B2A" w14:paraId="5C8EC1FD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0FBB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Chronic kidney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4565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2416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0.06 to 1.55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933C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452F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0.20</w:t>
            </w:r>
          </w:p>
        </w:tc>
      </w:tr>
      <w:tr w:rsidR="00F03B2A" w:rsidRPr="00F03B2A" w14:paraId="37CB7C73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4E9F7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 xml:space="preserve">Chronic gastrointestinal disease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0878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0.60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A440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0.03 to 5.41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082A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1.29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AEFB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0.68</w:t>
            </w:r>
          </w:p>
        </w:tc>
      </w:tr>
      <w:tr w:rsidR="00F03B2A" w:rsidRPr="00F03B2A" w14:paraId="36251D4E" w14:textId="77777777" w:rsidTr="00F03B2A">
        <w:trPr>
          <w:trHeight w:val="28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22584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Haematological malignancy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5F55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0.59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21A3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0.12 to 3.07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59E4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6F1B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0.52</w:t>
            </w:r>
          </w:p>
        </w:tc>
      </w:tr>
    </w:tbl>
    <w:p w14:paraId="3B238D76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p w14:paraId="0EF0AE68" w14:textId="7DBC1B0D" w:rsidR="00CB6A50" w:rsidRDefault="00CB6A50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Supplementary Table S3: Multivariate analysis of risk factors associated with mortality in SID.</w:t>
      </w:r>
    </w:p>
    <w:p w14:paraId="3E10B8E7" w14:textId="77777777" w:rsidR="001F7049" w:rsidRDefault="00F03B2A"/>
    <w:sectPr w:rsidR="001F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070F"/>
    <w:multiLevelType w:val="hybridMultilevel"/>
    <w:tmpl w:val="D1A65E92"/>
    <w:lvl w:ilvl="0" w:tplc="75E8E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0B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02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A6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ED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27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8E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2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C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50"/>
    <w:rsid w:val="001E25E7"/>
    <w:rsid w:val="00525C71"/>
    <w:rsid w:val="00CA728E"/>
    <w:rsid w:val="00CB6A50"/>
    <w:rsid w:val="00F0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28478"/>
  <w15:chartTrackingRefBased/>
  <w15:docId w15:val="{D663EE49-41A0-7245-89A1-6CAA085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A5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Shields (Clinical Immunology Service)</dc:creator>
  <cp:keywords/>
  <dc:description/>
  <cp:lastModifiedBy>Adrian Shields (Clinical Immunology Service)</cp:lastModifiedBy>
  <cp:revision>2</cp:revision>
  <dcterms:created xsi:type="dcterms:W3CDTF">2021-09-17T12:12:00Z</dcterms:created>
  <dcterms:modified xsi:type="dcterms:W3CDTF">2021-09-17T12:32:00Z</dcterms:modified>
</cp:coreProperties>
</file>