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C4F0E" w14:textId="1EEF88FA" w:rsidR="0041038F" w:rsidRDefault="0090344B" w:rsidP="00AC26EE">
      <w:pPr>
        <w:jc w:val="center"/>
      </w:pPr>
      <w:r>
        <w:rPr>
          <w:noProof/>
        </w:rPr>
        <w:drawing>
          <wp:inline distT="0" distB="0" distL="0" distR="0" wp14:anchorId="45C23F2E" wp14:editId="168FFF97">
            <wp:extent cx="3476625" cy="47339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17466" w14:textId="77777777" w:rsidR="0041038F" w:rsidRPr="0041038F" w:rsidRDefault="0041038F" w:rsidP="0041038F"/>
    <w:p w14:paraId="0D042666" w14:textId="77777777" w:rsidR="00037966" w:rsidRPr="00037966" w:rsidRDefault="00037966" w:rsidP="00037966">
      <w:pPr>
        <w:jc w:val="both"/>
        <w:rPr>
          <w:rFonts w:asciiTheme="majorBidi" w:hAnsiTheme="majorBidi" w:cstheme="majorBidi"/>
          <w:sz w:val="18"/>
          <w:szCs w:val="18"/>
        </w:rPr>
      </w:pPr>
      <w:r w:rsidRPr="00037966">
        <w:rPr>
          <w:rFonts w:asciiTheme="majorBidi" w:hAnsiTheme="majorBidi" w:cstheme="majorBidi"/>
          <w:b/>
          <w:bCs/>
          <w:sz w:val="18"/>
          <w:szCs w:val="18"/>
        </w:rPr>
        <w:t>Fig</w:t>
      </w:r>
      <w:r w:rsidRPr="00037966">
        <w:rPr>
          <w:rFonts w:asciiTheme="majorBidi" w:hAnsiTheme="majorBidi" w:cstheme="majorBidi"/>
          <w:sz w:val="18"/>
          <w:szCs w:val="18"/>
        </w:rPr>
        <w:t xml:space="preserve">; PCR product of the designed </w:t>
      </w:r>
      <w:r w:rsidRPr="00037966">
        <w:rPr>
          <w:rFonts w:asciiTheme="majorBidi" w:hAnsiTheme="majorBidi" w:cstheme="majorBidi"/>
          <w:i/>
          <w:iCs/>
          <w:sz w:val="18"/>
          <w:szCs w:val="18"/>
        </w:rPr>
        <w:t>hva1</w:t>
      </w:r>
      <w:r w:rsidRPr="00037966">
        <w:rPr>
          <w:rFonts w:asciiTheme="majorBidi" w:hAnsiTheme="majorBidi" w:cstheme="majorBidi"/>
          <w:sz w:val="18"/>
          <w:szCs w:val="18"/>
        </w:rPr>
        <w:t xml:space="preserve"> inserted in PUC57. The primers were amplified approximately 1200pb. The experiment was conducted to confirm the insertion of the structure to the PUC57 vector and cloning. From Right; the 1000bp DNA ladder, the control reaction without the template, the control group of non-inserted PUC57 plasmids, and the structure inserted in PUC57.</w:t>
      </w:r>
    </w:p>
    <w:p w14:paraId="7341DB29" w14:textId="77777777" w:rsidR="0041038F" w:rsidRDefault="0041038F" w:rsidP="0041038F"/>
    <w:p w14:paraId="4156D673" w14:textId="77777777" w:rsidR="00982EB1" w:rsidRDefault="00982EB1" w:rsidP="00037966">
      <w:pPr>
        <w:jc w:val="center"/>
        <w:rPr>
          <w:noProof/>
        </w:rPr>
      </w:pPr>
    </w:p>
    <w:p w14:paraId="4081B85E" w14:textId="5F119A3C" w:rsidR="0041038F" w:rsidRDefault="0090344B" w:rsidP="00037966">
      <w:pPr>
        <w:jc w:val="center"/>
      </w:pPr>
      <w:r>
        <w:rPr>
          <w:noProof/>
        </w:rPr>
        <w:lastRenderedPageBreak/>
        <w:drawing>
          <wp:inline distT="0" distB="0" distL="0" distR="0" wp14:anchorId="048CD8C6" wp14:editId="0047D70C">
            <wp:extent cx="3570790" cy="44665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22"/>
                    <a:stretch/>
                  </pic:blipFill>
                  <pic:spPr bwMode="auto">
                    <a:xfrm>
                      <a:off x="0" y="0"/>
                      <a:ext cx="3570790" cy="44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ACD62" w14:textId="77777777" w:rsidR="00037966" w:rsidRDefault="0041038F" w:rsidP="00037966">
      <w:pPr>
        <w:jc w:val="both"/>
      </w:pPr>
      <w:r>
        <w:br w:type="textWrapping" w:clear="all"/>
      </w:r>
      <w:r w:rsidR="00037966" w:rsidRPr="00037966">
        <w:rPr>
          <w:rFonts w:asciiTheme="majorBidi" w:hAnsiTheme="majorBidi" w:cstheme="majorBidi"/>
          <w:b/>
          <w:bCs/>
          <w:sz w:val="18"/>
          <w:szCs w:val="18"/>
        </w:rPr>
        <w:t xml:space="preserve">Fig; </w:t>
      </w:r>
      <w:r w:rsidR="00037966" w:rsidRPr="00037966">
        <w:rPr>
          <w:rFonts w:asciiTheme="majorBidi" w:hAnsiTheme="majorBidi" w:cstheme="majorBidi"/>
          <w:sz w:val="18"/>
          <w:szCs w:val="18"/>
        </w:rPr>
        <w:t xml:space="preserve">Extraction of cloned </w:t>
      </w:r>
      <w:r w:rsidR="00037966" w:rsidRPr="00037966">
        <w:rPr>
          <w:rFonts w:asciiTheme="majorBidi" w:hAnsiTheme="majorBidi" w:cstheme="majorBidi"/>
          <w:i/>
          <w:iCs/>
          <w:sz w:val="18"/>
          <w:szCs w:val="18"/>
        </w:rPr>
        <w:t>hva1</w:t>
      </w:r>
      <w:r w:rsidR="00037966" w:rsidRPr="00037966">
        <w:rPr>
          <w:rFonts w:asciiTheme="majorBidi" w:hAnsiTheme="majorBidi" w:cstheme="majorBidi"/>
          <w:sz w:val="18"/>
          <w:szCs w:val="18"/>
        </w:rPr>
        <w:t xml:space="preserve">-pBI121 vectors in </w:t>
      </w:r>
      <w:r w:rsidR="00037966" w:rsidRPr="00037966">
        <w:rPr>
          <w:rFonts w:asciiTheme="majorBidi" w:hAnsiTheme="majorBidi" w:cstheme="majorBidi"/>
          <w:i/>
          <w:iCs/>
          <w:sz w:val="18"/>
          <w:szCs w:val="18"/>
        </w:rPr>
        <w:t>E. coli</w:t>
      </w:r>
      <w:r w:rsidR="00037966" w:rsidRPr="00037966">
        <w:rPr>
          <w:rFonts w:asciiTheme="majorBidi" w:hAnsiTheme="majorBidi" w:cstheme="majorBidi"/>
          <w:sz w:val="18"/>
          <w:szCs w:val="18"/>
        </w:rPr>
        <w:t xml:space="preserve">. The </w:t>
      </w:r>
      <w:r w:rsidR="00037966" w:rsidRPr="00037966">
        <w:rPr>
          <w:rFonts w:asciiTheme="majorBidi" w:hAnsiTheme="majorBidi" w:cstheme="majorBidi"/>
          <w:i/>
          <w:iCs/>
          <w:sz w:val="18"/>
          <w:szCs w:val="18"/>
        </w:rPr>
        <w:t>hva1</w:t>
      </w:r>
      <w:r w:rsidR="00037966" w:rsidRPr="00037966">
        <w:rPr>
          <w:rFonts w:asciiTheme="majorBidi" w:hAnsiTheme="majorBidi" w:cstheme="majorBidi"/>
          <w:sz w:val="18"/>
          <w:szCs w:val="18"/>
        </w:rPr>
        <w:t xml:space="preserve">-pBI121 vector was cloned in </w:t>
      </w:r>
      <w:r w:rsidR="00037966" w:rsidRPr="00037966">
        <w:rPr>
          <w:rFonts w:asciiTheme="majorBidi" w:hAnsiTheme="majorBidi" w:cstheme="majorBidi"/>
          <w:i/>
          <w:iCs/>
          <w:sz w:val="18"/>
          <w:szCs w:val="18"/>
        </w:rPr>
        <w:t>E. coli</w:t>
      </w:r>
      <w:r w:rsidR="00037966" w:rsidRPr="00037966">
        <w:rPr>
          <w:rFonts w:asciiTheme="majorBidi" w:hAnsiTheme="majorBidi" w:cstheme="majorBidi"/>
          <w:sz w:val="18"/>
          <w:szCs w:val="18"/>
        </w:rPr>
        <w:t xml:space="preserve"> after introducing it to the </w:t>
      </w:r>
      <w:r w:rsidR="00037966" w:rsidRPr="00037966">
        <w:rPr>
          <w:rFonts w:asciiTheme="majorBidi" w:hAnsiTheme="majorBidi" w:cstheme="majorBidi"/>
          <w:i/>
          <w:iCs/>
          <w:sz w:val="18"/>
          <w:szCs w:val="18"/>
        </w:rPr>
        <w:t>Agrobacterium tumefaciens</w:t>
      </w:r>
      <w:r w:rsidR="00037966" w:rsidRPr="00037966">
        <w:rPr>
          <w:rFonts w:asciiTheme="majorBidi" w:hAnsiTheme="majorBidi" w:cstheme="majorBidi"/>
          <w:sz w:val="18"/>
          <w:szCs w:val="18"/>
        </w:rPr>
        <w:t xml:space="preserve"> C58. From right,</w:t>
      </w:r>
      <w:r w:rsidR="00037966" w:rsidRPr="00037966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r w:rsidR="00037966" w:rsidRPr="00037966">
        <w:rPr>
          <w:rFonts w:asciiTheme="majorBidi" w:hAnsiTheme="majorBidi" w:cstheme="majorBidi"/>
          <w:sz w:val="18"/>
          <w:szCs w:val="18"/>
        </w:rPr>
        <w:t xml:space="preserve">1000bp DNA ladder, the control (E. coli with no hva1-pBI121 vector) and the binary vector </w:t>
      </w:r>
      <w:r w:rsidR="00037966" w:rsidRPr="00037966">
        <w:rPr>
          <w:rFonts w:asciiTheme="majorBidi" w:hAnsiTheme="majorBidi" w:cstheme="majorBidi"/>
          <w:i/>
          <w:iCs/>
          <w:sz w:val="18"/>
          <w:szCs w:val="18"/>
        </w:rPr>
        <w:t>hva1</w:t>
      </w:r>
      <w:r w:rsidR="00037966" w:rsidRPr="00037966">
        <w:rPr>
          <w:rFonts w:asciiTheme="majorBidi" w:hAnsiTheme="majorBidi" w:cstheme="majorBidi"/>
          <w:sz w:val="18"/>
          <w:szCs w:val="18"/>
        </w:rPr>
        <w:t xml:space="preserve">-pBI121 was cloned by </w:t>
      </w:r>
      <w:r w:rsidR="00037966" w:rsidRPr="00037966">
        <w:rPr>
          <w:rFonts w:asciiTheme="majorBidi" w:hAnsiTheme="majorBidi" w:cstheme="majorBidi"/>
          <w:i/>
          <w:iCs/>
          <w:sz w:val="18"/>
          <w:szCs w:val="18"/>
        </w:rPr>
        <w:t>E. coli</w:t>
      </w:r>
      <w:r w:rsidR="00037966" w:rsidRPr="00037966">
        <w:rPr>
          <w:rFonts w:asciiTheme="majorBidi" w:hAnsiTheme="majorBidi" w:cstheme="majorBidi"/>
          <w:sz w:val="18"/>
          <w:szCs w:val="18"/>
        </w:rPr>
        <w:t xml:space="preserve"> in three replicates.</w:t>
      </w:r>
    </w:p>
    <w:p w14:paraId="26F5FD46" w14:textId="77777777" w:rsidR="00E93267" w:rsidRDefault="00E93267" w:rsidP="0041038F"/>
    <w:p w14:paraId="460223A5" w14:textId="77777777" w:rsidR="00037966" w:rsidRDefault="00625651" w:rsidP="00AC26EE">
      <w:pPr>
        <w:jc w:val="center"/>
      </w:pPr>
      <w:r>
        <w:rPr>
          <w:noProof/>
        </w:rPr>
        <w:lastRenderedPageBreak/>
        <w:drawing>
          <wp:inline distT="0" distB="0" distL="0" distR="0" wp14:anchorId="47A793B7" wp14:editId="02DABDF5">
            <wp:extent cx="4889500" cy="346900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46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1E5A24" w14:textId="77777777" w:rsidR="00037966" w:rsidRDefault="00037966" w:rsidP="0041038F"/>
    <w:p w14:paraId="3674F1D1" w14:textId="77777777" w:rsidR="00625651" w:rsidRPr="00682EB0" w:rsidRDefault="00625651" w:rsidP="00FB6E2F">
      <w:pPr>
        <w:jc w:val="both"/>
        <w:rPr>
          <w:rFonts w:asciiTheme="majorBidi" w:hAnsiTheme="majorBidi" w:cstheme="majorBidi"/>
          <w:sz w:val="18"/>
          <w:szCs w:val="18"/>
        </w:rPr>
      </w:pPr>
      <w:r w:rsidRPr="00682EB0">
        <w:rPr>
          <w:rFonts w:asciiTheme="majorBidi" w:hAnsiTheme="majorBidi" w:cstheme="majorBidi"/>
          <w:b/>
          <w:bCs/>
          <w:sz w:val="18"/>
          <w:szCs w:val="18"/>
        </w:rPr>
        <w:t>Fig;</w:t>
      </w:r>
      <w:r w:rsidRPr="00682EB0">
        <w:rPr>
          <w:rFonts w:asciiTheme="majorBidi" w:hAnsiTheme="majorBidi" w:cstheme="majorBidi"/>
          <w:sz w:val="18"/>
          <w:szCs w:val="18"/>
        </w:rPr>
        <w:t xml:space="preserve"> PCR analysis of DNA using the specific primers to detect the presence of the </w:t>
      </w:r>
      <w:r w:rsidRPr="00682EB0">
        <w:rPr>
          <w:rFonts w:asciiTheme="majorBidi" w:hAnsiTheme="majorBidi" w:cstheme="majorBidi"/>
          <w:i/>
          <w:iCs/>
          <w:sz w:val="18"/>
          <w:szCs w:val="18"/>
        </w:rPr>
        <w:t>hva1</w:t>
      </w:r>
      <w:r w:rsidRPr="00682EB0">
        <w:rPr>
          <w:rFonts w:asciiTheme="majorBidi" w:hAnsiTheme="majorBidi" w:cstheme="majorBidi"/>
          <w:sz w:val="18"/>
          <w:szCs w:val="18"/>
        </w:rPr>
        <w:t xml:space="preserve"> in the transgenic potatoes transformed by </w:t>
      </w:r>
      <w:r w:rsidRPr="00682EB0">
        <w:rPr>
          <w:rFonts w:asciiTheme="majorBidi" w:hAnsiTheme="majorBidi" w:cstheme="majorBidi"/>
          <w:i/>
          <w:iCs/>
          <w:sz w:val="18"/>
          <w:szCs w:val="18"/>
        </w:rPr>
        <w:t>hva1</w:t>
      </w:r>
      <w:r w:rsidRPr="00682EB0">
        <w:rPr>
          <w:rFonts w:asciiTheme="majorBidi" w:hAnsiTheme="majorBidi" w:cstheme="majorBidi"/>
          <w:sz w:val="18"/>
          <w:szCs w:val="18"/>
        </w:rPr>
        <w:t xml:space="preserve">-pBI121 showing the correct expected band sizes. </w:t>
      </w:r>
      <w:r w:rsidR="00FB6E2F" w:rsidRPr="00682EB0">
        <w:rPr>
          <w:rFonts w:asciiTheme="majorBidi" w:hAnsiTheme="majorBidi" w:cstheme="majorBidi"/>
          <w:sz w:val="18"/>
          <w:szCs w:val="18"/>
        </w:rPr>
        <w:t xml:space="preserve">From left, 1kbp DNA ladder marker, </w:t>
      </w:r>
      <w:r w:rsidRPr="00682EB0">
        <w:rPr>
          <w:rFonts w:asciiTheme="majorBidi" w:hAnsiTheme="majorBidi" w:cstheme="majorBidi"/>
          <w:sz w:val="18"/>
          <w:szCs w:val="18"/>
        </w:rPr>
        <w:t xml:space="preserve">the </w:t>
      </w:r>
      <w:r w:rsidRPr="00682EB0">
        <w:rPr>
          <w:rFonts w:asciiTheme="majorBidi" w:hAnsiTheme="majorBidi" w:cstheme="majorBidi"/>
          <w:i/>
          <w:iCs/>
          <w:sz w:val="18"/>
          <w:szCs w:val="18"/>
        </w:rPr>
        <w:t>hva1</w:t>
      </w:r>
      <w:r w:rsidR="00FB6E2F" w:rsidRPr="00682EB0">
        <w:rPr>
          <w:rFonts w:asciiTheme="majorBidi" w:hAnsiTheme="majorBidi" w:cstheme="majorBidi"/>
          <w:sz w:val="18"/>
          <w:szCs w:val="18"/>
        </w:rPr>
        <w:t>-pBI121 positive control, transgenic plants from 10 independent samples and finally</w:t>
      </w:r>
      <w:r w:rsidRPr="00682EB0">
        <w:rPr>
          <w:rFonts w:asciiTheme="majorBidi" w:hAnsiTheme="majorBidi" w:cstheme="majorBidi"/>
          <w:sz w:val="18"/>
          <w:szCs w:val="18"/>
        </w:rPr>
        <w:t xml:space="preserve"> non-transformed control potato.</w:t>
      </w:r>
    </w:p>
    <w:p w14:paraId="3F6DB77E" w14:textId="77777777" w:rsidR="00037966" w:rsidRDefault="00037966" w:rsidP="0041038F">
      <w:pPr>
        <w:rPr>
          <w:rFonts w:asciiTheme="majorBidi" w:hAnsiTheme="majorBidi" w:cstheme="majorBidi"/>
          <w:sz w:val="18"/>
          <w:szCs w:val="18"/>
        </w:rPr>
      </w:pPr>
    </w:p>
    <w:p w14:paraId="6F252B12" w14:textId="77777777" w:rsidR="000A690F" w:rsidRDefault="000A690F" w:rsidP="0041038F">
      <w:pPr>
        <w:rPr>
          <w:rFonts w:asciiTheme="majorBidi" w:hAnsiTheme="majorBidi" w:cstheme="majorBidi"/>
          <w:sz w:val="18"/>
          <w:szCs w:val="18"/>
        </w:rPr>
      </w:pPr>
    </w:p>
    <w:p w14:paraId="7FF24A9F" w14:textId="77777777" w:rsidR="000A690F" w:rsidRDefault="000A690F" w:rsidP="0041038F">
      <w:pPr>
        <w:rPr>
          <w:rFonts w:asciiTheme="majorBidi" w:hAnsiTheme="majorBidi" w:cstheme="majorBidi"/>
          <w:sz w:val="18"/>
          <w:szCs w:val="18"/>
        </w:rPr>
      </w:pPr>
    </w:p>
    <w:p w14:paraId="0D25A3FC" w14:textId="2F4CE31B" w:rsidR="000A690F" w:rsidRPr="00682EB0" w:rsidRDefault="0090344B" w:rsidP="000A690F">
      <w:pPr>
        <w:jc w:val="center"/>
        <w:rPr>
          <w:rFonts w:asciiTheme="majorBidi" w:hAnsiTheme="majorBidi" w:cstheme="majorBidi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4FB5A5E" wp14:editId="5BADA2D6">
            <wp:extent cx="5943600" cy="44665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0B583" w14:textId="77777777" w:rsidR="00037966" w:rsidRDefault="00037966" w:rsidP="0041038F"/>
    <w:p w14:paraId="341060EC" w14:textId="77777777" w:rsidR="000A690F" w:rsidRPr="00682EB0" w:rsidRDefault="000A690F" w:rsidP="000A690F">
      <w:pPr>
        <w:jc w:val="both"/>
        <w:rPr>
          <w:rFonts w:asciiTheme="majorBidi" w:hAnsiTheme="majorBidi" w:cstheme="majorBidi"/>
          <w:sz w:val="18"/>
          <w:szCs w:val="18"/>
        </w:rPr>
      </w:pPr>
      <w:r w:rsidRPr="00682EB0">
        <w:rPr>
          <w:rFonts w:asciiTheme="majorBidi" w:hAnsiTheme="majorBidi" w:cstheme="majorBidi"/>
          <w:b/>
          <w:bCs/>
          <w:sz w:val="18"/>
          <w:szCs w:val="18"/>
        </w:rPr>
        <w:t>Fig;</w:t>
      </w:r>
      <w:r w:rsidRPr="00682EB0">
        <w:rPr>
          <w:rFonts w:asciiTheme="majorBidi" w:hAnsiTheme="majorBidi" w:cstheme="majorBidi"/>
          <w:sz w:val="18"/>
          <w:szCs w:val="18"/>
        </w:rPr>
        <w:t xml:space="preserve"> PCR analysis of DNA using the specific pr</w:t>
      </w:r>
      <w:r>
        <w:rPr>
          <w:rFonts w:asciiTheme="majorBidi" w:hAnsiTheme="majorBidi" w:cstheme="majorBidi"/>
          <w:sz w:val="18"/>
          <w:szCs w:val="18"/>
        </w:rPr>
        <w:t xml:space="preserve">imers to detect the presence of </w:t>
      </w:r>
      <w:proofErr w:type="gramStart"/>
      <w:r w:rsidRPr="000A690F">
        <w:rPr>
          <w:rFonts w:asciiTheme="majorBidi" w:hAnsiTheme="majorBidi" w:cstheme="majorBidi"/>
          <w:i/>
          <w:iCs/>
          <w:sz w:val="18"/>
          <w:szCs w:val="18"/>
        </w:rPr>
        <w:t>EPSPS</w:t>
      </w:r>
      <w:r w:rsidRPr="000A690F">
        <w:rPr>
          <w:rFonts w:asciiTheme="majorBidi" w:hAnsiTheme="majorBidi" w:cstheme="majorBidi"/>
          <w:sz w:val="18"/>
          <w:szCs w:val="18"/>
        </w:rPr>
        <w:t xml:space="preserve">  </w:t>
      </w:r>
      <w:r w:rsidRPr="00682EB0">
        <w:rPr>
          <w:rFonts w:asciiTheme="majorBidi" w:hAnsiTheme="majorBidi" w:cstheme="majorBidi"/>
          <w:sz w:val="18"/>
          <w:szCs w:val="18"/>
        </w:rPr>
        <w:t>in</w:t>
      </w:r>
      <w:proofErr w:type="gramEnd"/>
      <w:r w:rsidRPr="00682EB0">
        <w:rPr>
          <w:rFonts w:asciiTheme="majorBidi" w:hAnsiTheme="majorBidi" w:cstheme="majorBidi"/>
          <w:sz w:val="18"/>
          <w:szCs w:val="18"/>
        </w:rPr>
        <w:t xml:space="preserve"> the transgenic potatoes transformed by </w:t>
      </w:r>
      <w:r w:rsidRPr="00682EB0">
        <w:rPr>
          <w:rFonts w:asciiTheme="majorBidi" w:hAnsiTheme="majorBidi" w:cstheme="majorBidi"/>
          <w:i/>
          <w:iCs/>
          <w:sz w:val="18"/>
          <w:szCs w:val="18"/>
        </w:rPr>
        <w:t>hva1</w:t>
      </w:r>
      <w:r w:rsidRPr="00682EB0">
        <w:rPr>
          <w:rFonts w:asciiTheme="majorBidi" w:hAnsiTheme="majorBidi" w:cstheme="majorBidi"/>
          <w:sz w:val="18"/>
          <w:szCs w:val="18"/>
        </w:rPr>
        <w:t xml:space="preserve">-pBI121 showing the correct expected band sizes. From left, 1kbp DNA ladder marker, </w:t>
      </w:r>
      <w:r w:rsidRPr="000A690F">
        <w:rPr>
          <w:rFonts w:asciiTheme="majorBidi" w:hAnsiTheme="majorBidi" w:cstheme="majorBidi"/>
          <w:sz w:val="18"/>
          <w:szCs w:val="18"/>
        </w:rPr>
        <w:t>non-transformed control potat</w:t>
      </w:r>
      <w:r>
        <w:rPr>
          <w:rFonts w:asciiTheme="majorBidi" w:hAnsiTheme="majorBidi" w:cstheme="majorBidi"/>
          <w:sz w:val="18"/>
          <w:szCs w:val="18"/>
        </w:rPr>
        <w:t>o,</w:t>
      </w:r>
      <w:r w:rsidRPr="000A690F">
        <w:rPr>
          <w:rFonts w:asciiTheme="majorBidi" w:hAnsiTheme="majorBidi" w:cstheme="majorBidi"/>
          <w:sz w:val="18"/>
          <w:szCs w:val="18"/>
        </w:rPr>
        <w:t xml:space="preserve"> </w:t>
      </w:r>
      <w:r w:rsidRPr="00682EB0">
        <w:rPr>
          <w:rFonts w:asciiTheme="majorBidi" w:hAnsiTheme="majorBidi" w:cstheme="majorBidi"/>
          <w:sz w:val="18"/>
          <w:szCs w:val="18"/>
        </w:rPr>
        <w:t xml:space="preserve">the </w:t>
      </w:r>
      <w:r w:rsidRPr="000A690F">
        <w:rPr>
          <w:rFonts w:asciiTheme="majorBidi" w:hAnsiTheme="majorBidi" w:cstheme="majorBidi"/>
          <w:i/>
          <w:iCs/>
          <w:sz w:val="18"/>
          <w:szCs w:val="18"/>
        </w:rPr>
        <w:t xml:space="preserve">EPSPS </w:t>
      </w:r>
      <w:r w:rsidRPr="00682EB0">
        <w:rPr>
          <w:rFonts w:asciiTheme="majorBidi" w:hAnsiTheme="majorBidi" w:cstheme="majorBidi"/>
          <w:sz w:val="18"/>
          <w:szCs w:val="18"/>
        </w:rPr>
        <w:t xml:space="preserve">positive control, transgenic plants from </w:t>
      </w:r>
      <w:r>
        <w:rPr>
          <w:rFonts w:asciiTheme="majorBidi" w:hAnsiTheme="majorBidi" w:cstheme="majorBidi"/>
          <w:sz w:val="18"/>
          <w:szCs w:val="18"/>
        </w:rPr>
        <w:t>5</w:t>
      </w:r>
      <w:r w:rsidRPr="00682EB0">
        <w:rPr>
          <w:rFonts w:asciiTheme="majorBidi" w:hAnsiTheme="majorBidi" w:cstheme="majorBidi"/>
          <w:sz w:val="18"/>
          <w:szCs w:val="18"/>
        </w:rPr>
        <w:t xml:space="preserve"> independent samples.</w:t>
      </w:r>
    </w:p>
    <w:p w14:paraId="63ADA71F" w14:textId="77777777" w:rsidR="00572916" w:rsidRDefault="00572916" w:rsidP="00534E39">
      <w:pPr>
        <w:jc w:val="center"/>
        <w:rPr>
          <w:noProof/>
        </w:rPr>
      </w:pPr>
    </w:p>
    <w:p w14:paraId="7362FACC" w14:textId="79A5AB68" w:rsidR="00037966" w:rsidRDefault="00F44D53" w:rsidP="00534E39">
      <w:pPr>
        <w:jc w:val="center"/>
      </w:pPr>
      <w:r>
        <w:rPr>
          <w:noProof/>
        </w:rPr>
        <w:lastRenderedPageBreak/>
        <w:drawing>
          <wp:inline distT="0" distB="0" distL="0" distR="0" wp14:anchorId="21A7A5A7" wp14:editId="0C0A13C9">
            <wp:extent cx="4780344" cy="4466590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71"/>
                    <a:stretch/>
                  </pic:blipFill>
                  <pic:spPr bwMode="auto">
                    <a:xfrm>
                      <a:off x="0" y="0"/>
                      <a:ext cx="4780344" cy="44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C65BC" w14:textId="77777777" w:rsidR="00037966" w:rsidRDefault="00037966" w:rsidP="0041038F"/>
    <w:p w14:paraId="2317C06E" w14:textId="77777777" w:rsidR="004F3B61" w:rsidRDefault="004F3B61" w:rsidP="00C85E6A">
      <w:pPr>
        <w:spacing w:line="240" w:lineRule="auto"/>
        <w:jc w:val="both"/>
        <w:rPr>
          <w:rFonts w:asciiTheme="majorBidi" w:hAnsiTheme="majorBidi" w:cstheme="majorBidi"/>
          <w:sz w:val="16"/>
          <w:szCs w:val="16"/>
        </w:rPr>
      </w:pPr>
      <w:r>
        <w:rPr>
          <w:rFonts w:asciiTheme="majorBidi" w:hAnsiTheme="majorBidi" w:cstheme="majorBidi"/>
          <w:b/>
          <w:bCs/>
          <w:sz w:val="16"/>
          <w:szCs w:val="16"/>
        </w:rPr>
        <w:t xml:space="preserve">Fig; </w:t>
      </w:r>
      <w:r w:rsidRPr="00AD3828">
        <w:rPr>
          <w:rFonts w:asciiTheme="majorBidi" w:hAnsiTheme="majorBidi" w:cstheme="majorBidi"/>
          <w:sz w:val="16"/>
          <w:szCs w:val="16"/>
        </w:rPr>
        <w:t xml:space="preserve">PCR analysis of the treated samples after one month using the specific primers to detect the presence of the </w:t>
      </w:r>
      <w:proofErr w:type="spellStart"/>
      <w:r w:rsidRPr="00AD3828">
        <w:rPr>
          <w:rFonts w:asciiTheme="majorBidi" w:hAnsiTheme="majorBidi" w:cstheme="majorBidi"/>
          <w:i/>
          <w:iCs/>
          <w:sz w:val="16"/>
          <w:szCs w:val="16"/>
        </w:rPr>
        <w:t>virG</w:t>
      </w:r>
      <w:proofErr w:type="spellEnd"/>
      <w:r w:rsidRPr="00AD3828">
        <w:rPr>
          <w:rFonts w:asciiTheme="majorBidi" w:hAnsiTheme="majorBidi" w:cstheme="majorBidi"/>
          <w:sz w:val="16"/>
          <w:szCs w:val="16"/>
        </w:rPr>
        <w:t xml:space="preserve"> to examine the contamination of the transformed samples with Agrobacterium. </w:t>
      </w:r>
      <w:r w:rsidR="00C85E6A">
        <w:rPr>
          <w:rFonts w:asciiTheme="majorBidi" w:hAnsiTheme="majorBidi" w:cstheme="majorBidi"/>
          <w:sz w:val="16"/>
          <w:szCs w:val="16"/>
        </w:rPr>
        <w:t xml:space="preserve">From left, </w:t>
      </w:r>
      <w:r w:rsidR="00C85E6A" w:rsidRPr="00C85E6A">
        <w:rPr>
          <w:rFonts w:asciiTheme="majorBidi" w:hAnsiTheme="majorBidi" w:cstheme="majorBidi"/>
          <w:sz w:val="16"/>
          <w:szCs w:val="16"/>
        </w:rPr>
        <w:t>1kbp DNA ladder marker</w:t>
      </w:r>
      <w:r w:rsidR="00C85E6A">
        <w:rPr>
          <w:rFonts w:asciiTheme="majorBidi" w:hAnsiTheme="majorBidi" w:cstheme="majorBidi"/>
          <w:sz w:val="16"/>
          <w:szCs w:val="16"/>
        </w:rPr>
        <w:t xml:space="preserve">, </w:t>
      </w:r>
      <w:r w:rsidRPr="00AD3828">
        <w:rPr>
          <w:rFonts w:asciiTheme="majorBidi" w:hAnsiTheme="majorBidi" w:cstheme="majorBidi"/>
          <w:sz w:val="16"/>
          <w:szCs w:val="16"/>
        </w:rPr>
        <w:t>the positive control</w:t>
      </w:r>
      <w:r w:rsidR="00C85E6A">
        <w:rPr>
          <w:rFonts w:asciiTheme="majorBidi" w:hAnsiTheme="majorBidi" w:cstheme="majorBidi"/>
          <w:sz w:val="16"/>
          <w:szCs w:val="16"/>
        </w:rPr>
        <w:t>,</w:t>
      </w:r>
      <w:r w:rsidR="00C85E6A" w:rsidRPr="00C85E6A">
        <w:rPr>
          <w:rFonts w:asciiTheme="majorBidi" w:hAnsiTheme="majorBidi" w:cstheme="majorBidi"/>
          <w:sz w:val="16"/>
          <w:szCs w:val="16"/>
        </w:rPr>
        <w:t xml:space="preserve"> transgenic plants from</w:t>
      </w:r>
      <w:r w:rsidR="00C85E6A">
        <w:rPr>
          <w:rFonts w:asciiTheme="majorBidi" w:hAnsiTheme="majorBidi" w:cstheme="majorBidi"/>
          <w:sz w:val="16"/>
          <w:szCs w:val="16"/>
        </w:rPr>
        <w:t xml:space="preserve"> two</w:t>
      </w:r>
      <w:r w:rsidR="00C85E6A" w:rsidRPr="00C85E6A">
        <w:rPr>
          <w:rFonts w:asciiTheme="majorBidi" w:hAnsiTheme="majorBidi" w:cstheme="majorBidi"/>
          <w:sz w:val="16"/>
          <w:szCs w:val="16"/>
        </w:rPr>
        <w:t xml:space="preserve"> independent samples</w:t>
      </w:r>
      <w:r w:rsidR="00C85E6A">
        <w:rPr>
          <w:rFonts w:asciiTheme="majorBidi" w:hAnsiTheme="majorBidi" w:cstheme="majorBidi"/>
          <w:sz w:val="16"/>
          <w:szCs w:val="16"/>
        </w:rPr>
        <w:t xml:space="preserve"> and </w:t>
      </w:r>
      <w:r w:rsidRPr="00AD3828">
        <w:rPr>
          <w:rFonts w:asciiTheme="majorBidi" w:hAnsiTheme="majorBidi" w:cstheme="majorBidi"/>
          <w:sz w:val="16"/>
          <w:szCs w:val="16"/>
        </w:rPr>
        <w:t>the negative</w:t>
      </w:r>
      <w:r w:rsidR="00C85E6A">
        <w:rPr>
          <w:rFonts w:asciiTheme="majorBidi" w:hAnsiTheme="majorBidi" w:cstheme="majorBidi"/>
          <w:sz w:val="16"/>
          <w:szCs w:val="16"/>
        </w:rPr>
        <w:t xml:space="preserve"> control replicates</w:t>
      </w:r>
      <w:r w:rsidRPr="00AD3828">
        <w:rPr>
          <w:rFonts w:asciiTheme="majorBidi" w:hAnsiTheme="majorBidi" w:cstheme="majorBidi"/>
          <w:sz w:val="16"/>
          <w:szCs w:val="16"/>
        </w:rPr>
        <w:t>.</w:t>
      </w:r>
    </w:p>
    <w:p w14:paraId="613DFB59" w14:textId="77777777" w:rsidR="007E3A3D" w:rsidRDefault="007E3A3D" w:rsidP="00C85E6A">
      <w:pPr>
        <w:spacing w:line="240" w:lineRule="auto"/>
        <w:jc w:val="both"/>
        <w:rPr>
          <w:rFonts w:asciiTheme="majorBidi" w:hAnsiTheme="majorBidi" w:cstheme="majorBidi"/>
          <w:sz w:val="16"/>
          <w:szCs w:val="16"/>
        </w:rPr>
      </w:pPr>
    </w:p>
    <w:p w14:paraId="21E078CC" w14:textId="77777777" w:rsidR="007E3A3D" w:rsidRDefault="007E3A3D" w:rsidP="00C85E6A">
      <w:pPr>
        <w:spacing w:line="240" w:lineRule="auto"/>
        <w:jc w:val="both"/>
        <w:rPr>
          <w:rFonts w:asciiTheme="majorBidi" w:hAnsiTheme="majorBidi" w:cstheme="majorBidi"/>
          <w:sz w:val="16"/>
          <w:szCs w:val="16"/>
        </w:rPr>
      </w:pPr>
    </w:p>
    <w:p w14:paraId="3B87006D" w14:textId="77777777" w:rsidR="007E3A3D" w:rsidRPr="00AD3828" w:rsidRDefault="007E3A3D" w:rsidP="007E3A3D">
      <w:pPr>
        <w:spacing w:line="240" w:lineRule="auto"/>
        <w:jc w:val="center"/>
        <w:rPr>
          <w:rFonts w:asciiTheme="majorBidi" w:hAnsiTheme="majorBidi" w:cstheme="majorBidi"/>
          <w:sz w:val="16"/>
          <w:szCs w:val="16"/>
        </w:rPr>
      </w:pPr>
      <w:r w:rsidRPr="007E3A3D">
        <w:rPr>
          <w:rFonts w:asciiTheme="majorBidi" w:hAnsiTheme="majorBidi" w:cstheme="majorBidi"/>
          <w:noProof/>
          <w:sz w:val="16"/>
          <w:szCs w:val="16"/>
        </w:rPr>
        <w:lastRenderedPageBreak/>
        <w:drawing>
          <wp:inline distT="0" distB="0" distL="0" distR="0" wp14:anchorId="3FF1A395" wp14:editId="341D65CB">
            <wp:extent cx="3258185" cy="3133090"/>
            <wp:effectExtent l="0" t="0" r="0" b="0"/>
            <wp:docPr id="6" name="Picture 6" descr="C:\Users\Behzad\Desktop\عکس ساپلمنتاری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hzad\Desktop\عکس ساپلمنتاری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83907" w14:textId="77777777" w:rsidR="00037966" w:rsidRDefault="00037966" w:rsidP="0041038F"/>
    <w:p w14:paraId="33209CCF" w14:textId="77777777" w:rsidR="007E3A3D" w:rsidRPr="00AC26EE" w:rsidRDefault="007E3A3D" w:rsidP="007E3A3D">
      <w:pPr>
        <w:spacing w:line="240" w:lineRule="auto"/>
        <w:jc w:val="both"/>
        <w:rPr>
          <w:rFonts w:asciiTheme="majorBidi" w:hAnsiTheme="majorBidi" w:cstheme="majorBidi"/>
          <w:sz w:val="18"/>
          <w:szCs w:val="18"/>
        </w:rPr>
      </w:pPr>
      <w:r w:rsidRPr="00AC26EE">
        <w:rPr>
          <w:rFonts w:asciiTheme="majorBidi" w:hAnsiTheme="majorBidi" w:cstheme="majorBidi"/>
          <w:b/>
          <w:bCs/>
          <w:sz w:val="18"/>
          <w:szCs w:val="18"/>
        </w:rPr>
        <w:t>Fig;</w:t>
      </w:r>
      <w:r w:rsidRPr="00AC26EE">
        <w:rPr>
          <w:rFonts w:asciiTheme="majorBidi" w:hAnsiTheme="majorBidi" w:cstheme="majorBidi"/>
          <w:sz w:val="18"/>
          <w:szCs w:val="18"/>
        </w:rPr>
        <w:t xml:space="preserve"> </w:t>
      </w:r>
      <w:r w:rsidR="00AC26EE" w:rsidRPr="00AC26EE">
        <w:rPr>
          <w:rFonts w:asciiTheme="majorBidi" w:hAnsiTheme="majorBidi" w:cstheme="majorBidi"/>
          <w:sz w:val="18"/>
          <w:szCs w:val="18"/>
        </w:rPr>
        <w:t>the</w:t>
      </w:r>
      <w:r w:rsidRPr="00AC26EE">
        <w:rPr>
          <w:rFonts w:asciiTheme="majorBidi" w:hAnsiTheme="majorBidi" w:cstheme="majorBidi"/>
          <w:sz w:val="18"/>
          <w:szCs w:val="18"/>
        </w:rPr>
        <w:t xml:space="preserve"> PCR reaction product of the </w:t>
      </w:r>
      <w:r w:rsidRPr="00AC26EE">
        <w:rPr>
          <w:rFonts w:asciiTheme="majorBidi" w:hAnsiTheme="majorBidi" w:cstheme="majorBidi"/>
          <w:i/>
          <w:iCs/>
          <w:sz w:val="18"/>
          <w:szCs w:val="18"/>
        </w:rPr>
        <w:t>hva1</w:t>
      </w:r>
      <w:r w:rsidRPr="00AC26EE">
        <w:rPr>
          <w:rFonts w:asciiTheme="majorBidi" w:hAnsiTheme="majorBidi" w:cstheme="majorBidi"/>
          <w:sz w:val="18"/>
          <w:szCs w:val="18"/>
        </w:rPr>
        <w:t xml:space="preserve"> genes in PCR-positive potato lines with the gene specific primer. From left, 1 kb DNA size marker, PCR product from the full-length </w:t>
      </w:r>
      <w:r w:rsidRPr="00AC26EE">
        <w:rPr>
          <w:rFonts w:asciiTheme="majorBidi" w:hAnsiTheme="majorBidi" w:cstheme="majorBidi"/>
          <w:i/>
          <w:iCs/>
          <w:sz w:val="18"/>
          <w:szCs w:val="18"/>
        </w:rPr>
        <w:t>hva1</w:t>
      </w:r>
      <w:r w:rsidRPr="00AC26EE">
        <w:rPr>
          <w:rFonts w:asciiTheme="majorBidi" w:hAnsiTheme="majorBidi" w:cstheme="majorBidi"/>
          <w:sz w:val="18"/>
          <w:szCs w:val="18"/>
        </w:rPr>
        <w:t xml:space="preserve"> sequence as a positive control, the PCR products from the produced cDNA from extracted RNA of three independent transgenic samples, and PCR product from the non-transformed potato (a negative control).</w:t>
      </w:r>
    </w:p>
    <w:p w14:paraId="052C6DD2" w14:textId="77777777" w:rsidR="00037966" w:rsidRPr="00AC26EE" w:rsidRDefault="00037966" w:rsidP="0041038F">
      <w:pPr>
        <w:rPr>
          <w:sz w:val="24"/>
          <w:szCs w:val="24"/>
        </w:rPr>
      </w:pPr>
    </w:p>
    <w:sectPr w:rsidR="00037966" w:rsidRPr="00AC26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AFCB03" w14:textId="77777777" w:rsidR="00B80090" w:rsidRDefault="00B80090" w:rsidP="00037966">
      <w:pPr>
        <w:spacing w:after="0" w:line="240" w:lineRule="auto"/>
      </w:pPr>
      <w:r>
        <w:separator/>
      </w:r>
    </w:p>
  </w:endnote>
  <w:endnote w:type="continuationSeparator" w:id="0">
    <w:p w14:paraId="27FFC286" w14:textId="77777777" w:rsidR="00B80090" w:rsidRDefault="00B80090" w:rsidP="00037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DF53C3" w14:textId="77777777" w:rsidR="00B80090" w:rsidRDefault="00B80090" w:rsidP="00037966">
      <w:pPr>
        <w:spacing w:after="0" w:line="240" w:lineRule="auto"/>
      </w:pPr>
      <w:r>
        <w:separator/>
      </w:r>
    </w:p>
  </w:footnote>
  <w:footnote w:type="continuationSeparator" w:id="0">
    <w:p w14:paraId="40A93AA7" w14:textId="77777777" w:rsidR="00B80090" w:rsidRDefault="00B80090" w:rsidP="000379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5B5"/>
    <w:rsid w:val="00037966"/>
    <w:rsid w:val="0008559C"/>
    <w:rsid w:val="000A690F"/>
    <w:rsid w:val="001665B5"/>
    <w:rsid w:val="0041038F"/>
    <w:rsid w:val="00483AD0"/>
    <w:rsid w:val="004F3B61"/>
    <w:rsid w:val="00534E39"/>
    <w:rsid w:val="00572916"/>
    <w:rsid w:val="00625651"/>
    <w:rsid w:val="00682EB0"/>
    <w:rsid w:val="007773EF"/>
    <w:rsid w:val="007E3A3D"/>
    <w:rsid w:val="00873FFD"/>
    <w:rsid w:val="0090344B"/>
    <w:rsid w:val="00982EB1"/>
    <w:rsid w:val="00A24DA0"/>
    <w:rsid w:val="00AC26EE"/>
    <w:rsid w:val="00B80090"/>
    <w:rsid w:val="00C85E6A"/>
    <w:rsid w:val="00DE2097"/>
    <w:rsid w:val="00E93267"/>
    <w:rsid w:val="00F44D53"/>
    <w:rsid w:val="00FB6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3AE37CD7"/>
  <w15:chartTrackingRefBased/>
  <w15:docId w15:val="{5F870B2D-39C6-4A83-B9E2-53DDE38D9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69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79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7966"/>
  </w:style>
  <w:style w:type="paragraph" w:styleId="Footer">
    <w:name w:val="footer"/>
    <w:basedOn w:val="Normal"/>
    <w:link w:val="FooterChar"/>
    <w:uiPriority w:val="99"/>
    <w:unhideWhenUsed/>
    <w:rsid w:val="000379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79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64AEA-E91B-4C02-87CA-F92DAB2A8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Behzad</dc:creator>
  <cp:keywords/>
  <dc:description/>
  <cp:lastModifiedBy>Home</cp:lastModifiedBy>
  <cp:revision>5</cp:revision>
  <dcterms:created xsi:type="dcterms:W3CDTF">2021-08-29T08:28:00Z</dcterms:created>
  <dcterms:modified xsi:type="dcterms:W3CDTF">2021-09-01T14:58:00Z</dcterms:modified>
</cp:coreProperties>
</file>