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9BF" w:rsidRDefault="00C00B8E">
      <w:pPr>
        <w:pStyle w:val="1"/>
        <w:ind w:left="113"/>
        <w:rPr>
          <w:spacing w:val="-1"/>
        </w:rPr>
      </w:pPr>
      <w:r w:rsidRPr="00C00B8E">
        <w:rPr>
          <w:spacing w:val="-1"/>
        </w:rPr>
        <w:t>Supplementary</w:t>
      </w:r>
    </w:p>
    <w:p w:rsidR="00C00B8E" w:rsidRDefault="00C00B8E">
      <w:pPr>
        <w:pStyle w:val="1"/>
        <w:ind w:left="113"/>
        <w:rPr>
          <w:b w:val="0"/>
          <w:bCs w:val="0"/>
        </w:rPr>
      </w:pPr>
    </w:p>
    <w:p w:rsidR="00FD0F16" w:rsidRPr="00FD0F16" w:rsidRDefault="00FD0F16" w:rsidP="00B02A95">
      <w:pPr>
        <w:spacing w:before="101"/>
        <w:ind w:left="113"/>
        <w:rPr>
          <w:rFonts w:ascii="Times New Roman"/>
          <w:spacing w:val="-9"/>
          <w:sz w:val="20"/>
          <w:szCs w:val="20"/>
        </w:rPr>
      </w:pPr>
      <w:r w:rsidRPr="00FD0F16">
        <w:rPr>
          <w:rFonts w:ascii="Times New Roman"/>
          <w:b/>
          <w:spacing w:val="-9"/>
          <w:sz w:val="20"/>
        </w:rPr>
        <w:t>Figure S1</w:t>
      </w:r>
      <w:r w:rsidRPr="00FD0F16">
        <w:rPr>
          <w:rFonts w:ascii="Times New Roman"/>
          <w:spacing w:val="-9"/>
          <w:sz w:val="20"/>
        </w:rPr>
        <w:t xml:space="preserve"> shows the relation betwee</w:t>
      </w:r>
      <w:r w:rsidRPr="00FD0F16">
        <w:rPr>
          <w:rFonts w:ascii="Times New Roman"/>
          <w:spacing w:val="-9"/>
          <w:sz w:val="20"/>
          <w:szCs w:val="20"/>
        </w:rPr>
        <w:t xml:space="preserve">n the </w:t>
      </w:r>
      <w:r w:rsidRPr="00FD0F16">
        <w:rPr>
          <w:rFonts w:ascii="Times New Roman" w:hAnsi="Times New Roman"/>
          <w:sz w:val="20"/>
          <w:szCs w:val="20"/>
        </w:rPr>
        <w:t xml:space="preserve">estimated tensile modulus, </w:t>
      </w:r>
      <w:r w:rsidRPr="00FD0F16">
        <w:rPr>
          <w:rFonts w:ascii="Times New Roman" w:hAnsi="Times New Roman"/>
          <w:i/>
          <w:sz w:val="20"/>
          <w:szCs w:val="20"/>
        </w:rPr>
        <w:t>E</w:t>
      </w:r>
      <w:r w:rsidRPr="00FD0F16">
        <w:rPr>
          <w:rFonts w:ascii="Times New Roman" w:hAnsi="Times New Roman"/>
          <w:i/>
          <w:sz w:val="20"/>
          <w:szCs w:val="20"/>
          <w:vertAlign w:val="subscript"/>
        </w:rPr>
        <w:t>cal</w:t>
      </w:r>
      <w:r w:rsidRPr="00FD0F16">
        <w:rPr>
          <w:rFonts w:ascii="Times New Roman" w:hAnsi="Times New Roman"/>
          <w:sz w:val="20"/>
          <w:szCs w:val="20"/>
        </w:rPr>
        <w:t xml:space="preserve">, and secondary tensile modulus, </w:t>
      </w:r>
      <w:r w:rsidRPr="00FD0F16">
        <w:rPr>
          <w:rFonts w:ascii="Times New Roman" w:hAnsi="Times New Roman"/>
          <w:i/>
          <w:sz w:val="20"/>
          <w:szCs w:val="20"/>
        </w:rPr>
        <w:t>E</w:t>
      </w:r>
      <w:r w:rsidRPr="00FD0F16">
        <w:rPr>
          <w:rFonts w:ascii="Times New Roman" w:hAnsi="Times New Roman"/>
          <w:i/>
          <w:sz w:val="20"/>
          <w:szCs w:val="20"/>
          <w:vertAlign w:val="superscript"/>
        </w:rPr>
        <w:t>*</w:t>
      </w:r>
      <w:r w:rsidRPr="00FD0F16">
        <w:rPr>
          <w:rFonts w:ascii="Times New Roman" w:hAnsi="Times New Roman"/>
          <w:i/>
          <w:sz w:val="20"/>
          <w:szCs w:val="20"/>
          <w:vertAlign w:val="subscript"/>
        </w:rPr>
        <w:t>cal</w:t>
      </w:r>
      <w:r w:rsidRPr="00FD0F16">
        <w:rPr>
          <w:rFonts w:ascii="Times New Roman" w:hAnsi="Times New Roman"/>
          <w:sz w:val="20"/>
          <w:szCs w:val="20"/>
        </w:rPr>
        <w:t>, of the HFRP specimens with the hybrid ratio (</w:t>
      </w:r>
      <w:r w:rsidRPr="00FD0F16">
        <w:rPr>
          <w:rFonts w:ascii="Symbol" w:hAnsi="Symbol"/>
          <w:i/>
          <w:sz w:val="20"/>
          <w:szCs w:val="20"/>
        </w:rPr>
        <w:t></w:t>
      </w:r>
      <w:r w:rsidRPr="00FD0F16">
        <w:rPr>
          <w:rFonts w:ascii="Times New Roman" w:hAnsi="Times New Roman"/>
          <w:sz w:val="20"/>
          <w:szCs w:val="20"/>
        </w:rPr>
        <w:t xml:space="preserve"> = </w:t>
      </w:r>
      <w:r w:rsidRPr="00FD0F16">
        <w:rPr>
          <w:rFonts w:ascii="Times New Roman" w:hAnsi="Times New Roman"/>
          <w:i/>
          <w:sz w:val="20"/>
          <w:szCs w:val="20"/>
        </w:rPr>
        <w:t>V</w:t>
      </w:r>
      <w:r w:rsidRPr="00FD0F16">
        <w:rPr>
          <w:rFonts w:ascii="Times New Roman" w:hAnsi="Times New Roman"/>
          <w:i/>
          <w:sz w:val="20"/>
          <w:szCs w:val="20"/>
          <w:vertAlign w:val="subscript"/>
        </w:rPr>
        <w:t>F</w:t>
      </w:r>
      <w:r w:rsidRPr="00FD0F16">
        <w:rPr>
          <w:rFonts w:ascii="Times New Roman" w:hAnsi="Times New Roman"/>
          <w:sz w:val="20"/>
          <w:szCs w:val="20"/>
          <w:vertAlign w:val="subscript"/>
        </w:rPr>
        <w:t>(</w:t>
      </w:r>
      <w:r w:rsidRPr="00FD0F16">
        <w:rPr>
          <w:rFonts w:ascii="Times New Roman" w:hAnsi="Times New Roman"/>
          <w:i/>
          <w:sz w:val="20"/>
          <w:szCs w:val="20"/>
          <w:vertAlign w:val="subscript"/>
        </w:rPr>
        <w:t>E-glass</w:t>
      </w:r>
      <w:r w:rsidRPr="00FD0F16">
        <w:rPr>
          <w:rFonts w:ascii="Times New Roman" w:hAnsi="Times New Roman"/>
          <w:sz w:val="20"/>
          <w:szCs w:val="20"/>
          <w:vertAlign w:val="subscript"/>
        </w:rPr>
        <w:t>)</w:t>
      </w:r>
      <w:r w:rsidRPr="00FD0F16">
        <w:rPr>
          <w:rFonts w:ascii="Times New Roman" w:hAnsi="Times New Roman"/>
          <w:sz w:val="20"/>
          <w:szCs w:val="20"/>
        </w:rPr>
        <w:t>/(</w:t>
      </w:r>
      <w:r w:rsidRPr="00FD0F16">
        <w:rPr>
          <w:rFonts w:ascii="Times New Roman" w:hAnsi="Times New Roman"/>
          <w:i/>
          <w:sz w:val="20"/>
          <w:szCs w:val="20"/>
        </w:rPr>
        <w:t>V</w:t>
      </w:r>
      <w:r w:rsidRPr="00FD0F16">
        <w:rPr>
          <w:rFonts w:ascii="Times New Roman" w:hAnsi="Times New Roman"/>
          <w:i/>
          <w:sz w:val="20"/>
          <w:szCs w:val="20"/>
          <w:vertAlign w:val="subscript"/>
        </w:rPr>
        <w:t>F</w:t>
      </w:r>
      <w:r w:rsidRPr="00FD0F16">
        <w:rPr>
          <w:rFonts w:ascii="Times New Roman" w:hAnsi="Times New Roman"/>
          <w:sz w:val="20"/>
          <w:szCs w:val="20"/>
          <w:vertAlign w:val="subscript"/>
        </w:rPr>
        <w:t>(</w:t>
      </w:r>
      <w:r w:rsidRPr="00FD0F16">
        <w:rPr>
          <w:rFonts w:ascii="Times New Roman" w:hAnsi="Times New Roman"/>
          <w:i/>
          <w:sz w:val="20"/>
          <w:szCs w:val="20"/>
          <w:vertAlign w:val="subscript"/>
        </w:rPr>
        <w:t>IMS60</w:t>
      </w:r>
      <w:r w:rsidRPr="00FD0F16">
        <w:rPr>
          <w:rFonts w:ascii="Times New Roman" w:hAnsi="Times New Roman"/>
          <w:sz w:val="20"/>
          <w:szCs w:val="20"/>
          <w:vertAlign w:val="subscript"/>
        </w:rPr>
        <w:t>)</w:t>
      </w:r>
      <w:r w:rsidRPr="00FD0F16">
        <w:rPr>
          <w:rFonts w:ascii="Times New Roman" w:hAnsi="Times New Roman"/>
          <w:sz w:val="20"/>
          <w:szCs w:val="20"/>
        </w:rPr>
        <w:t xml:space="preserve"> + </w:t>
      </w:r>
      <w:r w:rsidRPr="00FD0F16">
        <w:rPr>
          <w:rFonts w:ascii="Times New Roman" w:hAnsi="Times New Roman"/>
          <w:i/>
          <w:sz w:val="20"/>
          <w:szCs w:val="20"/>
        </w:rPr>
        <w:t>V</w:t>
      </w:r>
      <w:r w:rsidRPr="00FD0F16">
        <w:rPr>
          <w:rFonts w:ascii="Times New Roman" w:hAnsi="Times New Roman"/>
          <w:i/>
          <w:sz w:val="20"/>
          <w:szCs w:val="20"/>
          <w:vertAlign w:val="subscript"/>
        </w:rPr>
        <w:t>F</w:t>
      </w:r>
      <w:r w:rsidRPr="00FD0F16">
        <w:rPr>
          <w:rFonts w:ascii="Times New Roman" w:hAnsi="Times New Roman"/>
          <w:sz w:val="20"/>
          <w:szCs w:val="20"/>
          <w:vertAlign w:val="subscript"/>
        </w:rPr>
        <w:t>(</w:t>
      </w:r>
      <w:r w:rsidRPr="00FD0F16">
        <w:rPr>
          <w:rFonts w:ascii="Times New Roman" w:hAnsi="Times New Roman"/>
          <w:i/>
          <w:sz w:val="20"/>
          <w:szCs w:val="20"/>
          <w:vertAlign w:val="subscript"/>
        </w:rPr>
        <w:t>E-glass</w:t>
      </w:r>
      <w:r w:rsidRPr="00FD0F16">
        <w:rPr>
          <w:rFonts w:ascii="Times New Roman" w:hAnsi="Times New Roman"/>
          <w:sz w:val="20"/>
          <w:szCs w:val="20"/>
          <w:vertAlign w:val="subscript"/>
        </w:rPr>
        <w:t>)</w:t>
      </w:r>
      <w:r w:rsidRPr="00FD0F16">
        <w:rPr>
          <w:rFonts w:ascii="Times New Roman" w:hAnsi="Times New Roman"/>
          <w:sz w:val="20"/>
          <w:szCs w:val="20"/>
        </w:rPr>
        <w:t>)).</w:t>
      </w:r>
      <w:r w:rsidRPr="00FD0F16">
        <w:rPr>
          <w:rFonts w:ascii="Times New Roman"/>
          <w:spacing w:val="-9"/>
          <w:sz w:val="20"/>
          <w:szCs w:val="20"/>
        </w:rPr>
        <w:t xml:space="preserve"> The experimental results are also shown in </w:t>
      </w:r>
      <w:r w:rsidRPr="00FD0F16">
        <w:rPr>
          <w:rFonts w:ascii="Times New Roman"/>
          <w:b/>
          <w:spacing w:val="-9"/>
          <w:sz w:val="20"/>
          <w:szCs w:val="20"/>
        </w:rPr>
        <w:t>Fig. S1</w:t>
      </w:r>
      <w:r w:rsidRPr="00FD0F16">
        <w:rPr>
          <w:rFonts w:ascii="Times New Roman"/>
          <w:spacing w:val="-9"/>
          <w:sz w:val="20"/>
          <w:szCs w:val="20"/>
        </w:rPr>
        <w:t>.</w:t>
      </w:r>
    </w:p>
    <w:p w:rsidR="001C69BF" w:rsidRDefault="001C69BF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FD0F16" w:rsidRDefault="00FD0F16" w:rsidP="00FD0F16">
      <w:pPr>
        <w:snapToGrid w:val="0"/>
        <w:jc w:val="center"/>
        <w:rPr>
          <w:rFonts w:ascii="Times New Roman" w:hAnsi="Times New Roman"/>
          <w:sz w:val="24"/>
          <w:szCs w:val="24"/>
        </w:rPr>
      </w:pPr>
      <w:r w:rsidRPr="001F5ECB">
        <w:rPr>
          <w:noProof/>
          <w:lang w:eastAsia="ja-JP"/>
        </w:rPr>
        <w:drawing>
          <wp:inline distT="0" distB="0" distL="0" distR="0" wp14:anchorId="59DD0FCD" wp14:editId="10B41CB1">
            <wp:extent cx="2271600" cy="2106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600" cy="21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A95" w:rsidRDefault="00AD4440" w:rsidP="00B02A95">
      <w:pPr>
        <w:pStyle w:val="a3"/>
        <w:ind w:left="0" w:firstLine="113"/>
        <w:jc w:val="center"/>
        <w:rPr>
          <w:spacing w:val="-1"/>
        </w:rPr>
      </w:pPr>
      <w:bookmarkStart w:id="0" w:name="_bookmark2"/>
      <w:bookmarkEnd w:id="0"/>
      <w:r>
        <w:rPr>
          <w:rFonts w:ascii="Arial"/>
          <w:b/>
        </w:rPr>
        <w:t>Figure</w:t>
      </w:r>
      <w:r>
        <w:rPr>
          <w:rFonts w:ascii="Arial"/>
          <w:b/>
          <w:spacing w:val="-7"/>
        </w:rPr>
        <w:t xml:space="preserve"> </w:t>
      </w:r>
      <w:r w:rsidR="00FD0F16">
        <w:rPr>
          <w:rFonts w:ascii="Arial"/>
          <w:b/>
          <w:spacing w:val="-7"/>
        </w:rPr>
        <w:t>S</w:t>
      </w:r>
      <w:r>
        <w:rPr>
          <w:rFonts w:ascii="Arial"/>
          <w:b/>
        </w:rPr>
        <w:t>1.</w:t>
      </w:r>
      <w:r>
        <w:rPr>
          <w:rFonts w:ascii="Arial"/>
          <w:b/>
          <w:spacing w:val="5"/>
        </w:rPr>
        <w:t xml:space="preserve"> </w:t>
      </w:r>
      <w:r w:rsidR="00FD0F16" w:rsidRPr="00FD0F16">
        <w:rPr>
          <w:spacing w:val="-1"/>
        </w:rPr>
        <w:t>Relation between the tensile modulus and secondary tensile modulus</w:t>
      </w:r>
    </w:p>
    <w:p w:rsidR="001C69BF" w:rsidRDefault="00FD0F16" w:rsidP="00B02A95">
      <w:pPr>
        <w:pStyle w:val="a3"/>
        <w:ind w:left="0" w:firstLine="113"/>
        <w:jc w:val="center"/>
      </w:pPr>
      <w:r w:rsidRPr="00FD0F16">
        <w:rPr>
          <w:spacing w:val="-1"/>
        </w:rPr>
        <w:t>of the HFRP sp</w:t>
      </w:r>
      <w:r>
        <w:rPr>
          <w:spacing w:val="-1"/>
        </w:rPr>
        <w:t>ecimens versus the hybrid ratio</w:t>
      </w:r>
      <w:r w:rsidR="00AD4440">
        <w:rPr>
          <w:spacing w:val="-1"/>
        </w:rPr>
        <w:t>.</w:t>
      </w:r>
    </w:p>
    <w:p w:rsidR="00C00B8E" w:rsidRDefault="00C00B8E" w:rsidP="00394128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FD0F16" w:rsidRPr="00FD0F16" w:rsidRDefault="00FD0F16" w:rsidP="00046320">
      <w:pPr>
        <w:spacing w:before="101"/>
        <w:ind w:left="113"/>
        <w:rPr>
          <w:rFonts w:ascii="Times New Roman"/>
          <w:spacing w:val="-9"/>
          <w:sz w:val="20"/>
          <w:szCs w:val="20"/>
        </w:rPr>
      </w:pPr>
      <w:r w:rsidRPr="00FD0F16">
        <w:rPr>
          <w:rFonts w:ascii="Times New Roman"/>
          <w:b/>
          <w:spacing w:val="-9"/>
          <w:sz w:val="20"/>
        </w:rPr>
        <w:t>Figure S</w:t>
      </w:r>
      <w:r>
        <w:rPr>
          <w:rFonts w:ascii="Times New Roman"/>
          <w:b/>
          <w:spacing w:val="-9"/>
          <w:sz w:val="20"/>
        </w:rPr>
        <w:t>2</w:t>
      </w:r>
      <w:r w:rsidRPr="00FD0F16">
        <w:rPr>
          <w:rFonts w:ascii="Times New Roman"/>
          <w:spacing w:val="-9"/>
          <w:sz w:val="20"/>
        </w:rPr>
        <w:t xml:space="preserve"> sho</w:t>
      </w:r>
      <w:r w:rsidRPr="00FD0F16">
        <w:rPr>
          <w:rFonts w:ascii="Times New Roman"/>
          <w:spacing w:val="-9"/>
          <w:sz w:val="20"/>
          <w:szCs w:val="20"/>
        </w:rPr>
        <w:t xml:space="preserve">ws the </w:t>
      </w:r>
      <w:r w:rsidRPr="00FD0F16">
        <w:rPr>
          <w:rFonts w:ascii="Times New Roman" w:hAnsi="Times New Roman"/>
          <w:sz w:val="20"/>
          <w:szCs w:val="20"/>
        </w:rPr>
        <w:t xml:space="preserve">relation between the estimated tensile strength, </w:t>
      </w:r>
      <w:r w:rsidRPr="00FD0F16">
        <w:rPr>
          <w:rFonts w:ascii="Times New Roman" w:hAnsi="Times New Roman"/>
          <w:i/>
          <w:sz w:val="20"/>
          <w:szCs w:val="20"/>
        </w:rPr>
        <w:t>σ</w:t>
      </w:r>
      <w:r w:rsidRPr="00FD0F16">
        <w:rPr>
          <w:rFonts w:ascii="Times New Roman" w:hAnsi="Times New Roman"/>
          <w:i/>
          <w:sz w:val="20"/>
          <w:szCs w:val="20"/>
          <w:vertAlign w:val="subscript"/>
        </w:rPr>
        <w:t>f.cal</w:t>
      </w:r>
      <w:r w:rsidRPr="00FD0F16">
        <w:rPr>
          <w:rFonts w:ascii="Times New Roman" w:hAnsi="Times New Roman"/>
          <w:sz w:val="20"/>
          <w:szCs w:val="20"/>
        </w:rPr>
        <w:t xml:space="preserve">, secondary fracture strength, </w:t>
      </w:r>
      <w:r w:rsidRPr="00FD0F16">
        <w:rPr>
          <w:rFonts w:ascii="Times New Roman" w:hAnsi="Times New Roman"/>
          <w:i/>
          <w:sz w:val="20"/>
          <w:szCs w:val="20"/>
        </w:rPr>
        <w:t>σ</w:t>
      </w:r>
      <w:r w:rsidRPr="00FD0F16">
        <w:rPr>
          <w:rFonts w:ascii="Times New Roman" w:hAnsi="Times New Roman"/>
          <w:i/>
          <w:sz w:val="20"/>
          <w:szCs w:val="20"/>
          <w:vertAlign w:val="superscript"/>
        </w:rPr>
        <w:t>*</w:t>
      </w:r>
      <w:r w:rsidRPr="00FD0F16">
        <w:rPr>
          <w:rFonts w:ascii="Times New Roman" w:hAnsi="Times New Roman"/>
          <w:i/>
          <w:sz w:val="20"/>
          <w:szCs w:val="20"/>
          <w:vertAlign w:val="subscript"/>
        </w:rPr>
        <w:t>f.cal</w:t>
      </w:r>
      <w:r w:rsidRPr="00FD0F16">
        <w:rPr>
          <w:rFonts w:ascii="Times New Roman" w:hAnsi="Times New Roman"/>
          <w:sz w:val="20"/>
          <w:szCs w:val="20"/>
        </w:rPr>
        <w:t xml:space="preserve">, failure strain, </w:t>
      </w:r>
      <w:r w:rsidRPr="00FD0F16">
        <w:rPr>
          <w:rFonts w:ascii="Times New Roman" w:hAnsi="Times New Roman"/>
          <w:i/>
          <w:sz w:val="20"/>
          <w:szCs w:val="20"/>
        </w:rPr>
        <w:t>ε</w:t>
      </w:r>
      <w:r w:rsidRPr="00FD0F16">
        <w:rPr>
          <w:rFonts w:ascii="Times New Roman" w:hAnsi="Times New Roman"/>
          <w:i/>
          <w:sz w:val="20"/>
          <w:szCs w:val="20"/>
          <w:vertAlign w:val="subscript"/>
        </w:rPr>
        <w:t>f.cal</w:t>
      </w:r>
      <w:r w:rsidRPr="00FD0F16">
        <w:rPr>
          <w:rFonts w:ascii="Times New Roman" w:hAnsi="Times New Roman"/>
          <w:sz w:val="20"/>
          <w:szCs w:val="20"/>
        </w:rPr>
        <w:t xml:space="preserve">, and secondary failure strain, </w:t>
      </w:r>
      <w:r w:rsidRPr="00FD0F16">
        <w:rPr>
          <w:rFonts w:ascii="Times New Roman" w:hAnsi="Times New Roman"/>
          <w:i/>
          <w:sz w:val="20"/>
          <w:szCs w:val="20"/>
        </w:rPr>
        <w:t>ε*</w:t>
      </w:r>
      <w:r w:rsidRPr="00FD0F16">
        <w:rPr>
          <w:rFonts w:ascii="Times New Roman" w:hAnsi="Times New Roman"/>
          <w:i/>
          <w:sz w:val="20"/>
          <w:szCs w:val="20"/>
          <w:vertAlign w:val="subscript"/>
        </w:rPr>
        <w:t>f.cal</w:t>
      </w:r>
      <w:r w:rsidRPr="00FD0F16">
        <w:rPr>
          <w:rFonts w:ascii="Times New Roman" w:hAnsi="Times New Roman"/>
          <w:sz w:val="20"/>
          <w:szCs w:val="20"/>
        </w:rPr>
        <w:t>, of the HFRP specimens with the hybrid ratio.</w:t>
      </w:r>
      <w:r w:rsidRPr="00FD0F16">
        <w:rPr>
          <w:rFonts w:ascii="Times New Roman"/>
          <w:spacing w:val="-9"/>
          <w:sz w:val="20"/>
          <w:szCs w:val="20"/>
        </w:rPr>
        <w:t xml:space="preserve"> The experimental results are also shown in </w:t>
      </w:r>
      <w:r w:rsidRPr="00FD0F16">
        <w:rPr>
          <w:rFonts w:ascii="Times New Roman"/>
          <w:b/>
          <w:spacing w:val="-9"/>
          <w:sz w:val="20"/>
          <w:szCs w:val="20"/>
        </w:rPr>
        <w:t>Fig. S</w:t>
      </w:r>
      <w:r>
        <w:rPr>
          <w:rFonts w:ascii="Times New Roman"/>
          <w:b/>
          <w:spacing w:val="-9"/>
          <w:sz w:val="20"/>
          <w:szCs w:val="20"/>
        </w:rPr>
        <w:t>2</w:t>
      </w:r>
      <w:r w:rsidRPr="00FD0F16">
        <w:rPr>
          <w:rFonts w:ascii="Times New Roman"/>
          <w:spacing w:val="-9"/>
          <w:sz w:val="20"/>
          <w:szCs w:val="20"/>
        </w:rPr>
        <w:t>.</w:t>
      </w:r>
    </w:p>
    <w:p w:rsidR="00B02A95" w:rsidRPr="001F5ECB" w:rsidRDefault="00B02A95" w:rsidP="00B02A95">
      <w:pPr>
        <w:snapToGrid w:val="0"/>
        <w:rPr>
          <w:rFonts w:ascii="Times New Roman" w:hAnsi="Times New Roman"/>
          <w:sz w:val="24"/>
          <w:szCs w:val="24"/>
        </w:rPr>
      </w:pPr>
    </w:p>
    <w:p w:rsidR="00FD0F16" w:rsidRDefault="00FD0F16" w:rsidP="00FD0F16">
      <w:pPr>
        <w:snapToGrid w:val="0"/>
        <w:jc w:val="center"/>
        <w:rPr>
          <w:rFonts w:ascii="Times New Roman" w:hAnsi="Times New Roman"/>
          <w:sz w:val="24"/>
          <w:szCs w:val="24"/>
        </w:rPr>
      </w:pPr>
      <w:r w:rsidRPr="001F5ECB">
        <w:rPr>
          <w:noProof/>
          <w:lang w:eastAsia="ja-JP"/>
        </w:rPr>
        <w:drawing>
          <wp:inline distT="0" distB="0" distL="0" distR="0" wp14:anchorId="1E0A28D8" wp14:editId="06CDB705">
            <wp:extent cx="2271600" cy="2106000"/>
            <wp:effectExtent l="0" t="0" r="0" b="0"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600" cy="21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ECB">
        <w:rPr>
          <w:noProof/>
          <w:lang w:eastAsia="ja-JP"/>
        </w:rPr>
        <w:drawing>
          <wp:inline distT="0" distB="0" distL="0" distR="0" wp14:anchorId="1CF2F869" wp14:editId="30309376">
            <wp:extent cx="2271600" cy="2106000"/>
            <wp:effectExtent l="0" t="0" r="0" b="0"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600" cy="21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128" w:rsidRPr="001F5ECB" w:rsidRDefault="00394128" w:rsidP="00394128">
      <w:pPr>
        <w:snapToGrid w:val="0"/>
        <w:rPr>
          <w:rFonts w:ascii="Times New Roman" w:hAnsi="Times New Roman"/>
          <w:sz w:val="24"/>
          <w:szCs w:val="24"/>
        </w:rPr>
      </w:pPr>
    </w:p>
    <w:p w:rsidR="00B02A95" w:rsidRDefault="00394128" w:rsidP="00B02A95">
      <w:pPr>
        <w:pStyle w:val="a3"/>
        <w:jc w:val="center"/>
        <w:rPr>
          <w:spacing w:val="-1"/>
        </w:rPr>
      </w:pPr>
      <w:r>
        <w:rPr>
          <w:rFonts w:ascii="Arial"/>
          <w:b/>
        </w:rPr>
        <w:t>Figure</w:t>
      </w:r>
      <w:r>
        <w:rPr>
          <w:rFonts w:ascii="Arial"/>
          <w:b/>
          <w:spacing w:val="-7"/>
        </w:rPr>
        <w:t xml:space="preserve"> S2</w:t>
      </w:r>
      <w:r>
        <w:rPr>
          <w:rFonts w:ascii="Arial"/>
          <w:b/>
        </w:rPr>
        <w:t>.</w:t>
      </w:r>
      <w:r>
        <w:rPr>
          <w:rFonts w:ascii="Arial"/>
          <w:b/>
          <w:spacing w:val="5"/>
        </w:rPr>
        <w:t xml:space="preserve"> </w:t>
      </w:r>
      <w:r w:rsidRPr="00394128">
        <w:rPr>
          <w:spacing w:val="-1"/>
        </w:rPr>
        <w:t>Relation between the tensile strength, secondary fra</w:t>
      </w:r>
      <w:r w:rsidR="00B02A95">
        <w:rPr>
          <w:spacing w:val="-1"/>
        </w:rPr>
        <w:t>cture strength, failure strain,</w:t>
      </w:r>
    </w:p>
    <w:p w:rsidR="00B02A95" w:rsidRDefault="00394128" w:rsidP="00B02A95">
      <w:pPr>
        <w:pStyle w:val="a3"/>
        <w:jc w:val="center"/>
        <w:rPr>
          <w:spacing w:val="-1"/>
        </w:rPr>
      </w:pPr>
      <w:r w:rsidRPr="00394128">
        <w:rPr>
          <w:spacing w:val="-1"/>
        </w:rPr>
        <w:t>and secondary failure strain of the HFRP s</w:t>
      </w:r>
      <w:r w:rsidR="00B02A95">
        <w:rPr>
          <w:spacing w:val="-1"/>
        </w:rPr>
        <w:t>pecimens with the hybrid ratio.</w:t>
      </w:r>
    </w:p>
    <w:p w:rsidR="001C69BF" w:rsidRDefault="00394128" w:rsidP="00B02A95">
      <w:pPr>
        <w:pStyle w:val="a3"/>
        <w:jc w:val="center"/>
        <w:rPr>
          <w:spacing w:val="-1"/>
        </w:rPr>
      </w:pPr>
      <w:r w:rsidRPr="00394128">
        <w:rPr>
          <w:spacing w:val="-1"/>
        </w:rPr>
        <w:t>(a) tensile strength and secondary fracture strength and (b) failure strain and secondary failure strain.</w:t>
      </w:r>
    </w:p>
    <w:p w:rsidR="00046320" w:rsidRDefault="00046320" w:rsidP="00046320">
      <w:pPr>
        <w:pStyle w:val="a3"/>
        <w:ind w:left="0"/>
        <w:rPr>
          <w:spacing w:val="-1"/>
        </w:rPr>
      </w:pPr>
    </w:p>
    <w:p w:rsidR="00046320" w:rsidRDefault="00046320" w:rsidP="00046320">
      <w:pPr>
        <w:spacing w:before="101"/>
        <w:ind w:left="113" w:firstLine="607"/>
        <w:rPr>
          <w:rFonts w:ascii="Times New Roman"/>
          <w:b/>
          <w:spacing w:val="-9"/>
          <w:sz w:val="20"/>
        </w:rPr>
      </w:pPr>
      <w:r>
        <w:rPr>
          <w:rFonts w:ascii="Times New Roman"/>
          <w:b/>
          <w:spacing w:val="-9"/>
          <w:sz w:val="20"/>
        </w:rPr>
        <w:br w:type="page"/>
      </w:r>
    </w:p>
    <w:p w:rsidR="00046320" w:rsidRPr="00FD0F16" w:rsidRDefault="00046320" w:rsidP="00046320">
      <w:pPr>
        <w:spacing w:before="101"/>
        <w:ind w:left="113"/>
        <w:rPr>
          <w:rFonts w:ascii="Times New Roman"/>
          <w:spacing w:val="-9"/>
          <w:sz w:val="20"/>
          <w:szCs w:val="20"/>
        </w:rPr>
      </w:pPr>
      <w:r w:rsidRPr="00FD0F16">
        <w:rPr>
          <w:rFonts w:ascii="Times New Roman"/>
          <w:b/>
          <w:spacing w:val="-9"/>
          <w:sz w:val="20"/>
        </w:rPr>
        <w:lastRenderedPageBreak/>
        <w:t>Figure S</w:t>
      </w:r>
      <w:r>
        <w:rPr>
          <w:rFonts w:ascii="Times New Roman"/>
          <w:b/>
          <w:spacing w:val="-9"/>
          <w:sz w:val="20"/>
        </w:rPr>
        <w:t>3</w:t>
      </w:r>
      <w:r w:rsidRPr="00046320">
        <w:rPr>
          <w:rFonts w:ascii="Times New Roman"/>
          <w:spacing w:val="-9"/>
          <w:sz w:val="20"/>
        </w:rPr>
        <w:t xml:space="preserve"> shows the </w:t>
      </w:r>
      <w:r>
        <w:rPr>
          <w:rFonts w:ascii="Times New Roman"/>
          <w:spacing w:val="-9"/>
          <w:sz w:val="20"/>
        </w:rPr>
        <w:t xml:space="preserve">Weibull modulus, </w:t>
      </w:r>
      <w:r w:rsidRPr="00046320">
        <w:rPr>
          <w:rFonts w:ascii="Times New Roman"/>
          <w:i/>
          <w:spacing w:val="-9"/>
          <w:sz w:val="20"/>
        </w:rPr>
        <w:t>m</w:t>
      </w:r>
      <w:r w:rsidRPr="00046320">
        <w:rPr>
          <w:rFonts w:ascii="Times New Roman"/>
          <w:spacing w:val="-9"/>
          <w:sz w:val="20"/>
        </w:rPr>
        <w:t xml:space="preserve"> of the HFRP specimens as a function of the hybrid ratio, hybrid parameter, and tensile properties (modulus, strength, and failure strain).</w:t>
      </w:r>
    </w:p>
    <w:p w:rsidR="00046320" w:rsidRPr="001F5ECB" w:rsidRDefault="00046320" w:rsidP="00046320">
      <w:pPr>
        <w:snapToGrid w:val="0"/>
        <w:rPr>
          <w:rFonts w:ascii="Times New Roman" w:hAnsi="Times New Roman"/>
          <w:sz w:val="24"/>
          <w:szCs w:val="24"/>
        </w:rPr>
      </w:pPr>
    </w:p>
    <w:p w:rsidR="00046320" w:rsidRPr="001F5ECB" w:rsidRDefault="00046320" w:rsidP="00046320">
      <w:pPr>
        <w:snapToGrid w:val="0"/>
        <w:jc w:val="center"/>
      </w:pPr>
      <w:r w:rsidRPr="001F5ECB">
        <w:rPr>
          <w:noProof/>
          <w:lang w:eastAsia="ja-JP"/>
        </w:rPr>
        <w:drawing>
          <wp:inline distT="0" distB="0" distL="0" distR="0" wp14:anchorId="5493A2CB" wp14:editId="3ED92EA5">
            <wp:extent cx="2145600" cy="2106000"/>
            <wp:effectExtent l="0" t="0" r="0" b="0"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00" cy="21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ECB">
        <w:rPr>
          <w:noProof/>
          <w:lang w:eastAsia="ja-JP"/>
        </w:rPr>
        <w:drawing>
          <wp:inline distT="0" distB="0" distL="0" distR="0" wp14:anchorId="2CDF552C" wp14:editId="0ED33BAD">
            <wp:extent cx="2145600" cy="2106000"/>
            <wp:effectExtent l="0" t="0" r="0" b="0"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00" cy="21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20" w:rsidRPr="001F5ECB" w:rsidRDefault="00046320" w:rsidP="00046320">
      <w:pPr>
        <w:snapToGrid w:val="0"/>
        <w:jc w:val="center"/>
        <w:rPr>
          <w:rFonts w:ascii="Times New Roman" w:hAnsi="Times New Roman"/>
          <w:sz w:val="24"/>
          <w:szCs w:val="24"/>
        </w:rPr>
      </w:pPr>
      <w:r w:rsidRPr="001F5ECB">
        <w:rPr>
          <w:noProof/>
          <w:lang w:eastAsia="ja-JP"/>
        </w:rPr>
        <w:drawing>
          <wp:inline distT="0" distB="0" distL="0" distR="0" wp14:anchorId="58A50249" wp14:editId="4D558B54">
            <wp:extent cx="2145600" cy="2106000"/>
            <wp:effectExtent l="0" t="0" r="0" b="0"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00" cy="21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ECB">
        <w:rPr>
          <w:noProof/>
          <w:lang w:eastAsia="ja-JP"/>
        </w:rPr>
        <w:drawing>
          <wp:inline distT="0" distB="0" distL="0" distR="0" wp14:anchorId="65CEE310" wp14:editId="4CE9DCF0">
            <wp:extent cx="2145600" cy="2106000"/>
            <wp:effectExtent l="0" t="0" r="0" b="0"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00" cy="21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20" w:rsidRPr="001F5ECB" w:rsidRDefault="00046320" w:rsidP="00046320">
      <w:pPr>
        <w:snapToGrid w:val="0"/>
        <w:jc w:val="center"/>
        <w:rPr>
          <w:rFonts w:ascii="Times New Roman" w:hAnsi="Times New Roman"/>
          <w:sz w:val="24"/>
          <w:szCs w:val="24"/>
        </w:rPr>
      </w:pPr>
      <w:r w:rsidRPr="001F5ECB">
        <w:rPr>
          <w:noProof/>
          <w:lang w:eastAsia="ja-JP"/>
        </w:rPr>
        <w:drawing>
          <wp:inline distT="0" distB="0" distL="0" distR="0" wp14:anchorId="42CDD441" wp14:editId="6D549F1F">
            <wp:extent cx="2145600" cy="2106000"/>
            <wp:effectExtent l="0" t="0" r="0" b="0"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00" cy="21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20" w:rsidRDefault="00046320" w:rsidP="00046320">
      <w:pPr>
        <w:pStyle w:val="a3"/>
        <w:jc w:val="center"/>
        <w:rPr>
          <w:spacing w:val="-1"/>
        </w:rPr>
      </w:pPr>
      <w:r>
        <w:rPr>
          <w:rFonts w:ascii="Arial"/>
          <w:b/>
        </w:rPr>
        <w:t>Figure</w:t>
      </w:r>
      <w:r>
        <w:rPr>
          <w:rFonts w:ascii="Arial"/>
          <w:b/>
          <w:spacing w:val="-7"/>
        </w:rPr>
        <w:t xml:space="preserve"> S3</w:t>
      </w:r>
      <w:r>
        <w:rPr>
          <w:rFonts w:ascii="Arial"/>
          <w:b/>
        </w:rPr>
        <w:t>.</w:t>
      </w:r>
      <w:r>
        <w:rPr>
          <w:rFonts w:ascii="Arial"/>
          <w:b/>
          <w:spacing w:val="5"/>
        </w:rPr>
        <w:t xml:space="preserve"> </w:t>
      </w:r>
      <w:r w:rsidRPr="00046320">
        <w:rPr>
          <w:spacing w:val="-1"/>
        </w:rPr>
        <w:t>Weibull modulus of HFRP specimens as a function of hybrid ratio, hybrid parameter,</w:t>
      </w:r>
    </w:p>
    <w:p w:rsidR="00046320" w:rsidRDefault="00046320" w:rsidP="00046320">
      <w:pPr>
        <w:pStyle w:val="a3"/>
        <w:jc w:val="center"/>
        <w:rPr>
          <w:spacing w:val="-1"/>
        </w:rPr>
      </w:pPr>
      <w:r w:rsidRPr="00046320">
        <w:rPr>
          <w:spacing w:val="-1"/>
        </w:rPr>
        <w:t>and tensile properties (modulus, strength, and failure strain):</w:t>
      </w:r>
    </w:p>
    <w:p w:rsidR="00046320" w:rsidRDefault="00046320" w:rsidP="00046320">
      <w:pPr>
        <w:pStyle w:val="a3"/>
        <w:jc w:val="center"/>
        <w:rPr>
          <w:spacing w:val="-1"/>
        </w:rPr>
      </w:pPr>
      <w:r w:rsidRPr="00046320">
        <w:rPr>
          <w:spacing w:val="-1"/>
        </w:rPr>
        <w:t>(a) hybrid ratio, (b) hybrid parameter, (c) tensile modulus, (d) tensile strength, and (e) failure strain.</w:t>
      </w:r>
    </w:p>
    <w:p w:rsidR="00046320" w:rsidRDefault="00046320" w:rsidP="00046320">
      <w:pPr>
        <w:pStyle w:val="a3"/>
        <w:ind w:left="0"/>
        <w:rPr>
          <w:spacing w:val="-1"/>
        </w:rPr>
      </w:pPr>
    </w:p>
    <w:p w:rsidR="000E41AA" w:rsidRDefault="000E41AA" w:rsidP="00046320">
      <w:pPr>
        <w:spacing w:before="101"/>
        <w:ind w:left="113"/>
        <w:rPr>
          <w:rFonts w:ascii="Times New Roman"/>
          <w:b/>
          <w:spacing w:val="-9"/>
          <w:sz w:val="20"/>
        </w:rPr>
      </w:pPr>
      <w:r>
        <w:rPr>
          <w:rFonts w:ascii="Times New Roman"/>
          <w:b/>
          <w:spacing w:val="-9"/>
          <w:sz w:val="20"/>
        </w:rPr>
        <w:br w:type="page"/>
      </w:r>
    </w:p>
    <w:p w:rsidR="00046320" w:rsidRPr="00FD0F16" w:rsidRDefault="00046320" w:rsidP="00046320">
      <w:pPr>
        <w:spacing w:before="101"/>
        <w:ind w:left="113"/>
        <w:rPr>
          <w:rFonts w:ascii="Times New Roman"/>
          <w:spacing w:val="-9"/>
          <w:sz w:val="20"/>
          <w:szCs w:val="20"/>
        </w:rPr>
      </w:pPr>
      <w:r w:rsidRPr="00FD0F16">
        <w:rPr>
          <w:rFonts w:ascii="Times New Roman"/>
          <w:b/>
          <w:spacing w:val="-9"/>
          <w:sz w:val="20"/>
        </w:rPr>
        <w:lastRenderedPageBreak/>
        <w:t>Figure S</w:t>
      </w:r>
      <w:r>
        <w:rPr>
          <w:rFonts w:ascii="Times New Roman"/>
          <w:b/>
          <w:spacing w:val="-9"/>
          <w:sz w:val="20"/>
        </w:rPr>
        <w:t>4</w:t>
      </w:r>
      <w:r w:rsidRPr="00046320">
        <w:rPr>
          <w:rFonts w:ascii="Times New Roman"/>
          <w:spacing w:val="-9"/>
          <w:sz w:val="20"/>
        </w:rPr>
        <w:t xml:space="preserve"> shows </w:t>
      </w:r>
      <w:r w:rsidRPr="00046320">
        <w:rPr>
          <w:rFonts w:ascii="Times New Roman" w:hAnsi="Times New Roman"/>
          <w:sz w:val="20"/>
          <w:szCs w:val="20"/>
        </w:rPr>
        <w:t>the difference between the experimental and estimated results ((</w:t>
      </w:r>
      <w:r w:rsidRPr="00046320">
        <w:rPr>
          <w:rFonts w:ascii="Times New Roman" w:hAnsi="Times New Roman"/>
          <w:i/>
          <w:sz w:val="20"/>
          <w:szCs w:val="20"/>
        </w:rPr>
        <w:t>X</w:t>
      </w:r>
      <w:r w:rsidRPr="00046320">
        <w:rPr>
          <w:rFonts w:ascii="Times New Roman" w:hAnsi="Times New Roman"/>
          <w:i/>
          <w:sz w:val="20"/>
          <w:szCs w:val="20"/>
          <w:vertAlign w:val="subscript"/>
        </w:rPr>
        <w:t>exp</w:t>
      </w:r>
      <w:r w:rsidRPr="00046320">
        <w:rPr>
          <w:rFonts w:ascii="Times New Roman" w:hAnsi="Times New Roman"/>
          <w:i/>
          <w:sz w:val="20"/>
          <w:szCs w:val="20"/>
        </w:rPr>
        <w:t>−X</w:t>
      </w:r>
      <w:r w:rsidRPr="00046320">
        <w:rPr>
          <w:rFonts w:ascii="Times New Roman" w:hAnsi="Times New Roman"/>
          <w:i/>
          <w:sz w:val="20"/>
          <w:szCs w:val="20"/>
          <w:vertAlign w:val="subscript"/>
        </w:rPr>
        <w:t>cal</w:t>
      </w:r>
      <w:r w:rsidRPr="00046320">
        <w:rPr>
          <w:rFonts w:ascii="Times New Roman" w:hAnsi="Times New Roman"/>
          <w:sz w:val="20"/>
          <w:szCs w:val="20"/>
        </w:rPr>
        <w:t>)/</w:t>
      </w:r>
      <w:r w:rsidRPr="00046320">
        <w:rPr>
          <w:rFonts w:ascii="Times New Roman" w:hAnsi="Times New Roman"/>
          <w:i/>
          <w:sz w:val="20"/>
          <w:szCs w:val="20"/>
        </w:rPr>
        <w:t>X</w:t>
      </w:r>
      <w:r w:rsidRPr="00046320">
        <w:rPr>
          <w:rFonts w:ascii="Times New Roman" w:hAnsi="Times New Roman"/>
          <w:i/>
          <w:sz w:val="20"/>
          <w:szCs w:val="20"/>
          <w:vertAlign w:val="subscript"/>
        </w:rPr>
        <w:t>cal</w:t>
      </w:r>
      <w:r w:rsidRPr="00046320">
        <w:rPr>
          <w:rFonts w:ascii="Times New Roman" w:hAnsi="Times New Roman"/>
          <w:sz w:val="20"/>
          <w:szCs w:val="20"/>
        </w:rPr>
        <w:t xml:space="preserve">, and </w:t>
      </w:r>
      <w:r w:rsidRPr="00046320">
        <w:rPr>
          <w:rFonts w:ascii="Times New Roman" w:hAnsi="Times New Roman"/>
          <w:i/>
          <w:sz w:val="20"/>
          <w:szCs w:val="20"/>
        </w:rPr>
        <w:t>X</w:t>
      </w:r>
      <w:r w:rsidRPr="00046320">
        <w:rPr>
          <w:rFonts w:ascii="Times New Roman" w:hAnsi="Times New Roman"/>
          <w:sz w:val="20"/>
          <w:szCs w:val="20"/>
        </w:rPr>
        <w:t xml:space="preserve"> is the maximum applied stress for the same cycles) as a function of the hy</w:t>
      </w:r>
      <w:r w:rsidR="000E41AA">
        <w:rPr>
          <w:rFonts w:ascii="Times New Roman" w:hAnsi="Times New Roman"/>
          <w:sz w:val="20"/>
          <w:szCs w:val="20"/>
        </w:rPr>
        <w:t>brid ratio and hybrid parameter</w:t>
      </w:r>
      <w:r w:rsidRPr="00046320">
        <w:rPr>
          <w:rFonts w:ascii="Times New Roman"/>
          <w:spacing w:val="-9"/>
          <w:sz w:val="20"/>
        </w:rPr>
        <w:t>.</w:t>
      </w:r>
    </w:p>
    <w:p w:rsidR="00046320" w:rsidRPr="001F5ECB" w:rsidRDefault="00046320" w:rsidP="00046320">
      <w:pPr>
        <w:snapToGrid w:val="0"/>
        <w:rPr>
          <w:rFonts w:ascii="Times New Roman" w:hAnsi="Times New Roman"/>
          <w:sz w:val="24"/>
          <w:szCs w:val="24"/>
        </w:rPr>
      </w:pPr>
    </w:p>
    <w:p w:rsidR="000E41AA" w:rsidRPr="001F5ECB" w:rsidRDefault="000E41AA" w:rsidP="000E41AA">
      <w:pPr>
        <w:snapToGrid w:val="0"/>
        <w:jc w:val="center"/>
        <w:rPr>
          <w:rFonts w:ascii="Times New Roman" w:hAnsi="Times New Roman"/>
          <w:sz w:val="24"/>
          <w:szCs w:val="24"/>
        </w:rPr>
      </w:pPr>
      <w:r w:rsidRPr="001F5ECB">
        <w:rPr>
          <w:noProof/>
          <w:lang w:eastAsia="ja-JP"/>
        </w:rPr>
        <w:drawing>
          <wp:inline distT="0" distB="0" distL="0" distR="0" wp14:anchorId="6028078B" wp14:editId="7AB63F1A">
            <wp:extent cx="2145600" cy="2106000"/>
            <wp:effectExtent l="0" t="0" r="0" b="0"/>
            <wp:docPr id="2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00" cy="21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ECB">
        <w:rPr>
          <w:noProof/>
          <w:lang w:eastAsia="ja-JP"/>
        </w:rPr>
        <w:drawing>
          <wp:inline distT="0" distB="0" distL="0" distR="0" wp14:anchorId="3C9FBFF5" wp14:editId="5793E90D">
            <wp:extent cx="2145600" cy="2106000"/>
            <wp:effectExtent l="0" t="0" r="0" b="0"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00" cy="21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0E41AA" w:rsidRDefault="00046320" w:rsidP="000E41AA">
      <w:pPr>
        <w:pStyle w:val="a3"/>
        <w:jc w:val="center"/>
        <w:rPr>
          <w:spacing w:val="-1"/>
        </w:rPr>
      </w:pPr>
      <w:r>
        <w:rPr>
          <w:rFonts w:ascii="Arial"/>
          <w:b/>
        </w:rPr>
        <w:t>Figure</w:t>
      </w:r>
      <w:r>
        <w:rPr>
          <w:rFonts w:ascii="Arial"/>
          <w:b/>
          <w:spacing w:val="-7"/>
        </w:rPr>
        <w:t xml:space="preserve"> S</w:t>
      </w:r>
      <w:r w:rsidR="000E41AA">
        <w:rPr>
          <w:rFonts w:ascii="Arial"/>
          <w:b/>
          <w:spacing w:val="-7"/>
        </w:rPr>
        <w:t>4</w:t>
      </w:r>
      <w:r>
        <w:rPr>
          <w:rFonts w:ascii="Arial"/>
          <w:b/>
        </w:rPr>
        <w:t>.</w:t>
      </w:r>
      <w:r>
        <w:rPr>
          <w:rFonts w:ascii="Arial"/>
          <w:b/>
          <w:spacing w:val="5"/>
        </w:rPr>
        <w:t xml:space="preserve"> </w:t>
      </w:r>
      <w:r w:rsidR="000E41AA" w:rsidRPr="000E41AA">
        <w:rPr>
          <w:spacing w:val="-1"/>
        </w:rPr>
        <w:t>Difference between the exp</w:t>
      </w:r>
      <w:r w:rsidR="000E41AA">
        <w:rPr>
          <w:spacing w:val="-1"/>
        </w:rPr>
        <w:t>erimental and estimated results</w:t>
      </w:r>
    </w:p>
    <w:p w:rsidR="00046320" w:rsidRDefault="000E41AA" w:rsidP="000E41AA">
      <w:pPr>
        <w:pStyle w:val="a3"/>
        <w:jc w:val="center"/>
        <w:rPr>
          <w:spacing w:val="-1"/>
        </w:rPr>
      </w:pPr>
      <w:r w:rsidRPr="000E41AA">
        <w:rPr>
          <w:spacing w:val="-1"/>
        </w:rPr>
        <w:t>as a function of the (a) hybrid ratio and (b) hybrid parameter.</w:t>
      </w:r>
    </w:p>
    <w:p w:rsidR="00046320" w:rsidRDefault="00046320" w:rsidP="00046320">
      <w:pPr>
        <w:pStyle w:val="a3"/>
        <w:rPr>
          <w:spacing w:val="-1"/>
        </w:rPr>
      </w:pPr>
    </w:p>
    <w:sectPr w:rsidR="00046320" w:rsidSect="00B02A95">
      <w:pgSz w:w="12240" w:h="15840"/>
      <w:pgMar w:top="1240" w:right="980" w:bottom="800" w:left="1020" w:header="0" w:footer="613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440" w:rsidRDefault="00AD4440">
      <w:r>
        <w:separator/>
      </w:r>
    </w:p>
  </w:endnote>
  <w:endnote w:type="continuationSeparator" w:id="0">
    <w:p w:rsidR="00AD4440" w:rsidRDefault="00AD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440" w:rsidRDefault="00AD4440">
      <w:r>
        <w:separator/>
      </w:r>
    </w:p>
  </w:footnote>
  <w:footnote w:type="continuationSeparator" w:id="0">
    <w:p w:rsidR="00AD4440" w:rsidRDefault="00AD4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27E52"/>
    <w:multiLevelType w:val="hybridMultilevel"/>
    <w:tmpl w:val="AE8CDBF2"/>
    <w:lvl w:ilvl="0" w:tplc="6B925D16">
      <w:start w:val="1"/>
      <w:numFmt w:val="bullet"/>
      <w:lvlText w:val="•"/>
      <w:lvlJc w:val="left"/>
      <w:pPr>
        <w:ind w:left="632" w:hanging="200"/>
      </w:pPr>
      <w:rPr>
        <w:rFonts w:ascii="Arial" w:eastAsia="Arial" w:hAnsi="Arial" w:hint="default"/>
        <w:i/>
        <w:w w:val="142"/>
        <w:sz w:val="20"/>
        <w:szCs w:val="20"/>
      </w:rPr>
    </w:lvl>
    <w:lvl w:ilvl="1" w:tplc="70D050E0">
      <w:start w:val="1"/>
      <w:numFmt w:val="bullet"/>
      <w:lvlText w:val="•"/>
      <w:lvlJc w:val="left"/>
      <w:pPr>
        <w:ind w:left="1592" w:hanging="200"/>
      </w:pPr>
      <w:rPr>
        <w:rFonts w:hint="default"/>
      </w:rPr>
    </w:lvl>
    <w:lvl w:ilvl="2" w:tplc="3456368E">
      <w:start w:val="1"/>
      <w:numFmt w:val="bullet"/>
      <w:lvlText w:val="•"/>
      <w:lvlJc w:val="left"/>
      <w:pPr>
        <w:ind w:left="2553" w:hanging="200"/>
      </w:pPr>
      <w:rPr>
        <w:rFonts w:hint="default"/>
      </w:rPr>
    </w:lvl>
    <w:lvl w:ilvl="3" w:tplc="69F8EFAE">
      <w:start w:val="1"/>
      <w:numFmt w:val="bullet"/>
      <w:lvlText w:val="•"/>
      <w:lvlJc w:val="left"/>
      <w:pPr>
        <w:ind w:left="3514" w:hanging="200"/>
      </w:pPr>
      <w:rPr>
        <w:rFonts w:hint="default"/>
      </w:rPr>
    </w:lvl>
    <w:lvl w:ilvl="4" w:tplc="855C84F6">
      <w:start w:val="1"/>
      <w:numFmt w:val="bullet"/>
      <w:lvlText w:val="•"/>
      <w:lvlJc w:val="left"/>
      <w:pPr>
        <w:ind w:left="4475" w:hanging="200"/>
      </w:pPr>
      <w:rPr>
        <w:rFonts w:hint="default"/>
      </w:rPr>
    </w:lvl>
    <w:lvl w:ilvl="5" w:tplc="59F438A4">
      <w:start w:val="1"/>
      <w:numFmt w:val="bullet"/>
      <w:lvlText w:val="•"/>
      <w:lvlJc w:val="left"/>
      <w:pPr>
        <w:ind w:left="5436" w:hanging="200"/>
      </w:pPr>
      <w:rPr>
        <w:rFonts w:hint="default"/>
      </w:rPr>
    </w:lvl>
    <w:lvl w:ilvl="6" w:tplc="70A25D4A">
      <w:start w:val="1"/>
      <w:numFmt w:val="bullet"/>
      <w:lvlText w:val="•"/>
      <w:lvlJc w:val="left"/>
      <w:pPr>
        <w:ind w:left="6396" w:hanging="200"/>
      </w:pPr>
      <w:rPr>
        <w:rFonts w:hint="default"/>
      </w:rPr>
    </w:lvl>
    <w:lvl w:ilvl="7" w:tplc="3BB63A52">
      <w:start w:val="1"/>
      <w:numFmt w:val="bullet"/>
      <w:lvlText w:val="•"/>
      <w:lvlJc w:val="left"/>
      <w:pPr>
        <w:ind w:left="7357" w:hanging="200"/>
      </w:pPr>
      <w:rPr>
        <w:rFonts w:hint="default"/>
      </w:rPr>
    </w:lvl>
    <w:lvl w:ilvl="8" w:tplc="C1FC8FBA">
      <w:start w:val="1"/>
      <w:numFmt w:val="bullet"/>
      <w:lvlText w:val="•"/>
      <w:lvlJc w:val="left"/>
      <w:pPr>
        <w:ind w:left="8318" w:hanging="200"/>
      </w:pPr>
      <w:rPr>
        <w:rFonts w:hint="default"/>
      </w:rPr>
    </w:lvl>
  </w:abstractNum>
  <w:abstractNum w:abstractNumId="1" w15:restartNumberingAfterBreak="0">
    <w:nsid w:val="7C7F6324"/>
    <w:multiLevelType w:val="hybridMultilevel"/>
    <w:tmpl w:val="39BC2EA2"/>
    <w:lvl w:ilvl="0" w:tplc="46162598">
      <w:start w:val="1"/>
      <w:numFmt w:val="decimal"/>
      <w:lvlText w:val="%1."/>
      <w:lvlJc w:val="left"/>
      <w:pPr>
        <w:ind w:left="382" w:hanging="250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7D6AD0CC">
      <w:start w:val="1"/>
      <w:numFmt w:val="bullet"/>
      <w:lvlText w:val="•"/>
      <w:lvlJc w:val="left"/>
      <w:pPr>
        <w:ind w:left="1368" w:hanging="250"/>
      </w:pPr>
      <w:rPr>
        <w:rFonts w:hint="default"/>
      </w:rPr>
    </w:lvl>
    <w:lvl w:ilvl="2" w:tplc="DB4696FE">
      <w:start w:val="1"/>
      <w:numFmt w:val="bullet"/>
      <w:lvlText w:val="•"/>
      <w:lvlJc w:val="left"/>
      <w:pPr>
        <w:ind w:left="2354" w:hanging="250"/>
      </w:pPr>
      <w:rPr>
        <w:rFonts w:hint="default"/>
      </w:rPr>
    </w:lvl>
    <w:lvl w:ilvl="3" w:tplc="F76A4EAE">
      <w:start w:val="1"/>
      <w:numFmt w:val="bullet"/>
      <w:lvlText w:val="•"/>
      <w:lvlJc w:val="left"/>
      <w:pPr>
        <w:ind w:left="3340" w:hanging="250"/>
      </w:pPr>
      <w:rPr>
        <w:rFonts w:hint="default"/>
      </w:rPr>
    </w:lvl>
    <w:lvl w:ilvl="4" w:tplc="E5A6981A">
      <w:start w:val="1"/>
      <w:numFmt w:val="bullet"/>
      <w:lvlText w:val="•"/>
      <w:lvlJc w:val="left"/>
      <w:pPr>
        <w:ind w:left="4325" w:hanging="250"/>
      </w:pPr>
      <w:rPr>
        <w:rFonts w:hint="default"/>
      </w:rPr>
    </w:lvl>
    <w:lvl w:ilvl="5" w:tplc="ACAA730E">
      <w:start w:val="1"/>
      <w:numFmt w:val="bullet"/>
      <w:lvlText w:val="•"/>
      <w:lvlJc w:val="left"/>
      <w:pPr>
        <w:ind w:left="5311" w:hanging="250"/>
      </w:pPr>
      <w:rPr>
        <w:rFonts w:hint="default"/>
      </w:rPr>
    </w:lvl>
    <w:lvl w:ilvl="6" w:tplc="42E26D1A">
      <w:start w:val="1"/>
      <w:numFmt w:val="bullet"/>
      <w:lvlText w:val="•"/>
      <w:lvlJc w:val="left"/>
      <w:pPr>
        <w:ind w:left="6297" w:hanging="250"/>
      </w:pPr>
      <w:rPr>
        <w:rFonts w:hint="default"/>
      </w:rPr>
    </w:lvl>
    <w:lvl w:ilvl="7" w:tplc="F2962E6E">
      <w:start w:val="1"/>
      <w:numFmt w:val="bullet"/>
      <w:lvlText w:val="•"/>
      <w:lvlJc w:val="left"/>
      <w:pPr>
        <w:ind w:left="7282" w:hanging="250"/>
      </w:pPr>
      <w:rPr>
        <w:rFonts w:hint="default"/>
      </w:rPr>
    </w:lvl>
    <w:lvl w:ilvl="8" w:tplc="9A90369E">
      <w:start w:val="1"/>
      <w:numFmt w:val="bullet"/>
      <w:lvlText w:val="•"/>
      <w:lvlJc w:val="left"/>
      <w:pPr>
        <w:ind w:left="8268" w:hanging="25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C69BF"/>
    <w:rsid w:val="00046320"/>
    <w:rsid w:val="000E41AA"/>
    <w:rsid w:val="001C69BF"/>
    <w:rsid w:val="00394128"/>
    <w:rsid w:val="00AD4440"/>
    <w:rsid w:val="00B02A95"/>
    <w:rsid w:val="00C00B8E"/>
    <w:rsid w:val="00FD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911391E-5C2C-40F4-93AE-515A6641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3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3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D0F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F16"/>
  </w:style>
  <w:style w:type="paragraph" w:styleId="a7">
    <w:name w:val="footer"/>
    <w:basedOn w:val="a"/>
    <w:link w:val="a8"/>
    <w:uiPriority w:val="99"/>
    <w:unhideWhenUsed/>
    <w:rsid w:val="00FD0F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F16"/>
  </w:style>
  <w:style w:type="character" w:styleId="a9">
    <w:name w:val="Hyperlink"/>
    <w:basedOn w:val="a0"/>
    <w:uiPriority w:val="99"/>
    <w:unhideWhenUsed/>
    <w:rsid w:val="00394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内藤 公喜</cp:lastModifiedBy>
  <cp:revision>4</cp:revision>
  <dcterms:created xsi:type="dcterms:W3CDTF">2021-09-16T20:35:00Z</dcterms:created>
  <dcterms:modified xsi:type="dcterms:W3CDTF">2021-09-17T09:05:00Z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2020-08-08T00:00:00Z</vt:filetime>
  </property>
  <property fmtid="{D5CDD505-2E9C-101B-9397-08002B2CF9AE}" pid="3" name="LastSaved">
    <vt:filetime>2021-09-16T00:00:00Z</vt:filetime>
  </property>
</Properties>
</file>