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EE94" w14:textId="77777777" w:rsidR="00696F14" w:rsidRPr="004D05C3" w:rsidRDefault="00696F14" w:rsidP="00696F14">
      <w:pPr>
        <w:spacing w:line="480" w:lineRule="auto"/>
        <w:rPr>
          <w:b/>
          <w:bCs/>
          <w:lang w:val="en-US"/>
        </w:rPr>
      </w:pPr>
      <w:r w:rsidRPr="004D05C3">
        <w:rPr>
          <w:b/>
          <w:bCs/>
          <w:lang w:val="en-US"/>
        </w:rPr>
        <w:t xml:space="preserve">Title: A microbial tale of </w:t>
      </w:r>
      <w:r>
        <w:rPr>
          <w:b/>
          <w:bCs/>
          <w:lang w:val="en-US"/>
        </w:rPr>
        <w:t>farming</w:t>
      </w:r>
      <w:r w:rsidRPr="004D05C3">
        <w:rPr>
          <w:b/>
          <w:bCs/>
          <w:lang w:val="en-US"/>
        </w:rPr>
        <w:t xml:space="preserve">, invasion and conservation: on the gut bacteria of European and American </w:t>
      </w:r>
      <w:r>
        <w:rPr>
          <w:b/>
          <w:bCs/>
          <w:lang w:val="en-US"/>
        </w:rPr>
        <w:t>mink</w:t>
      </w:r>
      <w:r w:rsidRPr="004D05C3">
        <w:rPr>
          <w:b/>
          <w:bCs/>
          <w:lang w:val="en-US"/>
        </w:rPr>
        <w:t xml:space="preserve"> in Western Europe</w:t>
      </w:r>
    </w:p>
    <w:p w14:paraId="0BD9517A" w14:textId="77777777" w:rsidR="00696F14" w:rsidRPr="00057080" w:rsidRDefault="00696F14" w:rsidP="00696F14">
      <w:pPr>
        <w:spacing w:line="480" w:lineRule="auto"/>
        <w:rPr>
          <w:lang w:val="en-US"/>
        </w:rPr>
      </w:pPr>
      <w:r>
        <w:rPr>
          <w:lang w:val="en-US"/>
        </w:rPr>
        <w:t xml:space="preserve">Running title: </w:t>
      </w:r>
      <w:r w:rsidRPr="00057080">
        <w:rPr>
          <w:lang w:val="en-US"/>
        </w:rPr>
        <w:t>Gut bacteria of European and American mink in Western Europe</w:t>
      </w:r>
    </w:p>
    <w:p w14:paraId="2B176128" w14:textId="77777777" w:rsidR="00696F14" w:rsidRPr="00835EEB" w:rsidRDefault="00696F14" w:rsidP="00696F14">
      <w:pPr>
        <w:spacing w:line="480" w:lineRule="auto"/>
        <w:rPr>
          <w:bCs/>
        </w:rPr>
      </w:pPr>
      <w:proofErr w:type="spellStart"/>
      <w:r w:rsidRPr="00835EEB">
        <w:rPr>
          <w:b/>
        </w:rPr>
        <w:t>Authors</w:t>
      </w:r>
      <w:proofErr w:type="spellEnd"/>
      <w:r w:rsidRPr="00835EEB">
        <w:rPr>
          <w:b/>
        </w:rPr>
        <w:t xml:space="preserve"> and affiliations:</w:t>
      </w:r>
      <w:r w:rsidRPr="00835EEB">
        <w:rPr>
          <w:bCs/>
        </w:rPr>
        <w:t xml:space="preserve"> Pauline van Leeuwen</w:t>
      </w:r>
      <w:r w:rsidRPr="00835EEB">
        <w:rPr>
          <w:bCs/>
          <w:vertAlign w:val="superscript"/>
        </w:rPr>
        <w:t>1,2</w:t>
      </w:r>
      <w:r w:rsidRPr="00835EEB">
        <w:rPr>
          <w:bCs/>
        </w:rPr>
        <w:t>, Albrecht I. Schulte-Hostedde</w:t>
      </w:r>
      <w:r w:rsidRPr="00835EEB">
        <w:rPr>
          <w:bCs/>
          <w:vertAlign w:val="superscript"/>
        </w:rPr>
        <w:t>1</w:t>
      </w:r>
      <w:r w:rsidRPr="00835EEB">
        <w:rPr>
          <w:bCs/>
        </w:rPr>
        <w:t>, Christine Fournier-Chambrillon</w:t>
      </w:r>
      <w:r w:rsidRPr="00835EEB">
        <w:rPr>
          <w:bCs/>
          <w:vertAlign w:val="superscript"/>
        </w:rPr>
        <w:t>3</w:t>
      </w:r>
      <w:r w:rsidRPr="00835EEB">
        <w:rPr>
          <w:bCs/>
        </w:rPr>
        <w:t>, Pascal Fournier</w:t>
      </w:r>
      <w:r w:rsidRPr="00835EEB">
        <w:rPr>
          <w:bCs/>
          <w:vertAlign w:val="superscript"/>
        </w:rPr>
        <w:t>3</w:t>
      </w:r>
      <w:r w:rsidRPr="00EB0EC5">
        <w:rPr>
          <w:bCs/>
        </w:rPr>
        <w:t>, Lise-Marie</w:t>
      </w:r>
      <w:r>
        <w:rPr>
          <w:bCs/>
        </w:rPr>
        <w:t xml:space="preserve"> Pigneur</w:t>
      </w:r>
      <w:r w:rsidRPr="00EB0EC5">
        <w:rPr>
          <w:bCs/>
          <w:vertAlign w:val="superscript"/>
        </w:rPr>
        <w:t>2</w:t>
      </w:r>
      <w:r>
        <w:rPr>
          <w:bCs/>
        </w:rPr>
        <w:t>,</w:t>
      </w:r>
      <w:r w:rsidRPr="00EB0EC5">
        <w:rPr>
          <w:bCs/>
        </w:rPr>
        <w:t xml:space="preserve"> Carmen M. Aranda</w:t>
      </w:r>
      <w:r w:rsidRPr="00EB0EC5">
        <w:rPr>
          <w:bCs/>
          <w:vertAlign w:val="superscript"/>
        </w:rPr>
        <w:t>4</w:t>
      </w:r>
      <w:r w:rsidRPr="00EB0EC5">
        <w:rPr>
          <w:bCs/>
        </w:rPr>
        <w:t xml:space="preserve">, </w:t>
      </w:r>
      <w:proofErr w:type="spellStart"/>
      <w:r w:rsidRPr="002A72E6">
        <w:rPr>
          <w:lang w:val="fr-FR" w:eastAsia="en-US"/>
        </w:rPr>
        <w:t>Fermín</w:t>
      </w:r>
      <w:proofErr w:type="spellEnd"/>
      <w:r w:rsidRPr="002A72E6">
        <w:rPr>
          <w:lang w:val="fr-FR" w:eastAsia="en-US"/>
        </w:rPr>
        <w:t xml:space="preserve"> Urra-Maya</w:t>
      </w:r>
      <w:r w:rsidRPr="002A72E6">
        <w:rPr>
          <w:vertAlign w:val="superscript"/>
          <w:lang w:val="fr-FR" w:eastAsia="en-US"/>
        </w:rPr>
        <w:t>5</w:t>
      </w:r>
      <w:r w:rsidRPr="002A72E6">
        <w:rPr>
          <w:lang w:val="fr-FR" w:eastAsia="en-US"/>
        </w:rPr>
        <w:t xml:space="preserve">, </w:t>
      </w:r>
      <w:r w:rsidRPr="00835EEB">
        <w:rPr>
          <w:bCs/>
        </w:rPr>
        <w:t>Johan R. Michaux</w:t>
      </w:r>
      <w:r w:rsidRPr="00835EEB">
        <w:rPr>
          <w:bCs/>
          <w:vertAlign w:val="superscript"/>
        </w:rPr>
        <w:t>2</w:t>
      </w:r>
    </w:p>
    <w:p w14:paraId="3AF6F8F9" w14:textId="77777777" w:rsidR="00696F14" w:rsidRPr="00052592" w:rsidRDefault="00696F14" w:rsidP="00696F14">
      <w:pPr>
        <w:spacing w:line="480" w:lineRule="auto"/>
        <w:rPr>
          <w:bCs/>
          <w:lang w:val="en-CA"/>
        </w:rPr>
      </w:pPr>
      <w:r w:rsidRPr="00052592">
        <w:rPr>
          <w:bCs/>
          <w:vertAlign w:val="superscript"/>
          <w:lang w:val="en-CA"/>
        </w:rPr>
        <w:t>1</w:t>
      </w:r>
      <w:r w:rsidRPr="00052592">
        <w:rPr>
          <w:bCs/>
          <w:lang w:val="en-CA"/>
        </w:rPr>
        <w:t xml:space="preserve"> Department of Biology, Laurentian University, Sudbury, ON, </w:t>
      </w:r>
      <w:proofErr w:type="gramStart"/>
      <w:r w:rsidRPr="00052592">
        <w:rPr>
          <w:bCs/>
          <w:lang w:val="en-CA"/>
        </w:rPr>
        <w:t>Canada;</w:t>
      </w:r>
      <w:proofErr w:type="gramEnd"/>
      <w:r w:rsidRPr="00052592">
        <w:rPr>
          <w:bCs/>
          <w:lang w:val="en-CA"/>
        </w:rPr>
        <w:t xml:space="preserve"> </w:t>
      </w:r>
    </w:p>
    <w:p w14:paraId="2FBA4033" w14:textId="77777777" w:rsidR="00696F14" w:rsidRDefault="00696F14" w:rsidP="00696F14">
      <w:pPr>
        <w:spacing w:line="480" w:lineRule="auto"/>
        <w:rPr>
          <w:bCs/>
          <w:lang w:val="en-CA"/>
        </w:rPr>
      </w:pPr>
      <w:r w:rsidRPr="00052592">
        <w:rPr>
          <w:bCs/>
          <w:vertAlign w:val="superscript"/>
          <w:lang w:val="en-CA"/>
        </w:rPr>
        <w:t>2</w:t>
      </w:r>
      <w:r w:rsidRPr="00052592">
        <w:rPr>
          <w:bCs/>
          <w:lang w:val="en-CA"/>
        </w:rPr>
        <w:t xml:space="preserve"> Conservation Genetics Laboratory, University of Liège, Liège, </w:t>
      </w:r>
      <w:proofErr w:type="gramStart"/>
      <w:r w:rsidRPr="00052592">
        <w:rPr>
          <w:bCs/>
          <w:lang w:val="en-CA"/>
        </w:rPr>
        <w:t>Belgium;</w:t>
      </w:r>
      <w:proofErr w:type="gramEnd"/>
    </w:p>
    <w:p w14:paraId="173DB2E8" w14:textId="77777777" w:rsidR="00696F14" w:rsidRPr="00282F27" w:rsidRDefault="00696F14" w:rsidP="00696F14">
      <w:pPr>
        <w:spacing w:line="480" w:lineRule="auto"/>
        <w:rPr>
          <w:bCs/>
        </w:rPr>
      </w:pPr>
      <w:r>
        <w:rPr>
          <w:bCs/>
          <w:vertAlign w:val="superscript"/>
        </w:rPr>
        <w:t>3</w:t>
      </w:r>
      <w:r w:rsidRPr="00282F27">
        <w:rPr>
          <w:bCs/>
          <w:vertAlign w:val="superscript"/>
        </w:rPr>
        <w:t xml:space="preserve"> </w:t>
      </w:r>
      <w:r w:rsidRPr="00282F27">
        <w:rPr>
          <w:bCs/>
        </w:rPr>
        <w:t>Groupe de Recherche et d’</w:t>
      </w:r>
      <w:proofErr w:type="spellStart"/>
      <w:r w:rsidRPr="00282F27">
        <w:rPr>
          <w:bCs/>
        </w:rPr>
        <w:t>Etude</w:t>
      </w:r>
      <w:proofErr w:type="spellEnd"/>
      <w:r w:rsidRPr="00282F27">
        <w:rPr>
          <w:bCs/>
        </w:rPr>
        <w:t xml:space="preserve"> pour la Gestion de l’Environnement, </w:t>
      </w:r>
      <w:proofErr w:type="spellStart"/>
      <w:r w:rsidRPr="00282F27">
        <w:rPr>
          <w:bCs/>
        </w:rPr>
        <w:t>Uzeste</w:t>
      </w:r>
      <w:proofErr w:type="spellEnd"/>
      <w:r w:rsidRPr="00282F27">
        <w:rPr>
          <w:bCs/>
        </w:rPr>
        <w:t>, France</w:t>
      </w:r>
    </w:p>
    <w:p w14:paraId="3505219C" w14:textId="77777777" w:rsidR="00696F14" w:rsidRPr="002143B7" w:rsidRDefault="00696F14" w:rsidP="00696F14">
      <w:pPr>
        <w:spacing w:line="480" w:lineRule="auto"/>
        <w:rPr>
          <w:bCs/>
          <w:lang w:val="es-ES"/>
        </w:rPr>
      </w:pPr>
      <w:r w:rsidRPr="002143B7">
        <w:rPr>
          <w:bCs/>
          <w:vertAlign w:val="superscript"/>
          <w:lang w:val="es-ES"/>
        </w:rPr>
        <w:t xml:space="preserve">4 </w:t>
      </w:r>
      <w:proofErr w:type="gramStart"/>
      <w:r w:rsidRPr="002143B7">
        <w:rPr>
          <w:lang w:val="es-ES"/>
        </w:rPr>
        <w:t>Fundación</w:t>
      </w:r>
      <w:proofErr w:type="gramEnd"/>
      <w:r w:rsidRPr="002143B7">
        <w:rPr>
          <w:lang w:val="es-ES"/>
        </w:rPr>
        <w:t xml:space="preserve"> para la Investigación en Etología y Biodiversidad</w:t>
      </w:r>
      <w:r w:rsidRPr="002143B7">
        <w:rPr>
          <w:bCs/>
          <w:lang w:val="es-ES"/>
        </w:rPr>
        <w:t xml:space="preserve">, Madrid, </w:t>
      </w:r>
      <w:proofErr w:type="spellStart"/>
      <w:r w:rsidRPr="002143B7">
        <w:rPr>
          <w:bCs/>
          <w:lang w:val="es-ES"/>
        </w:rPr>
        <w:t>Spain</w:t>
      </w:r>
      <w:proofErr w:type="spellEnd"/>
    </w:p>
    <w:p w14:paraId="20E72169" w14:textId="77777777" w:rsidR="00696F14" w:rsidRPr="009275C3" w:rsidRDefault="00696F14" w:rsidP="00696F14">
      <w:pPr>
        <w:spacing w:line="480" w:lineRule="auto"/>
        <w:rPr>
          <w:lang w:val="es-ES" w:eastAsia="en-US"/>
        </w:rPr>
      </w:pPr>
      <w:r w:rsidRPr="009275C3">
        <w:rPr>
          <w:vertAlign w:val="superscript"/>
          <w:lang w:val="es-ES"/>
        </w:rPr>
        <w:t>5</w:t>
      </w:r>
      <w:r>
        <w:rPr>
          <w:lang w:val="es-ES"/>
        </w:rPr>
        <w:t xml:space="preserve"> </w:t>
      </w:r>
      <w:proofErr w:type="gramStart"/>
      <w:r>
        <w:rPr>
          <w:lang w:val="es-ES"/>
        </w:rPr>
        <w:t>Gestión</w:t>
      </w:r>
      <w:proofErr w:type="gramEnd"/>
      <w:r>
        <w:rPr>
          <w:lang w:val="es-ES"/>
        </w:rPr>
        <w:t xml:space="preserve"> Ambiental de Navarra S.A.</w:t>
      </w:r>
      <w:r w:rsidRPr="009275C3">
        <w:rPr>
          <w:lang w:val="es-ES"/>
        </w:rPr>
        <w:t>, Área de Biodiversidad, Pamplona-</w:t>
      </w:r>
      <w:proofErr w:type="spellStart"/>
      <w:r w:rsidRPr="009275C3">
        <w:rPr>
          <w:lang w:val="es-ES"/>
        </w:rPr>
        <w:t>Iruñea</w:t>
      </w:r>
      <w:proofErr w:type="spellEnd"/>
      <w:r w:rsidRPr="009275C3">
        <w:rPr>
          <w:lang w:val="es-ES"/>
        </w:rPr>
        <w:t xml:space="preserve">, </w:t>
      </w:r>
      <w:proofErr w:type="spellStart"/>
      <w:r>
        <w:rPr>
          <w:lang w:val="es-ES"/>
        </w:rPr>
        <w:t>S</w:t>
      </w:r>
      <w:r w:rsidRPr="009275C3">
        <w:rPr>
          <w:lang w:val="es-ES"/>
        </w:rPr>
        <w:t>pain</w:t>
      </w:r>
      <w:proofErr w:type="spellEnd"/>
    </w:p>
    <w:p w14:paraId="5DF97469" w14:textId="77777777" w:rsidR="00696F14" w:rsidRPr="009275C3" w:rsidRDefault="00696F14" w:rsidP="00696F14">
      <w:pPr>
        <w:spacing w:line="480" w:lineRule="auto"/>
        <w:rPr>
          <w:lang w:val="es-ES"/>
        </w:rPr>
      </w:pPr>
      <w:proofErr w:type="spellStart"/>
      <w:r>
        <w:rPr>
          <w:lang w:val="es-ES"/>
        </w:rPr>
        <w:t>Corresponding</w:t>
      </w:r>
      <w:proofErr w:type="spellEnd"/>
      <w:r>
        <w:rPr>
          <w:lang w:val="es-ES"/>
        </w:rPr>
        <w:t xml:space="preserve"> autor: pvan_leeuwen@laurentian.ca</w:t>
      </w:r>
    </w:p>
    <w:p w14:paraId="709C0D4C" w14:textId="77777777" w:rsidR="00696F14" w:rsidRPr="00696F14" w:rsidRDefault="00696F14" w:rsidP="00696F14">
      <w:pPr>
        <w:rPr>
          <w:b/>
          <w:bCs/>
          <w:lang w:val="es-ES"/>
        </w:rPr>
      </w:pPr>
    </w:p>
    <w:p w14:paraId="2B7171AA" w14:textId="71FC2172" w:rsidR="00696F14" w:rsidRPr="00696F14" w:rsidRDefault="00696F14" w:rsidP="00696F14">
      <w:pPr>
        <w:rPr>
          <w:b/>
          <w:bCs/>
          <w:lang w:val="en-US"/>
        </w:rPr>
      </w:pPr>
      <w:r w:rsidRPr="00696F14">
        <w:rPr>
          <w:b/>
          <w:bCs/>
          <w:lang w:val="en-US"/>
        </w:rPr>
        <w:t>Supplementary figures and tables</w:t>
      </w:r>
    </w:p>
    <w:p w14:paraId="4A342522" w14:textId="77777777" w:rsidR="00696F14" w:rsidRDefault="00696F14" w:rsidP="00696F14">
      <w:pPr>
        <w:rPr>
          <w:lang w:val="en-US"/>
        </w:rPr>
      </w:pPr>
    </w:p>
    <w:p w14:paraId="2509E482" w14:textId="77777777" w:rsidR="00696F14" w:rsidRPr="00612304" w:rsidRDefault="00696F14" w:rsidP="00696F14">
      <w:pPr>
        <w:rPr>
          <w:lang w:val="en-US"/>
        </w:rPr>
      </w:pPr>
      <w:r>
        <w:rPr>
          <w:noProof/>
          <w:lang w:val="en-US"/>
        </w:rPr>
        <w:lastRenderedPageBreak/>
        <w:drawing>
          <wp:inline distT="0" distB="0" distL="0" distR="0" wp14:anchorId="45C86CB2" wp14:editId="34FEBF95">
            <wp:extent cx="5486400" cy="39084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4">
                      <a:extLst>
                        <a:ext uri="{28A0092B-C50C-407E-A947-70E740481C1C}">
                          <a14:useLocalDpi xmlns:a14="http://schemas.microsoft.com/office/drawing/2010/main" val="0"/>
                        </a:ext>
                      </a:extLst>
                    </a:blip>
                    <a:stretch>
                      <a:fillRect/>
                    </a:stretch>
                  </pic:blipFill>
                  <pic:spPr>
                    <a:xfrm>
                      <a:off x="0" y="0"/>
                      <a:ext cx="5486400" cy="3908425"/>
                    </a:xfrm>
                    <a:prstGeom prst="rect">
                      <a:avLst/>
                    </a:prstGeom>
                  </pic:spPr>
                </pic:pic>
              </a:graphicData>
            </a:graphic>
          </wp:inline>
        </w:drawing>
      </w:r>
    </w:p>
    <w:p w14:paraId="07900A80" w14:textId="77777777" w:rsidR="00696F14" w:rsidRPr="00F15AED" w:rsidRDefault="00696F14" w:rsidP="00696F14">
      <w:pPr>
        <w:rPr>
          <w:lang w:val="en-US"/>
        </w:rPr>
      </w:pPr>
      <w:r w:rsidRPr="00946177">
        <w:rPr>
          <w:lang w:val="en-US"/>
        </w:rPr>
        <w:t xml:space="preserve">Figure </w:t>
      </w:r>
      <w:r>
        <w:rPr>
          <w:lang w:val="en-US"/>
        </w:rPr>
        <w:t>S1</w:t>
      </w:r>
      <w:r w:rsidRPr="00946177">
        <w:rPr>
          <w:lang w:val="en-US"/>
        </w:rPr>
        <w:t xml:space="preserve">. </w:t>
      </w:r>
      <w:r>
        <w:rPr>
          <w:lang w:val="en-US"/>
        </w:rPr>
        <w:t>Weighted</w:t>
      </w:r>
      <w:r w:rsidRPr="00946177">
        <w:rPr>
          <w:lang w:val="en-US"/>
        </w:rPr>
        <w:t xml:space="preserve"> </w:t>
      </w:r>
      <w:proofErr w:type="spellStart"/>
      <w:r w:rsidRPr="00946177">
        <w:rPr>
          <w:lang w:val="en-US"/>
        </w:rPr>
        <w:t>Unifrac</w:t>
      </w:r>
      <w:proofErr w:type="spellEnd"/>
      <w:r w:rsidRPr="00946177">
        <w:rPr>
          <w:lang w:val="en-US"/>
        </w:rPr>
        <w:t xml:space="preserve"> distance</w:t>
      </w:r>
      <w:r>
        <w:rPr>
          <w:lang w:val="en-US"/>
        </w:rPr>
        <w:t>s</w:t>
      </w:r>
      <w:r w:rsidRPr="00946177">
        <w:rPr>
          <w:lang w:val="en-US"/>
        </w:rPr>
        <w:t xml:space="preserve"> comparison boxplots of all samples between and within </w:t>
      </w:r>
      <w:r>
        <w:rPr>
          <w:lang w:val="en-US"/>
        </w:rPr>
        <w:t>populations</w:t>
      </w:r>
      <w:r w:rsidRPr="00946177">
        <w:rPr>
          <w:lang w:val="en-US"/>
        </w:rPr>
        <w:t>. The boxplot i</w:t>
      </w:r>
      <w:r>
        <w:rPr>
          <w:lang w:val="en-US"/>
        </w:rPr>
        <w:t>n</w:t>
      </w:r>
      <w:r w:rsidRPr="00946177">
        <w:rPr>
          <w:lang w:val="en-US"/>
        </w:rPr>
        <w:t xml:space="preserve"> red represent</w:t>
      </w:r>
      <w:r>
        <w:rPr>
          <w:lang w:val="en-US"/>
        </w:rPr>
        <w:t>s</w:t>
      </w:r>
      <w:r w:rsidRPr="00946177">
        <w:rPr>
          <w:lang w:val="en-US"/>
        </w:rPr>
        <w:t xml:space="preserve"> the beta dispersion within the group and in black of the said </w:t>
      </w:r>
      <w:r>
        <w:rPr>
          <w:lang w:val="en-US"/>
        </w:rPr>
        <w:t xml:space="preserve">red </w:t>
      </w:r>
      <w:r w:rsidRPr="00946177">
        <w:rPr>
          <w:lang w:val="en-US"/>
        </w:rPr>
        <w:t xml:space="preserve">group between all the other groups. </w:t>
      </w:r>
      <w:r>
        <w:rPr>
          <w:lang w:val="en-US"/>
        </w:rPr>
        <w:t>***</w:t>
      </w:r>
      <w:r w:rsidRPr="00946177">
        <w:rPr>
          <w:lang w:val="en-US"/>
        </w:rPr>
        <w:t xml:space="preserve"> represents the p-value meeting the standard cutoff p&lt;0.0</w:t>
      </w:r>
      <w:r>
        <w:rPr>
          <w:lang w:val="en-US"/>
        </w:rPr>
        <w:t>0</w:t>
      </w:r>
      <w:r w:rsidRPr="00946177">
        <w:rPr>
          <w:lang w:val="en-US"/>
        </w:rPr>
        <w:t>1</w:t>
      </w:r>
      <w:r>
        <w:rPr>
          <w:lang w:val="en-US"/>
        </w:rPr>
        <w:t>, ** p&lt;0.01,</w:t>
      </w:r>
      <w:r w:rsidRPr="00946177">
        <w:rPr>
          <w:lang w:val="en-US"/>
        </w:rPr>
        <w:t xml:space="preserve"> and * p&lt;0.05. </w:t>
      </w:r>
    </w:p>
    <w:p w14:paraId="3BEF779D" w14:textId="77777777" w:rsidR="00696F14" w:rsidRPr="00EB0EC5" w:rsidRDefault="00696F14" w:rsidP="00696F14">
      <w:pPr>
        <w:rPr>
          <w:lang w:val="en-US"/>
        </w:rPr>
      </w:pPr>
    </w:p>
    <w:p w14:paraId="6CCC94D4" w14:textId="77777777" w:rsidR="00696F14" w:rsidRDefault="00696F14" w:rsidP="00696F14">
      <w:pPr>
        <w:keepNext/>
        <w:rPr>
          <w:lang w:val="en-US"/>
        </w:rPr>
      </w:pPr>
    </w:p>
    <w:p w14:paraId="7F767E33" w14:textId="77777777" w:rsidR="00696F14" w:rsidRDefault="00696F14" w:rsidP="00696F14">
      <w:pPr>
        <w:rPr>
          <w:lang w:val="en-US"/>
        </w:rPr>
      </w:pPr>
      <w:r>
        <w:rPr>
          <w:noProof/>
        </w:rPr>
        <w:drawing>
          <wp:inline distT="0" distB="0" distL="0" distR="0" wp14:anchorId="2C088595" wp14:editId="5DF95F6C">
            <wp:extent cx="5486400" cy="1854200"/>
            <wp:effectExtent l="0" t="0" r="0" b="0"/>
            <wp:docPr id="22" name="Image 1">
              <a:extLst xmlns:a="http://schemas.openxmlformats.org/drawingml/2006/main">
                <a:ext uri="{FF2B5EF4-FFF2-40B4-BE49-F238E27FC236}">
                  <a16:creationId xmlns:a16="http://schemas.microsoft.com/office/drawing/2014/main" id="{2CF21B6D-03D6-ED41-80FA-EB7672CA1B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2CF21B6D-03D6-ED41-80FA-EB7672CA1B98}"/>
                        </a:ext>
                      </a:extLst>
                    </pic:cNvPr>
                    <pic:cNvPicPr>
                      <a:picLocks noChangeAspect="1"/>
                    </pic:cNvPicPr>
                  </pic:nvPicPr>
                  <pic:blipFill>
                    <a:blip r:embed="rId5"/>
                    <a:stretch>
                      <a:fillRect/>
                    </a:stretch>
                  </pic:blipFill>
                  <pic:spPr>
                    <a:xfrm>
                      <a:off x="0" y="0"/>
                      <a:ext cx="5486400" cy="1854200"/>
                    </a:xfrm>
                    <a:prstGeom prst="rect">
                      <a:avLst/>
                    </a:prstGeom>
                  </pic:spPr>
                </pic:pic>
              </a:graphicData>
            </a:graphic>
          </wp:inline>
        </w:drawing>
      </w:r>
    </w:p>
    <w:p w14:paraId="7FD46E06" w14:textId="77777777" w:rsidR="00696F14" w:rsidRDefault="00696F14" w:rsidP="00696F14">
      <w:pPr>
        <w:rPr>
          <w:lang w:val="en-US"/>
        </w:rPr>
      </w:pPr>
      <w:r w:rsidRPr="00012D23">
        <w:rPr>
          <w:lang w:val="en-US"/>
        </w:rPr>
        <w:t xml:space="preserve">Table </w:t>
      </w:r>
      <w:r>
        <w:rPr>
          <w:lang w:val="en-US"/>
        </w:rPr>
        <w:t>S</w:t>
      </w:r>
      <w:r w:rsidRPr="00EB0EC5">
        <w:rPr>
          <w:lang w:val="en-US"/>
        </w:rPr>
        <w:t>1</w:t>
      </w:r>
      <w:r w:rsidRPr="00012D23">
        <w:rPr>
          <w:lang w:val="en-US"/>
        </w:rPr>
        <w:t xml:space="preserve">. </w:t>
      </w:r>
      <w:proofErr w:type="spellStart"/>
      <w:r>
        <w:rPr>
          <w:lang w:val="en-US"/>
        </w:rPr>
        <w:t>Evanno</w:t>
      </w:r>
      <w:proofErr w:type="spellEnd"/>
      <w:r>
        <w:rPr>
          <w:lang w:val="en-US"/>
        </w:rPr>
        <w:t xml:space="preserve"> method output values for Best K from Structure results</w:t>
      </w:r>
      <w:r w:rsidRPr="00012D23">
        <w:rPr>
          <w:lang w:val="en-US"/>
        </w:rPr>
        <w:t>.</w:t>
      </w:r>
    </w:p>
    <w:p w14:paraId="138DD3FE" w14:textId="77777777" w:rsidR="00696F14" w:rsidRPr="00E407F2" w:rsidRDefault="00696F14" w:rsidP="00696F14">
      <w:pPr>
        <w:rPr>
          <w:lang w:val="en-US"/>
        </w:rPr>
      </w:pPr>
    </w:p>
    <w:p w14:paraId="430A7BD5" w14:textId="77777777" w:rsidR="00696F14" w:rsidRDefault="00696F14" w:rsidP="00696F14">
      <w:pPr>
        <w:rPr>
          <w:lang w:val="en-US"/>
        </w:rPr>
      </w:pPr>
    </w:p>
    <w:p w14:paraId="043D7BF1" w14:textId="77777777" w:rsidR="00696F14" w:rsidRPr="001C7747" w:rsidRDefault="00696F14" w:rsidP="00696F14">
      <w:pPr>
        <w:rPr>
          <w:lang w:val="en-US"/>
        </w:rPr>
      </w:pPr>
      <w:r w:rsidRPr="001C7747">
        <w:rPr>
          <w:lang w:val="en-US"/>
        </w:rPr>
        <w:t>Table S</w:t>
      </w:r>
      <w:r>
        <w:rPr>
          <w:lang w:val="en-US"/>
        </w:rPr>
        <w:t>2</w:t>
      </w:r>
      <w:r w:rsidRPr="001C7747">
        <w:rPr>
          <w:lang w:val="en-US"/>
        </w:rPr>
        <w:t>.</w:t>
      </w:r>
      <w:r>
        <w:rPr>
          <w:lang w:val="en-US"/>
        </w:rPr>
        <w:t xml:space="preserve"> Additional file. Results from the DESEQ2 differential abundance analysis between mink populations. Each number represents the number of phylotype from each taxon, organized according to their classification, either significantly lower (decrease) or higher (increase) in abundance in the first population compared to another population documented in each column</w:t>
      </w:r>
      <w:r w:rsidRPr="00B34502">
        <w:rPr>
          <w:rFonts w:ascii="Calibri" w:hAnsi="Calibri" w:cs="Calibri"/>
          <w:lang w:val="en-US"/>
        </w:rPr>
        <w:t xml:space="preserve">. </w:t>
      </w:r>
    </w:p>
    <w:p w14:paraId="2FCE2807" w14:textId="77777777" w:rsidR="00023662" w:rsidRPr="00696F14" w:rsidRDefault="00023662">
      <w:pPr>
        <w:rPr>
          <w:lang w:val="en-US"/>
        </w:rPr>
      </w:pPr>
    </w:p>
    <w:sectPr w:rsidR="00023662" w:rsidRPr="00696F14" w:rsidSect="00E37E6D">
      <w:headerReference w:type="even" r:id="rId6"/>
      <w:headerReference w:type="default" r:id="rId7"/>
      <w:pgSz w:w="12240" w:h="15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3696696"/>
      <w:docPartObj>
        <w:docPartGallery w:val="Page Numbers (Top of Page)"/>
        <w:docPartUnique/>
      </w:docPartObj>
    </w:sdtPr>
    <w:sdtEndPr>
      <w:rPr>
        <w:rStyle w:val="Numrodepage"/>
      </w:rPr>
    </w:sdtEndPr>
    <w:sdtContent>
      <w:p w14:paraId="42CE9836" w14:textId="77777777" w:rsidR="00057080" w:rsidRDefault="00696F14" w:rsidP="00107DE3">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B231A1" w14:textId="77777777" w:rsidR="00057080" w:rsidRDefault="00696F14" w:rsidP="008E3890">
    <w:pPr>
      <w:pStyle w:val="En-tt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05448235"/>
      <w:docPartObj>
        <w:docPartGallery w:val="Page Numbers (Top of Page)"/>
        <w:docPartUnique/>
      </w:docPartObj>
    </w:sdtPr>
    <w:sdtEndPr>
      <w:rPr>
        <w:rStyle w:val="Numrodepage"/>
      </w:rPr>
    </w:sdtEndPr>
    <w:sdtContent>
      <w:p w14:paraId="6F9890D1" w14:textId="77777777" w:rsidR="00057080" w:rsidRDefault="00696F14" w:rsidP="00107DE3">
        <w:pPr>
          <w:pStyle w:val="En-tt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AF89923" w14:textId="77777777" w:rsidR="00057080" w:rsidRDefault="00696F14" w:rsidP="008E3890">
    <w:pPr>
      <w:pStyle w:val="En-tte"/>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14"/>
    <w:rsid w:val="00023662"/>
    <w:rsid w:val="00696F14"/>
    <w:rsid w:val="009F4149"/>
    <w:rsid w:val="00A47AA7"/>
    <w:rsid w:val="00BC2D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3893916"/>
  <w15:chartTrackingRefBased/>
  <w15:docId w15:val="{48E4C343-79FC-E24E-B6A9-A46E64B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14"/>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6F14"/>
    <w:pPr>
      <w:tabs>
        <w:tab w:val="center" w:pos="4153"/>
        <w:tab w:val="right" w:pos="8306"/>
      </w:tabs>
    </w:pPr>
  </w:style>
  <w:style w:type="character" w:customStyle="1" w:styleId="En-tteCar">
    <w:name w:val="En-tête Car"/>
    <w:basedOn w:val="Policepardfaut"/>
    <w:link w:val="En-tte"/>
    <w:uiPriority w:val="99"/>
    <w:rsid w:val="00696F14"/>
    <w:rPr>
      <w:rFonts w:ascii="Times New Roman" w:eastAsia="Times New Roman" w:hAnsi="Times New Roman" w:cs="Times New Roman"/>
      <w:lang w:eastAsia="fr-CA"/>
    </w:rPr>
  </w:style>
  <w:style w:type="character" w:styleId="Numrodepage">
    <w:name w:val="page number"/>
    <w:basedOn w:val="Policepardfaut"/>
    <w:uiPriority w:val="99"/>
    <w:semiHidden/>
    <w:unhideWhenUsed/>
    <w:rsid w:val="00696F14"/>
  </w:style>
  <w:style w:type="character" w:styleId="Numrodeligne">
    <w:name w:val="line number"/>
    <w:basedOn w:val="Policepardfaut"/>
    <w:uiPriority w:val="99"/>
    <w:semiHidden/>
    <w:unhideWhenUsed/>
    <w:rsid w:val="0069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 leeuwen</dc:creator>
  <cp:keywords/>
  <dc:description/>
  <cp:lastModifiedBy>pauline van leeuwen</cp:lastModifiedBy>
  <cp:revision>1</cp:revision>
  <dcterms:created xsi:type="dcterms:W3CDTF">2021-09-14T13:51:00Z</dcterms:created>
  <dcterms:modified xsi:type="dcterms:W3CDTF">2021-09-14T13:53:00Z</dcterms:modified>
</cp:coreProperties>
</file>