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F0D" w:rsidRPr="001A0F0D" w:rsidRDefault="001A0F0D" w:rsidP="001A0F0D">
      <w:pPr>
        <w:jc w:val="center"/>
        <w:rPr>
          <w:rFonts w:ascii="Times New Roman" w:hAnsi="Times New Roman"/>
          <w:b/>
          <w:sz w:val="32"/>
          <w:szCs w:val="30"/>
        </w:rPr>
      </w:pPr>
      <w:r w:rsidRPr="001A0F0D">
        <w:rPr>
          <w:rFonts w:ascii="Times New Roman" w:hAnsi="Times New Roman"/>
          <w:b/>
          <w:sz w:val="32"/>
          <w:szCs w:val="30"/>
        </w:rPr>
        <w:t>Anti-tumor effect of CTLA-4 antibody is independent of checkpoint blockade</w:t>
      </w:r>
    </w:p>
    <w:p w:rsidR="001A0F0D" w:rsidRPr="001A0F0D" w:rsidRDefault="001A0F0D" w:rsidP="001A0F0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A0F0D" w:rsidRPr="001A0F0D" w:rsidRDefault="001A0F0D" w:rsidP="001A0F0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1A0F0D">
        <w:rPr>
          <w:rFonts w:ascii="Times New Roman" w:hAnsi="Times New Roman"/>
          <w:b/>
          <w:sz w:val="32"/>
          <w:szCs w:val="32"/>
        </w:rPr>
        <w:t>Supplementary Mater</w:t>
      </w:r>
      <w:bookmarkStart w:id="0" w:name="_GoBack"/>
      <w:bookmarkEnd w:id="0"/>
      <w:r w:rsidRPr="001A0F0D">
        <w:rPr>
          <w:rFonts w:ascii="Times New Roman" w:hAnsi="Times New Roman"/>
          <w:b/>
          <w:sz w:val="32"/>
          <w:szCs w:val="32"/>
        </w:rPr>
        <w:t>ials</w:t>
      </w:r>
    </w:p>
    <w:p w:rsidR="001A0F0D" w:rsidRPr="001A0F0D" w:rsidRDefault="001A0F0D" w:rsidP="001A0F0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A0F0D" w:rsidRPr="001A0F0D" w:rsidRDefault="001A0F0D" w:rsidP="001A0F0D">
      <w:pPr>
        <w:spacing w:line="360" w:lineRule="auto"/>
        <w:jc w:val="center"/>
        <w:rPr>
          <w:rFonts w:ascii="Times New Roman" w:hAnsi="Times New Roman"/>
          <w:sz w:val="30"/>
          <w:szCs w:val="30"/>
        </w:rPr>
      </w:pPr>
      <w:r w:rsidRPr="001A0F0D">
        <w:rPr>
          <w:rFonts w:ascii="Times New Roman" w:hAnsi="Times New Roman"/>
          <w:sz w:val="30"/>
          <w:szCs w:val="30"/>
        </w:rPr>
        <w:t>Supplementary Table S1-S4</w:t>
      </w:r>
    </w:p>
    <w:p w:rsidR="001A0F0D" w:rsidRPr="001A0F0D" w:rsidRDefault="001A0F0D" w:rsidP="001A0F0D">
      <w:pPr>
        <w:spacing w:line="360" w:lineRule="auto"/>
        <w:jc w:val="center"/>
        <w:rPr>
          <w:rFonts w:ascii="Times New Roman" w:hAnsi="Times New Roman"/>
          <w:sz w:val="30"/>
          <w:szCs w:val="30"/>
        </w:rPr>
      </w:pPr>
      <w:r w:rsidRPr="001A0F0D">
        <w:rPr>
          <w:rFonts w:ascii="Times New Roman" w:hAnsi="Times New Roman"/>
          <w:sz w:val="30"/>
          <w:szCs w:val="30"/>
        </w:rPr>
        <w:t xml:space="preserve">Supplementary </w:t>
      </w:r>
      <w:r w:rsidRPr="001A0F0D">
        <w:rPr>
          <w:rFonts w:ascii="Times New Roman" w:hAnsi="Times New Roman"/>
          <w:color w:val="000000"/>
          <w:sz w:val="30"/>
          <w:szCs w:val="30"/>
        </w:rPr>
        <w:t>Figure S1-S3</w:t>
      </w:r>
    </w:p>
    <w:p w:rsidR="001A0F0D" w:rsidRPr="001A0F0D" w:rsidRDefault="001A0F0D" w:rsidP="001A0F0D">
      <w:pPr>
        <w:widowControl/>
        <w:jc w:val="left"/>
        <w:rPr>
          <w:rFonts w:ascii="Times New Roman" w:hAnsi="Times New Roman"/>
        </w:rPr>
      </w:pPr>
      <w:r w:rsidRPr="001A0F0D">
        <w:rPr>
          <w:rFonts w:ascii="Times New Roman" w:hAnsi="Times New Roman"/>
        </w:rPr>
        <w:br w:type="page"/>
      </w:r>
    </w:p>
    <w:tbl>
      <w:tblPr>
        <w:tblW w:w="4753" w:type="pct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3"/>
        <w:gridCol w:w="3160"/>
        <w:gridCol w:w="2798"/>
      </w:tblGrid>
      <w:tr w:rsidR="001A0F0D" w:rsidRPr="001A0F0D" w:rsidTr="000F237E">
        <w:trPr>
          <w:trHeight w:val="528"/>
        </w:trPr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/>
              <w:jc w:val="both"/>
              <w:rPr>
                <w:b/>
                <w:color w:val="000000"/>
                <w:sz w:val="21"/>
                <w:szCs w:val="21"/>
              </w:rPr>
            </w:pPr>
            <w:r w:rsidRPr="001A0F0D">
              <w:rPr>
                <w:b/>
                <w:bCs/>
                <w:color w:val="000000"/>
                <w:sz w:val="21"/>
                <w:szCs w:val="21"/>
              </w:rPr>
              <w:lastRenderedPageBreak/>
              <w:t>Supplementary Table 1. Data collection and refinement statistics for crystal structures</w:t>
            </w:r>
          </w:p>
        </w:tc>
      </w:tr>
      <w:tr w:rsidR="001A0F0D" w:rsidRPr="001A0F0D" w:rsidTr="000F237E">
        <w:trPr>
          <w:trHeight w:val="398"/>
        </w:trPr>
        <w:tc>
          <w:tcPr>
            <w:tcW w:w="1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8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 w:rsidRPr="001A0F0D">
              <w:rPr>
                <w:b/>
                <w:color w:val="000000"/>
                <w:kern w:val="2"/>
                <w:sz w:val="20"/>
                <w:szCs w:val="20"/>
              </w:rPr>
              <w:t>CTLA-4/</w:t>
            </w:r>
            <w:proofErr w:type="spellStart"/>
            <w:r w:rsidRPr="001A0F0D">
              <w:rPr>
                <w:b/>
                <w:color w:val="000000"/>
                <w:kern w:val="2"/>
                <w:sz w:val="20"/>
                <w:szCs w:val="20"/>
              </w:rPr>
              <w:t>ipilimumab</w:t>
            </w:r>
            <w:proofErr w:type="spellEnd"/>
            <w:r w:rsidRPr="001A0F0D">
              <w:rPr>
                <w:b/>
                <w:color w:val="000000"/>
                <w:kern w:val="2"/>
                <w:sz w:val="20"/>
                <w:szCs w:val="20"/>
              </w:rPr>
              <w:t>-Fab</w:t>
            </w:r>
          </w:p>
        </w:tc>
        <w:tc>
          <w:tcPr>
            <w:tcW w:w="1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 w:rsidRPr="001A0F0D">
              <w:rPr>
                <w:b/>
                <w:color w:val="000000"/>
                <w:kern w:val="2"/>
                <w:sz w:val="20"/>
                <w:szCs w:val="20"/>
              </w:rPr>
              <w:t>CTLA-4/D138-dAb</w:t>
            </w:r>
          </w:p>
        </w:tc>
      </w:tr>
      <w:tr w:rsidR="001A0F0D" w:rsidRPr="001A0F0D" w:rsidTr="000F237E">
        <w:trPr>
          <w:trHeight w:val="199"/>
        </w:trPr>
        <w:tc>
          <w:tcPr>
            <w:tcW w:w="145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PDB code</w:t>
            </w:r>
          </w:p>
        </w:tc>
        <w:tc>
          <w:tcPr>
            <w:tcW w:w="188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6RP8</w:t>
            </w:r>
          </w:p>
        </w:tc>
        <w:tc>
          <w:tcPr>
            <w:tcW w:w="166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6RPJ</w:t>
            </w:r>
          </w:p>
        </w:tc>
      </w:tr>
      <w:tr w:rsidR="001A0F0D" w:rsidRPr="001A0F0D" w:rsidTr="000F237E">
        <w:trPr>
          <w:trHeight w:val="88"/>
        </w:trPr>
        <w:tc>
          <w:tcPr>
            <w:tcW w:w="1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14" w:lineRule="auto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Crystallization condition</w:t>
            </w:r>
          </w:p>
        </w:tc>
        <w:tc>
          <w:tcPr>
            <w:tcW w:w="18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kern w:val="2"/>
                <w:sz w:val="20"/>
                <w:szCs w:val="20"/>
              </w:rPr>
              <w:t>20% PEG 3000, 0.2M Ca(AC)</w:t>
            </w:r>
            <w:r w:rsidRPr="001A0F0D">
              <w:rPr>
                <w:kern w:val="2"/>
                <w:position w:val="-4"/>
                <w:sz w:val="20"/>
                <w:szCs w:val="20"/>
                <w:vertAlign w:val="subscript"/>
              </w:rPr>
              <w:t>2</w:t>
            </w:r>
            <w:r w:rsidRPr="001A0F0D">
              <w:rPr>
                <w:kern w:val="2"/>
                <w:sz w:val="20"/>
                <w:szCs w:val="20"/>
              </w:rPr>
              <w:t xml:space="preserve">, 0.1M </w:t>
            </w:r>
            <w:proofErr w:type="spellStart"/>
            <w:r w:rsidRPr="001A0F0D">
              <w:rPr>
                <w:kern w:val="2"/>
                <w:sz w:val="20"/>
                <w:szCs w:val="20"/>
              </w:rPr>
              <w:t>Hepes</w:t>
            </w:r>
            <w:proofErr w:type="spellEnd"/>
            <w:r w:rsidRPr="001A0F0D">
              <w:rPr>
                <w:kern w:val="2"/>
                <w:sz w:val="20"/>
                <w:szCs w:val="20"/>
              </w:rPr>
              <w:t xml:space="preserve"> pH 7.0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14" w:lineRule="auto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 xml:space="preserve">12% PEG 3350, 3% </w:t>
            </w:r>
            <w:proofErr w:type="spellStart"/>
            <w:r w:rsidRPr="001A0F0D">
              <w:rPr>
                <w:color w:val="000000"/>
                <w:kern w:val="2"/>
                <w:sz w:val="20"/>
                <w:szCs w:val="20"/>
              </w:rPr>
              <w:t>Tascimate</w:t>
            </w:r>
            <w:proofErr w:type="spellEnd"/>
            <w:r w:rsidRPr="001A0F0D">
              <w:rPr>
                <w:color w:val="000000"/>
                <w:kern w:val="2"/>
                <w:sz w:val="20"/>
                <w:szCs w:val="20"/>
              </w:rPr>
              <w:t xml:space="preserve"> pH5.0</w:t>
            </w:r>
          </w:p>
        </w:tc>
      </w:tr>
      <w:tr w:rsidR="001A0F0D" w:rsidRPr="001A0F0D" w:rsidTr="000F237E">
        <w:trPr>
          <w:trHeight w:val="199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/>
              <w:rPr>
                <w:rFonts w:eastAsia="宋体"/>
                <w:sz w:val="20"/>
                <w:szCs w:val="20"/>
              </w:rPr>
            </w:pPr>
            <w:r w:rsidRPr="001A0F0D">
              <w:rPr>
                <w:rFonts w:eastAsia="宋体"/>
                <w:b/>
                <w:bCs/>
                <w:sz w:val="20"/>
                <w:szCs w:val="20"/>
              </w:rPr>
              <w:t>Data collection</w:t>
            </w:r>
          </w:p>
        </w:tc>
      </w:tr>
      <w:tr w:rsidR="001A0F0D" w:rsidRPr="001A0F0D" w:rsidTr="000F237E">
        <w:trPr>
          <w:trHeight w:val="199"/>
        </w:trPr>
        <w:tc>
          <w:tcPr>
            <w:tcW w:w="1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Space group</w:t>
            </w:r>
          </w:p>
        </w:tc>
        <w:tc>
          <w:tcPr>
            <w:tcW w:w="18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P1211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C121</w:t>
            </w:r>
          </w:p>
        </w:tc>
      </w:tr>
      <w:tr w:rsidR="001A0F0D" w:rsidRPr="001A0F0D" w:rsidTr="000F237E">
        <w:trPr>
          <w:trHeight w:val="199"/>
        </w:trPr>
        <w:tc>
          <w:tcPr>
            <w:tcW w:w="1454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color w:val="000000"/>
                <w:kern w:val="2"/>
                <w:sz w:val="20"/>
                <w:szCs w:val="20"/>
              </w:rPr>
            </w:pPr>
            <w:r w:rsidRPr="001A0F0D">
              <w:rPr>
                <w:color w:val="000000"/>
                <w:sz w:val="20"/>
                <w:szCs w:val="20"/>
              </w:rPr>
              <w:t>Cell dimensions</w:t>
            </w:r>
          </w:p>
        </w:tc>
        <w:tc>
          <w:tcPr>
            <w:tcW w:w="18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/>
              <w:rPr>
                <w:color w:val="000000"/>
                <w:sz w:val="20"/>
                <w:szCs w:val="20"/>
              </w:rPr>
            </w:pPr>
          </w:p>
        </w:tc>
        <w:tc>
          <w:tcPr>
            <w:tcW w:w="166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color w:val="000000"/>
                <w:kern w:val="2"/>
                <w:sz w:val="20"/>
                <w:szCs w:val="20"/>
              </w:rPr>
            </w:pPr>
          </w:p>
        </w:tc>
      </w:tr>
      <w:tr w:rsidR="001A0F0D" w:rsidRPr="001A0F0D" w:rsidTr="000F237E">
        <w:trPr>
          <w:trHeight w:val="199"/>
        </w:trPr>
        <w:tc>
          <w:tcPr>
            <w:tcW w:w="1454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a, b, c (Å)</w:t>
            </w:r>
          </w:p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  <w:lang w:val="el-GR"/>
              </w:rPr>
              <w:t>α, β, γ (°)</w:t>
            </w:r>
          </w:p>
        </w:tc>
        <w:tc>
          <w:tcPr>
            <w:tcW w:w="18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56.91, 129.89, 76.91</w:t>
            </w:r>
          </w:p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90, 96.44, 90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309.98, 75.708, 83.047</w:t>
            </w:r>
          </w:p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90, 100.05, 90</w:t>
            </w:r>
          </w:p>
        </w:tc>
      </w:tr>
      <w:tr w:rsidR="001A0F0D" w:rsidRPr="001A0F0D" w:rsidTr="000F237E">
        <w:trPr>
          <w:trHeight w:val="199"/>
        </w:trPr>
        <w:tc>
          <w:tcPr>
            <w:tcW w:w="1454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Wavelength (Å)</w:t>
            </w:r>
          </w:p>
        </w:tc>
        <w:tc>
          <w:tcPr>
            <w:tcW w:w="18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0.9792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rFonts w:eastAsia="宋体"/>
                <w:color w:val="000000"/>
                <w:sz w:val="20"/>
                <w:szCs w:val="20"/>
              </w:rPr>
              <w:t>0.97915</w:t>
            </w:r>
          </w:p>
        </w:tc>
      </w:tr>
      <w:tr w:rsidR="001A0F0D" w:rsidRPr="001A0F0D" w:rsidTr="000F237E">
        <w:trPr>
          <w:trHeight w:val="199"/>
        </w:trPr>
        <w:tc>
          <w:tcPr>
            <w:tcW w:w="1454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Resolution (Å)</w:t>
            </w:r>
          </w:p>
        </w:tc>
        <w:tc>
          <w:tcPr>
            <w:tcW w:w="18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48.11-2.60 (2.72-2.60)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rFonts w:eastAsia="宋体"/>
                <w:color w:val="000000"/>
                <w:kern w:val="2"/>
                <w:sz w:val="20"/>
                <w:szCs w:val="20"/>
              </w:rPr>
              <w:t>50-3.25 (3.37-3.25)</w:t>
            </w:r>
          </w:p>
        </w:tc>
      </w:tr>
      <w:tr w:rsidR="001A0F0D" w:rsidRPr="001A0F0D" w:rsidTr="000F237E">
        <w:trPr>
          <w:trHeight w:val="199"/>
        </w:trPr>
        <w:tc>
          <w:tcPr>
            <w:tcW w:w="1454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Total NO. of observation</w:t>
            </w:r>
          </w:p>
        </w:tc>
        <w:tc>
          <w:tcPr>
            <w:tcW w:w="18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121541 (15065)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rFonts w:eastAsia="宋体"/>
                <w:color w:val="000000"/>
                <w:sz w:val="20"/>
                <w:szCs w:val="20"/>
              </w:rPr>
              <w:t>140556</w:t>
            </w:r>
            <w:r w:rsidRPr="001A0F0D">
              <w:rPr>
                <w:rFonts w:eastAsia="宋体"/>
                <w:color w:val="000000"/>
                <w:kern w:val="2"/>
                <w:sz w:val="20"/>
                <w:szCs w:val="20"/>
              </w:rPr>
              <w:t xml:space="preserve"> (27487)</w:t>
            </w:r>
          </w:p>
        </w:tc>
      </w:tr>
      <w:tr w:rsidR="001A0F0D" w:rsidRPr="001A0F0D" w:rsidTr="000F237E">
        <w:trPr>
          <w:trHeight w:val="199"/>
        </w:trPr>
        <w:tc>
          <w:tcPr>
            <w:tcW w:w="1454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Total NO. unique</w:t>
            </w:r>
          </w:p>
        </w:tc>
        <w:tc>
          <w:tcPr>
            <w:tcW w:w="18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34019 (4158</w:t>
            </w:r>
            <w:r w:rsidRPr="001A0F0D">
              <w:rPr>
                <w:color w:val="000000"/>
                <w:kern w:val="2"/>
                <w:sz w:val="20"/>
                <w:szCs w:val="20"/>
              </w:rPr>
              <w:t>）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rFonts w:eastAsia="宋体"/>
                <w:color w:val="000000"/>
                <w:sz w:val="20"/>
                <w:szCs w:val="20"/>
              </w:rPr>
              <w:t>30159</w:t>
            </w:r>
            <w:r w:rsidRPr="001A0F0D">
              <w:rPr>
                <w:rFonts w:eastAsia="宋体"/>
                <w:color w:val="000000"/>
                <w:kern w:val="2"/>
                <w:sz w:val="20"/>
                <w:szCs w:val="20"/>
              </w:rPr>
              <w:t xml:space="preserve"> (1926)</w:t>
            </w:r>
          </w:p>
        </w:tc>
      </w:tr>
      <w:tr w:rsidR="001A0F0D" w:rsidRPr="001A0F0D" w:rsidTr="000F237E">
        <w:trPr>
          <w:trHeight w:val="199"/>
        </w:trPr>
        <w:tc>
          <w:tcPr>
            <w:tcW w:w="1454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R</w:t>
            </w:r>
            <w:r w:rsidRPr="001A0F0D">
              <w:rPr>
                <w:color w:val="000000"/>
                <w:kern w:val="2"/>
                <w:position w:val="-4"/>
                <w:sz w:val="20"/>
                <w:szCs w:val="20"/>
                <w:vertAlign w:val="subscript"/>
              </w:rPr>
              <w:t>merge</w:t>
            </w:r>
          </w:p>
        </w:tc>
        <w:tc>
          <w:tcPr>
            <w:tcW w:w="18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0.17 (0.87)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rFonts w:eastAsia="宋体"/>
                <w:color w:val="000000"/>
                <w:kern w:val="2"/>
                <w:sz w:val="20"/>
                <w:szCs w:val="20"/>
              </w:rPr>
              <w:t>0.15 (0.72)</w:t>
            </w:r>
          </w:p>
        </w:tc>
      </w:tr>
      <w:tr w:rsidR="001A0F0D" w:rsidRPr="001A0F0D" w:rsidTr="000F237E">
        <w:trPr>
          <w:trHeight w:val="199"/>
        </w:trPr>
        <w:tc>
          <w:tcPr>
            <w:tcW w:w="1454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I/</w:t>
            </w:r>
            <w:r w:rsidRPr="001A0F0D">
              <w:rPr>
                <w:color w:val="000000"/>
                <w:kern w:val="2"/>
                <w:sz w:val="20"/>
                <w:szCs w:val="20"/>
                <w:lang w:val="el-GR"/>
              </w:rPr>
              <w:t>σ</w:t>
            </w:r>
            <w:r w:rsidRPr="001A0F0D">
              <w:rPr>
                <w:color w:val="000000"/>
                <w:kern w:val="2"/>
                <w:sz w:val="20"/>
                <w:szCs w:val="20"/>
              </w:rPr>
              <w:t>I</w:t>
            </w:r>
          </w:p>
        </w:tc>
        <w:tc>
          <w:tcPr>
            <w:tcW w:w="18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6.4 (1.5)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rFonts w:eastAsia="宋体"/>
                <w:color w:val="000000"/>
                <w:kern w:val="2"/>
                <w:sz w:val="20"/>
                <w:szCs w:val="20"/>
              </w:rPr>
              <w:t>8.0 (3.0)</w:t>
            </w:r>
          </w:p>
        </w:tc>
      </w:tr>
      <w:tr w:rsidR="001A0F0D" w:rsidRPr="001A0F0D" w:rsidTr="000F237E">
        <w:trPr>
          <w:trHeight w:val="199"/>
        </w:trPr>
        <w:tc>
          <w:tcPr>
            <w:tcW w:w="1454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Completeness (%)</w:t>
            </w:r>
          </w:p>
        </w:tc>
        <w:tc>
          <w:tcPr>
            <w:tcW w:w="18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99.3 (99.7)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rFonts w:eastAsia="宋体"/>
                <w:color w:val="000000"/>
                <w:kern w:val="2"/>
                <w:sz w:val="20"/>
                <w:szCs w:val="20"/>
              </w:rPr>
              <w:t>100 (99.9)</w:t>
            </w:r>
          </w:p>
        </w:tc>
      </w:tr>
      <w:tr w:rsidR="001A0F0D" w:rsidRPr="001A0F0D" w:rsidTr="000F237E">
        <w:trPr>
          <w:trHeight w:val="199"/>
        </w:trPr>
        <w:tc>
          <w:tcPr>
            <w:tcW w:w="1454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Multiplicity</w:t>
            </w:r>
          </w:p>
        </w:tc>
        <w:tc>
          <w:tcPr>
            <w:tcW w:w="18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3.6 (3.6)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rFonts w:eastAsia="宋体"/>
                <w:color w:val="000000"/>
                <w:kern w:val="2"/>
                <w:sz w:val="20"/>
                <w:szCs w:val="20"/>
              </w:rPr>
              <w:t>4.7 (4.5)</w:t>
            </w:r>
          </w:p>
        </w:tc>
      </w:tr>
      <w:tr w:rsidR="001A0F0D" w:rsidRPr="001A0F0D" w:rsidTr="000F237E">
        <w:trPr>
          <w:trHeight w:val="199"/>
        </w:trPr>
        <w:tc>
          <w:tcPr>
            <w:tcW w:w="1454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color w:val="000000"/>
                <w:kern w:val="2"/>
                <w:sz w:val="20"/>
                <w:szCs w:val="20"/>
              </w:rPr>
            </w:pPr>
            <w:r w:rsidRPr="001A0F0D">
              <w:rPr>
                <w:b/>
                <w:bCs/>
                <w:color w:val="000000"/>
                <w:sz w:val="20"/>
                <w:szCs w:val="20"/>
              </w:rPr>
              <w:t>Refinement</w:t>
            </w:r>
          </w:p>
        </w:tc>
        <w:tc>
          <w:tcPr>
            <w:tcW w:w="18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/>
              <w:rPr>
                <w:color w:val="000000"/>
                <w:sz w:val="20"/>
                <w:szCs w:val="20"/>
              </w:rPr>
            </w:pPr>
          </w:p>
        </w:tc>
        <w:tc>
          <w:tcPr>
            <w:tcW w:w="166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rFonts w:eastAsia="宋体"/>
                <w:color w:val="000000"/>
                <w:kern w:val="2"/>
                <w:sz w:val="20"/>
                <w:szCs w:val="20"/>
              </w:rPr>
            </w:pPr>
          </w:p>
        </w:tc>
      </w:tr>
      <w:tr w:rsidR="001A0F0D" w:rsidRPr="001A0F0D" w:rsidTr="000F237E">
        <w:trPr>
          <w:trHeight w:val="199"/>
        </w:trPr>
        <w:tc>
          <w:tcPr>
            <w:tcW w:w="1454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Resolution (Å)</w:t>
            </w:r>
          </w:p>
        </w:tc>
        <w:tc>
          <w:tcPr>
            <w:tcW w:w="18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48.11-2.60(2.667-2.60)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47.57-3.25 (3.329-3.25)</w:t>
            </w:r>
          </w:p>
        </w:tc>
      </w:tr>
      <w:tr w:rsidR="001A0F0D" w:rsidRPr="001A0F0D" w:rsidTr="000F237E">
        <w:trPr>
          <w:trHeight w:val="199"/>
        </w:trPr>
        <w:tc>
          <w:tcPr>
            <w:tcW w:w="1454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No. of reflections</w:t>
            </w:r>
          </w:p>
        </w:tc>
        <w:tc>
          <w:tcPr>
            <w:tcW w:w="18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 xml:space="preserve">33990 </w:t>
            </w:r>
            <w:r w:rsidRPr="001A0F0D">
              <w:rPr>
                <w:color w:val="000000"/>
                <w:kern w:val="2"/>
                <w:sz w:val="20"/>
                <w:szCs w:val="20"/>
              </w:rPr>
              <w:t>（</w:t>
            </w:r>
            <w:r w:rsidRPr="001A0F0D">
              <w:rPr>
                <w:color w:val="000000"/>
                <w:kern w:val="2"/>
                <w:sz w:val="20"/>
                <w:szCs w:val="20"/>
              </w:rPr>
              <w:t>1911</w:t>
            </w:r>
            <w:r w:rsidRPr="001A0F0D">
              <w:rPr>
                <w:color w:val="000000"/>
                <w:kern w:val="2"/>
                <w:sz w:val="20"/>
                <w:szCs w:val="20"/>
              </w:rPr>
              <w:t>）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27487 (1926)</w:t>
            </w:r>
          </w:p>
        </w:tc>
      </w:tr>
      <w:tr w:rsidR="001A0F0D" w:rsidRPr="001A0F0D" w:rsidTr="000F237E">
        <w:trPr>
          <w:trHeight w:val="199"/>
        </w:trPr>
        <w:tc>
          <w:tcPr>
            <w:tcW w:w="1454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No. of residues</w:t>
            </w:r>
          </w:p>
        </w:tc>
        <w:tc>
          <w:tcPr>
            <w:tcW w:w="18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1073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973</w:t>
            </w:r>
          </w:p>
        </w:tc>
      </w:tr>
      <w:tr w:rsidR="001A0F0D" w:rsidRPr="001A0F0D" w:rsidTr="000F237E">
        <w:trPr>
          <w:trHeight w:val="199"/>
        </w:trPr>
        <w:tc>
          <w:tcPr>
            <w:tcW w:w="1454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No. of atoms</w:t>
            </w:r>
          </w:p>
        </w:tc>
        <w:tc>
          <w:tcPr>
            <w:tcW w:w="18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8177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7424</w:t>
            </w:r>
          </w:p>
        </w:tc>
      </w:tr>
      <w:tr w:rsidR="001A0F0D" w:rsidRPr="001A0F0D" w:rsidTr="000F237E">
        <w:trPr>
          <w:trHeight w:val="199"/>
        </w:trPr>
        <w:tc>
          <w:tcPr>
            <w:tcW w:w="1454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R</w:t>
            </w:r>
            <w:r w:rsidRPr="001A0F0D">
              <w:rPr>
                <w:color w:val="000000"/>
                <w:kern w:val="2"/>
                <w:position w:val="-4"/>
                <w:sz w:val="20"/>
                <w:szCs w:val="20"/>
                <w:vertAlign w:val="subscript"/>
              </w:rPr>
              <w:t>work</w:t>
            </w:r>
            <w:r w:rsidRPr="001A0F0D">
              <w:rPr>
                <w:color w:val="000000"/>
                <w:kern w:val="2"/>
                <w:sz w:val="20"/>
                <w:szCs w:val="20"/>
              </w:rPr>
              <w:t>/R</w:t>
            </w:r>
            <w:r w:rsidRPr="001A0F0D">
              <w:rPr>
                <w:color w:val="000000"/>
                <w:kern w:val="2"/>
                <w:position w:val="-4"/>
                <w:sz w:val="20"/>
                <w:szCs w:val="20"/>
                <w:vertAlign w:val="subscript"/>
              </w:rPr>
              <w:t>free</w:t>
            </w:r>
          </w:p>
        </w:tc>
        <w:tc>
          <w:tcPr>
            <w:tcW w:w="18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0.211/0.267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0.248/0.263</w:t>
            </w:r>
          </w:p>
        </w:tc>
      </w:tr>
      <w:tr w:rsidR="001A0F0D" w:rsidRPr="001A0F0D" w:rsidTr="000F237E">
        <w:trPr>
          <w:trHeight w:val="199"/>
        </w:trPr>
        <w:tc>
          <w:tcPr>
            <w:tcW w:w="1454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B-factors (Å</w:t>
            </w:r>
            <w:r w:rsidRPr="001A0F0D">
              <w:rPr>
                <w:color w:val="000000"/>
                <w:kern w:val="2"/>
                <w:position w:val="5"/>
                <w:sz w:val="20"/>
                <w:szCs w:val="20"/>
                <w:vertAlign w:val="superscript"/>
              </w:rPr>
              <w:t>2</w:t>
            </w:r>
            <w:r w:rsidRPr="001A0F0D">
              <w:rPr>
                <w:color w:val="000000"/>
                <w:kern w:val="2"/>
                <w:sz w:val="20"/>
                <w:szCs w:val="20"/>
              </w:rPr>
              <w:t>)</w:t>
            </w:r>
          </w:p>
        </w:tc>
        <w:tc>
          <w:tcPr>
            <w:tcW w:w="18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45.0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98.0</w:t>
            </w:r>
          </w:p>
        </w:tc>
      </w:tr>
      <w:tr w:rsidR="001A0F0D" w:rsidRPr="001A0F0D" w:rsidTr="000F237E">
        <w:trPr>
          <w:trHeight w:val="199"/>
        </w:trPr>
        <w:tc>
          <w:tcPr>
            <w:tcW w:w="1454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Bond length RMSD (Å)</w:t>
            </w:r>
          </w:p>
        </w:tc>
        <w:tc>
          <w:tcPr>
            <w:tcW w:w="18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0.010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0.006</w:t>
            </w:r>
          </w:p>
        </w:tc>
      </w:tr>
      <w:tr w:rsidR="001A0F0D" w:rsidRPr="001A0F0D" w:rsidTr="000F237E">
        <w:trPr>
          <w:trHeight w:val="199"/>
        </w:trPr>
        <w:tc>
          <w:tcPr>
            <w:tcW w:w="1454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Bond angle RMSD (°)</w:t>
            </w:r>
          </w:p>
        </w:tc>
        <w:tc>
          <w:tcPr>
            <w:tcW w:w="18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1.227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0.937</w:t>
            </w:r>
          </w:p>
        </w:tc>
      </w:tr>
      <w:tr w:rsidR="001A0F0D" w:rsidRPr="001A0F0D" w:rsidTr="000F237E">
        <w:trPr>
          <w:trHeight w:val="199"/>
        </w:trPr>
        <w:tc>
          <w:tcPr>
            <w:tcW w:w="1454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color w:val="000000"/>
                <w:kern w:val="2"/>
                <w:sz w:val="20"/>
                <w:szCs w:val="20"/>
              </w:rPr>
            </w:pPr>
            <w:r w:rsidRPr="001A0F0D">
              <w:rPr>
                <w:b/>
                <w:bCs/>
                <w:color w:val="000000"/>
                <w:sz w:val="20"/>
                <w:szCs w:val="20"/>
              </w:rPr>
              <w:t>Ramachandran plot</w:t>
            </w:r>
          </w:p>
        </w:tc>
        <w:tc>
          <w:tcPr>
            <w:tcW w:w="18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/>
              <w:rPr>
                <w:color w:val="000000"/>
                <w:sz w:val="20"/>
                <w:szCs w:val="20"/>
              </w:rPr>
            </w:pPr>
          </w:p>
        </w:tc>
        <w:tc>
          <w:tcPr>
            <w:tcW w:w="166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color w:val="000000"/>
                <w:kern w:val="2"/>
                <w:sz w:val="20"/>
                <w:szCs w:val="20"/>
              </w:rPr>
            </w:pPr>
          </w:p>
        </w:tc>
      </w:tr>
      <w:tr w:rsidR="001A0F0D" w:rsidRPr="001A0F0D" w:rsidTr="000F237E">
        <w:trPr>
          <w:trHeight w:val="199"/>
        </w:trPr>
        <w:tc>
          <w:tcPr>
            <w:tcW w:w="1454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In Preferred Region (%)</w:t>
            </w:r>
          </w:p>
        </w:tc>
        <w:tc>
          <w:tcPr>
            <w:tcW w:w="18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96.3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94.6</w:t>
            </w:r>
          </w:p>
        </w:tc>
      </w:tr>
      <w:tr w:rsidR="001A0F0D" w:rsidRPr="001A0F0D" w:rsidTr="000F237E">
        <w:trPr>
          <w:trHeight w:val="199"/>
        </w:trPr>
        <w:tc>
          <w:tcPr>
            <w:tcW w:w="1454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In Allowed Region (%)</w:t>
            </w:r>
          </w:p>
        </w:tc>
        <w:tc>
          <w:tcPr>
            <w:tcW w:w="18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3.7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5.33</w:t>
            </w:r>
          </w:p>
        </w:tc>
      </w:tr>
      <w:tr w:rsidR="001A0F0D" w:rsidRPr="001A0F0D" w:rsidTr="000F237E">
        <w:trPr>
          <w:trHeight w:val="199"/>
        </w:trPr>
        <w:tc>
          <w:tcPr>
            <w:tcW w:w="1454" w:type="pct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Outliers (%)</w:t>
            </w:r>
          </w:p>
        </w:tc>
        <w:tc>
          <w:tcPr>
            <w:tcW w:w="18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0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0.10</w:t>
            </w:r>
          </w:p>
        </w:tc>
      </w:tr>
    </w:tbl>
    <w:p w:rsidR="001A0F0D" w:rsidRPr="001A0F0D" w:rsidRDefault="001A0F0D" w:rsidP="001A0F0D"/>
    <w:tbl>
      <w:tblPr>
        <w:tblW w:w="39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9"/>
        <w:gridCol w:w="1677"/>
        <w:gridCol w:w="1852"/>
        <w:gridCol w:w="1883"/>
      </w:tblGrid>
      <w:tr w:rsidR="001A0F0D" w:rsidRPr="001A0F0D" w:rsidTr="000F237E">
        <w:trPr>
          <w:trHeight w:val="285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jc w:val="both"/>
              <w:rPr>
                <w:rFonts w:hint="eastAsia"/>
                <w:b/>
                <w:bCs/>
                <w:color w:val="000000"/>
              </w:rPr>
            </w:pPr>
            <w:r w:rsidRPr="001A0F0D">
              <w:rPr>
                <w:b/>
                <w:bCs/>
                <w:color w:val="000000"/>
              </w:rPr>
              <w:lastRenderedPageBreak/>
              <w:t>Supplementary Table 2. Hydrogen bonds and salt bridges between CTLA-4 and D138-dAb</w:t>
            </w:r>
            <w:r w:rsidRPr="001A0F0D">
              <w:rPr>
                <w:b/>
                <w:bCs/>
                <w:color w:val="000000"/>
              </w:rPr>
              <w:t>（</w:t>
            </w:r>
            <w:r w:rsidRPr="001A0F0D">
              <w:rPr>
                <w:b/>
                <w:bCs/>
                <w:color w:val="000000"/>
              </w:rPr>
              <w:t>distance ≤ 3.7Å</w:t>
            </w:r>
            <w:r w:rsidRPr="001A0F0D">
              <w:rPr>
                <w:b/>
                <w:bCs/>
                <w:color w:val="000000"/>
              </w:rPr>
              <w:t>）</w:t>
            </w:r>
          </w:p>
        </w:tc>
      </w:tr>
      <w:tr w:rsidR="001A0F0D" w:rsidRPr="001A0F0D" w:rsidTr="000F237E">
        <w:trPr>
          <w:trHeight w:val="407"/>
        </w:trPr>
        <w:tc>
          <w:tcPr>
            <w:tcW w:w="116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napToGrid w:val="0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1A0F0D">
              <w:rPr>
                <w:b/>
                <w:color w:val="000000"/>
                <w:sz w:val="20"/>
                <w:szCs w:val="20"/>
              </w:rPr>
              <w:t>CTLA-4 contact residue</w:t>
            </w:r>
          </w:p>
        </w:tc>
        <w:tc>
          <w:tcPr>
            <w:tcW w:w="1189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napToGrid w:val="0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1A0F0D">
              <w:rPr>
                <w:b/>
                <w:color w:val="000000"/>
                <w:sz w:val="20"/>
                <w:szCs w:val="20"/>
              </w:rPr>
              <w:t>CTLA-4</w:t>
            </w:r>
            <w:r w:rsidRPr="001A0F0D">
              <w:rPr>
                <w:b/>
                <w:sz w:val="20"/>
                <w:szCs w:val="20"/>
              </w:rPr>
              <w:t xml:space="preserve"> </w:t>
            </w:r>
            <w:r w:rsidRPr="001A0F0D">
              <w:rPr>
                <w:b/>
                <w:color w:val="000000"/>
                <w:sz w:val="20"/>
                <w:szCs w:val="20"/>
              </w:rPr>
              <w:t>residue location</w:t>
            </w:r>
          </w:p>
        </w:tc>
        <w:tc>
          <w:tcPr>
            <w:tcW w:w="131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napToGrid w:val="0"/>
              <w:spacing w:before="0" w:beforeAutospacing="0" w:after="0" w:afterAutospacing="0"/>
              <w:jc w:val="center"/>
              <w:rPr>
                <w:b/>
                <w:color w:val="000000"/>
                <w:sz w:val="20"/>
                <w:szCs w:val="20"/>
              </w:rPr>
            </w:pPr>
            <w:r w:rsidRPr="001A0F0D">
              <w:rPr>
                <w:b/>
                <w:color w:val="000000"/>
                <w:sz w:val="20"/>
                <w:szCs w:val="20"/>
              </w:rPr>
              <w:t>D138-dAb</w:t>
            </w:r>
            <w:r w:rsidRPr="001A0F0D">
              <w:rPr>
                <w:b/>
                <w:sz w:val="20"/>
                <w:szCs w:val="20"/>
              </w:rPr>
              <w:t xml:space="preserve"> </w:t>
            </w:r>
            <w:r w:rsidRPr="001A0F0D">
              <w:rPr>
                <w:b/>
                <w:color w:val="000000"/>
                <w:sz w:val="20"/>
                <w:szCs w:val="20"/>
              </w:rPr>
              <w:t>contact</w:t>
            </w:r>
          </w:p>
          <w:p w:rsidR="001A0F0D" w:rsidRPr="001A0F0D" w:rsidRDefault="001A0F0D" w:rsidP="000F237E">
            <w:pPr>
              <w:pStyle w:val="a7"/>
              <w:snapToGrid w:val="0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1A0F0D">
              <w:rPr>
                <w:b/>
                <w:color w:val="000000"/>
                <w:sz w:val="20"/>
                <w:szCs w:val="20"/>
              </w:rPr>
              <w:t>residue</w:t>
            </w:r>
          </w:p>
        </w:tc>
        <w:tc>
          <w:tcPr>
            <w:tcW w:w="1334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napToGrid w:val="0"/>
              <w:spacing w:before="0" w:beforeAutospacing="0" w:after="0" w:afterAutospacing="0"/>
              <w:jc w:val="center"/>
              <w:rPr>
                <w:b/>
                <w:color w:val="000000"/>
                <w:sz w:val="20"/>
                <w:szCs w:val="20"/>
              </w:rPr>
            </w:pPr>
            <w:r w:rsidRPr="001A0F0D">
              <w:rPr>
                <w:b/>
                <w:color w:val="000000"/>
                <w:sz w:val="20"/>
                <w:szCs w:val="20"/>
              </w:rPr>
              <w:t>D138-dAb</w:t>
            </w:r>
            <w:r w:rsidRPr="001A0F0D">
              <w:rPr>
                <w:b/>
                <w:sz w:val="20"/>
                <w:szCs w:val="20"/>
              </w:rPr>
              <w:t xml:space="preserve"> </w:t>
            </w:r>
            <w:r w:rsidRPr="001A0F0D">
              <w:rPr>
                <w:b/>
                <w:color w:val="000000"/>
                <w:sz w:val="20"/>
                <w:szCs w:val="20"/>
              </w:rPr>
              <w:t>residue</w:t>
            </w:r>
          </w:p>
          <w:p w:rsidR="001A0F0D" w:rsidRPr="001A0F0D" w:rsidRDefault="001A0F0D" w:rsidP="000F237E">
            <w:pPr>
              <w:pStyle w:val="a7"/>
              <w:snapToGrid w:val="0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1A0F0D">
              <w:rPr>
                <w:b/>
                <w:color w:val="000000"/>
                <w:sz w:val="20"/>
                <w:szCs w:val="20"/>
              </w:rPr>
              <w:t>location</w:t>
            </w:r>
          </w:p>
        </w:tc>
      </w:tr>
      <w:tr w:rsidR="001A0F0D" w:rsidRPr="001A0F0D" w:rsidTr="000F237E">
        <w:trPr>
          <w:trHeight w:val="326"/>
        </w:trPr>
        <w:tc>
          <w:tcPr>
            <w:tcW w:w="1163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V46</w:t>
            </w:r>
          </w:p>
        </w:tc>
        <w:tc>
          <w:tcPr>
            <w:tcW w:w="1189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C’ strand</w:t>
            </w:r>
          </w:p>
        </w:tc>
        <w:tc>
          <w:tcPr>
            <w:tcW w:w="1313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N29</w:t>
            </w:r>
          </w:p>
        </w:tc>
        <w:tc>
          <w:tcPr>
            <w:tcW w:w="1334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rFonts w:eastAsia="宋体"/>
                <w:color w:val="000000"/>
                <w:kern w:val="2"/>
                <w:sz w:val="20"/>
                <w:szCs w:val="20"/>
              </w:rPr>
              <w:t>CDR1</w:t>
            </w:r>
          </w:p>
        </w:tc>
      </w:tr>
      <w:tr w:rsidR="001A0F0D" w:rsidRPr="001A0F0D" w:rsidTr="000F237E">
        <w:trPr>
          <w:trHeight w:val="326"/>
        </w:trPr>
        <w:tc>
          <w:tcPr>
            <w:tcW w:w="1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T47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C’ strand</w:t>
            </w:r>
          </w:p>
        </w:tc>
        <w:tc>
          <w:tcPr>
            <w:tcW w:w="1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N29</w:t>
            </w:r>
          </w:p>
        </w:tc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rFonts w:eastAsia="宋体"/>
                <w:color w:val="000000"/>
                <w:kern w:val="2"/>
                <w:sz w:val="20"/>
                <w:szCs w:val="20"/>
              </w:rPr>
              <w:t>CDR1</w:t>
            </w:r>
          </w:p>
        </w:tc>
      </w:tr>
      <w:tr w:rsidR="001A0F0D" w:rsidRPr="001A0F0D" w:rsidTr="000F237E">
        <w:trPr>
          <w:trHeight w:val="326"/>
        </w:trPr>
        <w:tc>
          <w:tcPr>
            <w:tcW w:w="1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rFonts w:eastAsia="宋体"/>
                <w:color w:val="000000"/>
                <w:kern w:val="2"/>
                <w:sz w:val="20"/>
                <w:szCs w:val="20"/>
              </w:rPr>
              <w:t>E48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C’ strand</w:t>
            </w:r>
          </w:p>
        </w:tc>
        <w:tc>
          <w:tcPr>
            <w:tcW w:w="1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G102</w:t>
            </w:r>
          </w:p>
        </w:tc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CDR3</w:t>
            </w:r>
          </w:p>
        </w:tc>
      </w:tr>
      <w:tr w:rsidR="001A0F0D" w:rsidRPr="001A0F0D" w:rsidTr="000F237E">
        <w:trPr>
          <w:trHeight w:val="326"/>
        </w:trPr>
        <w:tc>
          <w:tcPr>
            <w:tcW w:w="1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rFonts w:eastAsia="宋体"/>
                <w:color w:val="000000"/>
                <w:kern w:val="2"/>
                <w:sz w:val="20"/>
                <w:szCs w:val="20"/>
              </w:rPr>
              <w:t>E48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C’ strand</w:t>
            </w:r>
          </w:p>
        </w:tc>
        <w:tc>
          <w:tcPr>
            <w:tcW w:w="1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A104</w:t>
            </w:r>
          </w:p>
        </w:tc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CDR3</w:t>
            </w:r>
          </w:p>
        </w:tc>
      </w:tr>
      <w:tr w:rsidR="001A0F0D" w:rsidRPr="001A0F0D" w:rsidTr="000F237E">
        <w:trPr>
          <w:trHeight w:val="326"/>
        </w:trPr>
        <w:tc>
          <w:tcPr>
            <w:tcW w:w="1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rFonts w:eastAsia="宋体"/>
                <w:color w:val="000000"/>
                <w:kern w:val="2"/>
                <w:sz w:val="20"/>
                <w:szCs w:val="20"/>
              </w:rPr>
              <w:t>E48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rFonts w:eastAsia="宋体"/>
                <w:color w:val="000000"/>
                <w:kern w:val="2"/>
                <w:sz w:val="20"/>
                <w:szCs w:val="20"/>
              </w:rPr>
              <w:t>C’ strand</w:t>
            </w:r>
          </w:p>
        </w:tc>
        <w:tc>
          <w:tcPr>
            <w:tcW w:w="1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W105</w:t>
            </w:r>
          </w:p>
        </w:tc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CDR3</w:t>
            </w:r>
          </w:p>
        </w:tc>
      </w:tr>
      <w:tr w:rsidR="001A0F0D" w:rsidRPr="001A0F0D" w:rsidTr="000F237E">
        <w:trPr>
          <w:trHeight w:val="326"/>
        </w:trPr>
        <w:tc>
          <w:tcPr>
            <w:tcW w:w="1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rFonts w:eastAsia="宋体"/>
                <w:color w:val="000000"/>
                <w:kern w:val="2"/>
                <w:sz w:val="20"/>
                <w:szCs w:val="20"/>
              </w:rPr>
              <w:t>D64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rFonts w:eastAsia="宋体"/>
                <w:color w:val="000000"/>
                <w:kern w:val="2"/>
                <w:sz w:val="20"/>
                <w:szCs w:val="20"/>
              </w:rPr>
              <w:t>C’’D loop</w:t>
            </w:r>
          </w:p>
        </w:tc>
        <w:tc>
          <w:tcPr>
            <w:tcW w:w="1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R108</w:t>
            </w:r>
          </w:p>
        </w:tc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CDR3</w:t>
            </w:r>
          </w:p>
        </w:tc>
      </w:tr>
      <w:tr w:rsidR="001A0F0D" w:rsidRPr="001A0F0D" w:rsidTr="000F237E">
        <w:trPr>
          <w:trHeight w:val="326"/>
        </w:trPr>
        <w:tc>
          <w:tcPr>
            <w:tcW w:w="1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D65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rFonts w:eastAsia="宋体"/>
                <w:color w:val="000000"/>
                <w:kern w:val="2"/>
                <w:sz w:val="20"/>
                <w:szCs w:val="20"/>
              </w:rPr>
              <w:t>C’’D loop</w:t>
            </w:r>
          </w:p>
        </w:tc>
        <w:tc>
          <w:tcPr>
            <w:tcW w:w="1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R47</w:t>
            </w:r>
          </w:p>
        </w:tc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C’ strand</w:t>
            </w:r>
          </w:p>
        </w:tc>
      </w:tr>
      <w:tr w:rsidR="001A0F0D" w:rsidRPr="001A0F0D" w:rsidTr="000F237E">
        <w:trPr>
          <w:trHeight w:val="326"/>
        </w:trPr>
        <w:tc>
          <w:tcPr>
            <w:tcW w:w="1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D65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rFonts w:eastAsia="宋体"/>
                <w:color w:val="000000"/>
                <w:kern w:val="2"/>
                <w:sz w:val="20"/>
                <w:szCs w:val="20"/>
              </w:rPr>
              <w:t>C’’D loop</w:t>
            </w:r>
          </w:p>
        </w:tc>
        <w:tc>
          <w:tcPr>
            <w:tcW w:w="1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C106</w:t>
            </w:r>
          </w:p>
        </w:tc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CDR3</w:t>
            </w:r>
          </w:p>
        </w:tc>
      </w:tr>
      <w:tr w:rsidR="001A0F0D" w:rsidRPr="001A0F0D" w:rsidTr="000F237E">
        <w:trPr>
          <w:trHeight w:val="326"/>
        </w:trPr>
        <w:tc>
          <w:tcPr>
            <w:tcW w:w="1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D65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rFonts w:eastAsia="宋体"/>
                <w:color w:val="000000"/>
                <w:kern w:val="2"/>
                <w:sz w:val="20"/>
                <w:szCs w:val="20"/>
              </w:rPr>
              <w:t>C’’D loop</w:t>
            </w:r>
          </w:p>
        </w:tc>
        <w:tc>
          <w:tcPr>
            <w:tcW w:w="1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R108</w:t>
            </w:r>
          </w:p>
        </w:tc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CDR3</w:t>
            </w:r>
          </w:p>
        </w:tc>
      </w:tr>
      <w:tr w:rsidR="001A0F0D" w:rsidRPr="001A0F0D" w:rsidTr="000F237E">
        <w:trPr>
          <w:trHeight w:val="326"/>
        </w:trPr>
        <w:tc>
          <w:tcPr>
            <w:tcW w:w="1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G83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rFonts w:eastAsia="宋体"/>
                <w:color w:val="000000"/>
                <w:kern w:val="2"/>
                <w:sz w:val="20"/>
                <w:szCs w:val="20"/>
              </w:rPr>
              <w:t>DE loop</w:t>
            </w:r>
          </w:p>
        </w:tc>
        <w:tc>
          <w:tcPr>
            <w:tcW w:w="1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T56</w:t>
            </w:r>
          </w:p>
        </w:tc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rFonts w:eastAsia="宋体"/>
                <w:color w:val="000000"/>
                <w:kern w:val="2"/>
                <w:sz w:val="20"/>
                <w:szCs w:val="20"/>
              </w:rPr>
              <w:t>CDR2</w:t>
            </w:r>
          </w:p>
        </w:tc>
      </w:tr>
      <w:tr w:rsidR="001A0F0D" w:rsidRPr="001A0F0D" w:rsidTr="000F237E">
        <w:trPr>
          <w:trHeight w:val="326"/>
        </w:trPr>
        <w:tc>
          <w:tcPr>
            <w:tcW w:w="116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rFonts w:eastAsia="宋体"/>
                <w:color w:val="000000"/>
                <w:kern w:val="2"/>
                <w:sz w:val="20"/>
                <w:szCs w:val="20"/>
              </w:rPr>
              <w:t>D88</w:t>
            </w:r>
          </w:p>
        </w:tc>
        <w:tc>
          <w:tcPr>
            <w:tcW w:w="118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rFonts w:eastAsia="宋体"/>
                <w:color w:val="000000"/>
                <w:kern w:val="2"/>
                <w:sz w:val="20"/>
                <w:szCs w:val="20"/>
              </w:rPr>
              <w:t>DE loop</w:t>
            </w:r>
          </w:p>
        </w:tc>
        <w:tc>
          <w:tcPr>
            <w:tcW w:w="131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color w:val="000000"/>
                <w:kern w:val="2"/>
                <w:sz w:val="20"/>
                <w:szCs w:val="20"/>
              </w:rPr>
              <w:t>G55</w:t>
            </w:r>
          </w:p>
        </w:tc>
        <w:tc>
          <w:tcPr>
            <w:tcW w:w="1334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1A0F0D">
              <w:rPr>
                <w:rFonts w:eastAsia="宋体"/>
                <w:color w:val="000000"/>
                <w:kern w:val="2"/>
                <w:sz w:val="20"/>
                <w:szCs w:val="20"/>
              </w:rPr>
              <w:t>CDR2</w:t>
            </w:r>
          </w:p>
        </w:tc>
      </w:tr>
    </w:tbl>
    <w:p w:rsidR="001A0F0D" w:rsidRPr="001A0F0D" w:rsidRDefault="001A0F0D" w:rsidP="001A0F0D">
      <w:pPr>
        <w:jc w:val="left"/>
        <w:rPr>
          <w:rFonts w:ascii="Times New Roman" w:hAnsi="Times New Roman"/>
          <w:sz w:val="20"/>
          <w:szCs w:val="20"/>
        </w:rPr>
      </w:pPr>
    </w:p>
    <w:p w:rsidR="001A0F0D" w:rsidRPr="001A0F0D" w:rsidRDefault="001A0F0D" w:rsidP="001A0F0D">
      <w:pPr>
        <w:widowControl/>
        <w:jc w:val="left"/>
        <w:rPr>
          <w:rFonts w:ascii="Times New Roman" w:hAnsi="Times New Roman"/>
        </w:rPr>
      </w:pPr>
      <w:r w:rsidRPr="001A0F0D">
        <w:rPr>
          <w:rFonts w:ascii="Times New Roman" w:hAnsi="Times New Roman"/>
          <w:sz w:val="20"/>
          <w:szCs w:val="20"/>
        </w:rPr>
        <w:br w:type="page"/>
      </w:r>
    </w:p>
    <w:tbl>
      <w:tblPr>
        <w:tblW w:w="8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1"/>
        <w:gridCol w:w="2022"/>
        <w:gridCol w:w="2021"/>
        <w:gridCol w:w="2025"/>
      </w:tblGrid>
      <w:tr w:rsidR="001A0F0D" w:rsidRPr="001A0F0D" w:rsidTr="000F237E">
        <w:trPr>
          <w:trHeight w:val="482"/>
        </w:trPr>
        <w:tc>
          <w:tcPr>
            <w:tcW w:w="808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jc w:val="both"/>
              <w:rPr>
                <w:b/>
                <w:bCs/>
                <w:color w:val="000000"/>
              </w:rPr>
            </w:pPr>
            <w:r w:rsidRPr="001A0F0D">
              <w:rPr>
                <w:b/>
                <w:bCs/>
                <w:color w:val="000000"/>
              </w:rPr>
              <w:lastRenderedPageBreak/>
              <w:t>Supplementary Table 3. Binding affinities of CTLA-4 variants towards D138</w:t>
            </w:r>
          </w:p>
        </w:tc>
      </w:tr>
      <w:tr w:rsidR="001A0F0D" w:rsidRPr="001A0F0D" w:rsidTr="000F237E">
        <w:trPr>
          <w:trHeight w:val="455"/>
        </w:trPr>
        <w:tc>
          <w:tcPr>
            <w:tcW w:w="202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b/>
                <w:sz w:val="20"/>
              </w:rPr>
            </w:pPr>
            <w:r w:rsidRPr="001A0F0D">
              <w:rPr>
                <w:b/>
                <w:color w:val="000000"/>
                <w:sz w:val="20"/>
              </w:rPr>
              <w:t>CTLA-4 variants</w:t>
            </w:r>
          </w:p>
        </w:tc>
        <w:tc>
          <w:tcPr>
            <w:tcW w:w="202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b/>
                <w:sz w:val="20"/>
              </w:rPr>
            </w:pPr>
            <w:proofErr w:type="spellStart"/>
            <w:r w:rsidRPr="001A0F0D">
              <w:rPr>
                <w:b/>
                <w:color w:val="000000"/>
                <w:sz w:val="20"/>
              </w:rPr>
              <w:t>Kd</w:t>
            </w:r>
            <w:proofErr w:type="spellEnd"/>
            <w:r w:rsidRPr="001A0F0D">
              <w:rPr>
                <w:b/>
                <w:color w:val="000000"/>
                <w:sz w:val="20"/>
              </w:rPr>
              <w:t xml:space="preserve"> (M)</w:t>
            </w:r>
          </w:p>
        </w:tc>
        <w:tc>
          <w:tcPr>
            <w:tcW w:w="202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b/>
                <w:sz w:val="20"/>
              </w:rPr>
            </w:pPr>
            <w:proofErr w:type="spellStart"/>
            <w:r w:rsidRPr="001A0F0D">
              <w:rPr>
                <w:b/>
                <w:color w:val="000000"/>
                <w:sz w:val="20"/>
              </w:rPr>
              <w:t>K</w:t>
            </w:r>
            <w:r w:rsidRPr="001A0F0D">
              <w:rPr>
                <w:b/>
                <w:color w:val="000000"/>
                <w:sz w:val="20"/>
                <w:vertAlign w:val="subscript"/>
              </w:rPr>
              <w:t>on</w:t>
            </w:r>
            <w:proofErr w:type="spellEnd"/>
            <w:r w:rsidRPr="001A0F0D">
              <w:rPr>
                <w:b/>
                <w:color w:val="000000"/>
                <w:sz w:val="20"/>
              </w:rPr>
              <w:t xml:space="preserve"> (1/</w:t>
            </w:r>
            <w:proofErr w:type="spellStart"/>
            <w:r w:rsidRPr="001A0F0D">
              <w:rPr>
                <w:b/>
                <w:color w:val="000000"/>
                <w:sz w:val="20"/>
              </w:rPr>
              <w:t>Ms</w:t>
            </w:r>
            <w:proofErr w:type="spellEnd"/>
            <w:r w:rsidRPr="001A0F0D">
              <w:rPr>
                <w:b/>
                <w:color w:val="000000"/>
                <w:sz w:val="20"/>
              </w:rPr>
              <w:t>)</w:t>
            </w:r>
          </w:p>
        </w:tc>
        <w:tc>
          <w:tcPr>
            <w:tcW w:w="202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b/>
                <w:sz w:val="20"/>
              </w:rPr>
            </w:pPr>
            <w:proofErr w:type="spellStart"/>
            <w:r w:rsidRPr="001A0F0D">
              <w:rPr>
                <w:b/>
                <w:color w:val="000000"/>
                <w:sz w:val="20"/>
              </w:rPr>
              <w:t>K</w:t>
            </w:r>
            <w:r w:rsidRPr="001A0F0D">
              <w:rPr>
                <w:b/>
                <w:color w:val="000000"/>
                <w:sz w:val="20"/>
                <w:vertAlign w:val="subscript"/>
              </w:rPr>
              <w:t>off</w:t>
            </w:r>
            <w:proofErr w:type="spellEnd"/>
            <w:r w:rsidRPr="001A0F0D">
              <w:rPr>
                <w:b/>
                <w:color w:val="000000"/>
                <w:sz w:val="20"/>
              </w:rPr>
              <w:t xml:space="preserve"> (1/s)</w:t>
            </w:r>
          </w:p>
        </w:tc>
      </w:tr>
      <w:tr w:rsidR="001A0F0D" w:rsidRPr="001A0F0D" w:rsidTr="000F237E">
        <w:trPr>
          <w:trHeight w:val="364"/>
        </w:trPr>
        <w:tc>
          <w:tcPr>
            <w:tcW w:w="202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WT</w:t>
            </w:r>
          </w:p>
        </w:tc>
        <w:tc>
          <w:tcPr>
            <w:tcW w:w="202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5.21E-08</w:t>
            </w:r>
            <w:r w:rsidRPr="001A0F0D">
              <w:rPr>
                <w:kern w:val="24"/>
                <w:sz w:val="20"/>
                <w:vertAlign w:val="superscript"/>
              </w:rPr>
              <w:t>#</w:t>
            </w:r>
          </w:p>
        </w:tc>
        <w:tc>
          <w:tcPr>
            <w:tcW w:w="202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1.29E+05</w:t>
            </w:r>
          </w:p>
        </w:tc>
        <w:tc>
          <w:tcPr>
            <w:tcW w:w="202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6.70E-03</w:t>
            </w:r>
          </w:p>
        </w:tc>
      </w:tr>
      <w:tr w:rsidR="001A0F0D" w:rsidRPr="001A0F0D" w:rsidTr="000F237E">
        <w:trPr>
          <w:trHeight w:val="364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T47A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7.27E-07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2.69E+04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1.95E-02</w:t>
            </w:r>
          </w:p>
        </w:tc>
      </w:tr>
      <w:tr w:rsidR="001A0F0D" w:rsidRPr="001A0F0D" w:rsidTr="000F237E">
        <w:trPr>
          <w:trHeight w:val="364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E48A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—</w:t>
            </w:r>
            <w:r w:rsidRPr="001A0F0D">
              <w:rPr>
                <w:kern w:val="24"/>
                <w:sz w:val="20"/>
                <w:vertAlign w:val="superscript"/>
              </w:rPr>
              <w:t>*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—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—</w:t>
            </w:r>
          </w:p>
        </w:tc>
      </w:tr>
      <w:tr w:rsidR="001A0F0D" w:rsidRPr="001A0F0D" w:rsidTr="000F237E">
        <w:trPr>
          <w:trHeight w:val="364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V49A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—</w:t>
            </w:r>
            <w:r w:rsidRPr="001A0F0D">
              <w:rPr>
                <w:kern w:val="24"/>
                <w:sz w:val="20"/>
                <w:vertAlign w:val="superscript"/>
              </w:rPr>
              <w:t>*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—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—</w:t>
            </w:r>
          </w:p>
        </w:tc>
      </w:tr>
      <w:tr w:rsidR="001A0F0D" w:rsidRPr="001A0F0D" w:rsidTr="000F237E">
        <w:trPr>
          <w:trHeight w:val="364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L63A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2.91E-08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2.74E+05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8.00E-03</w:t>
            </w:r>
          </w:p>
        </w:tc>
      </w:tr>
      <w:tr w:rsidR="001A0F0D" w:rsidRPr="001A0F0D" w:rsidTr="000F237E">
        <w:trPr>
          <w:trHeight w:val="364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D64A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3.15E-05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4.17E+02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1.32E-02</w:t>
            </w:r>
          </w:p>
        </w:tc>
      </w:tr>
      <w:tr w:rsidR="001A0F0D" w:rsidRPr="001A0F0D" w:rsidTr="000F237E">
        <w:trPr>
          <w:trHeight w:val="364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D65A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—</w:t>
            </w:r>
            <w:r w:rsidRPr="001A0F0D">
              <w:rPr>
                <w:kern w:val="24"/>
                <w:sz w:val="20"/>
                <w:vertAlign w:val="superscript"/>
              </w:rPr>
              <w:t>*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—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—</w:t>
            </w:r>
          </w:p>
        </w:tc>
      </w:tr>
      <w:tr w:rsidR="001A0F0D" w:rsidRPr="001A0F0D" w:rsidTr="000F237E">
        <w:trPr>
          <w:trHeight w:val="364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I67A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1.36E-06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6.96E+04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9.48E-02</w:t>
            </w:r>
          </w:p>
        </w:tc>
      </w:tr>
      <w:tr w:rsidR="001A0F0D" w:rsidRPr="001A0F0D" w:rsidTr="000F237E">
        <w:trPr>
          <w:trHeight w:val="364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D88A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—</w:t>
            </w:r>
            <w:r w:rsidRPr="001A0F0D">
              <w:rPr>
                <w:kern w:val="24"/>
                <w:sz w:val="20"/>
                <w:vertAlign w:val="superscript"/>
              </w:rPr>
              <w:t>*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—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—</w:t>
            </w:r>
          </w:p>
        </w:tc>
      </w:tr>
      <w:tr w:rsidR="001A0F0D" w:rsidRPr="001A0F0D" w:rsidTr="000F237E">
        <w:trPr>
          <w:trHeight w:val="364"/>
        </w:trPr>
        <w:tc>
          <w:tcPr>
            <w:tcW w:w="202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Y92A</w:t>
            </w:r>
          </w:p>
        </w:tc>
        <w:tc>
          <w:tcPr>
            <w:tcW w:w="202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—</w:t>
            </w:r>
            <w:r w:rsidRPr="001A0F0D">
              <w:rPr>
                <w:kern w:val="24"/>
                <w:sz w:val="20"/>
                <w:vertAlign w:val="superscript"/>
              </w:rPr>
              <w:t>*</w:t>
            </w:r>
          </w:p>
        </w:tc>
        <w:tc>
          <w:tcPr>
            <w:tcW w:w="202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—</w:t>
            </w:r>
          </w:p>
        </w:tc>
        <w:tc>
          <w:tcPr>
            <w:tcW w:w="202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both"/>
              <w:rPr>
                <w:sz w:val="20"/>
              </w:rPr>
            </w:pPr>
            <w:r w:rsidRPr="001A0F0D">
              <w:rPr>
                <w:kern w:val="24"/>
                <w:sz w:val="20"/>
              </w:rPr>
              <w:t>—</w:t>
            </w:r>
          </w:p>
        </w:tc>
      </w:tr>
    </w:tbl>
    <w:p w:rsidR="001A0F0D" w:rsidRPr="001A0F0D" w:rsidRDefault="001A0F0D" w:rsidP="001A0F0D">
      <w:pPr>
        <w:ind w:firstLineChars="50" w:firstLine="120"/>
        <w:rPr>
          <w:rFonts w:ascii="Times New Roman" w:hAnsi="Times New Roman"/>
        </w:rPr>
      </w:pPr>
      <w:r w:rsidRPr="001A0F0D">
        <w:rPr>
          <w:rFonts w:ascii="Times New Roman" w:hAnsi="Times New Roman"/>
          <w:vertAlign w:val="superscript"/>
        </w:rPr>
        <w:t>#</w:t>
      </w:r>
      <w:r w:rsidRPr="001A0F0D">
        <w:rPr>
          <w:rFonts w:ascii="Times New Roman" w:hAnsi="Times New Roman"/>
        </w:rPr>
        <w:t xml:space="preserve">CTLA-4-His protein has a larger </w:t>
      </w:r>
      <w:proofErr w:type="spellStart"/>
      <w:proofErr w:type="gramStart"/>
      <w:r w:rsidRPr="001A0F0D">
        <w:rPr>
          <w:rFonts w:ascii="Times New Roman" w:hAnsi="Times New Roman"/>
        </w:rPr>
        <w:t>Kd</w:t>
      </w:r>
      <w:proofErr w:type="spellEnd"/>
      <w:proofErr w:type="gramEnd"/>
      <w:r w:rsidRPr="001A0F0D">
        <w:rPr>
          <w:rFonts w:ascii="Times New Roman" w:hAnsi="Times New Roman"/>
        </w:rPr>
        <w:t xml:space="preserve"> value than that of CTLA-4-mFc (Fig. 1b) due to CTLA-4-mFc is bivalent. </w:t>
      </w:r>
    </w:p>
    <w:p w:rsidR="001A0F0D" w:rsidRPr="001A0F0D" w:rsidRDefault="001A0F0D" w:rsidP="001A0F0D">
      <w:pPr>
        <w:ind w:firstLineChars="50" w:firstLine="120"/>
        <w:rPr>
          <w:rFonts w:ascii="Times New Roman" w:hAnsi="Times New Roman"/>
        </w:rPr>
      </w:pPr>
      <w:r w:rsidRPr="001A0F0D">
        <w:rPr>
          <w:rFonts w:ascii="Times New Roman" w:hAnsi="Times New Roman" w:hint="eastAsia"/>
          <w:vertAlign w:val="superscript"/>
        </w:rPr>
        <w:t>*</w:t>
      </w:r>
      <w:r w:rsidRPr="001A0F0D">
        <w:rPr>
          <w:rFonts w:ascii="Times New Roman" w:hAnsi="Times New Roman"/>
        </w:rPr>
        <w:t xml:space="preserve">No significant binding could be detected when the concentrations of these CTLA-4 variants were increased to 6.6 </w:t>
      </w:r>
      <w:proofErr w:type="spellStart"/>
      <w:r w:rsidRPr="001A0F0D">
        <w:rPr>
          <w:rFonts w:ascii="Times New Roman" w:hAnsi="Times New Roman"/>
        </w:rPr>
        <w:t>μM</w:t>
      </w:r>
      <w:proofErr w:type="spellEnd"/>
      <w:r w:rsidRPr="001A0F0D">
        <w:rPr>
          <w:rFonts w:ascii="Times New Roman" w:hAnsi="Times New Roman"/>
        </w:rPr>
        <w:t>.</w:t>
      </w:r>
    </w:p>
    <w:p w:rsidR="001A0F0D" w:rsidRPr="001A0F0D" w:rsidRDefault="001A0F0D" w:rsidP="001A0F0D">
      <w:pPr>
        <w:ind w:firstLineChars="50" w:firstLine="120"/>
        <w:rPr>
          <w:rFonts w:ascii="Times New Roman" w:hAnsi="Times New Roman"/>
        </w:rPr>
      </w:pPr>
      <w:r w:rsidRPr="001A0F0D">
        <w:rPr>
          <w:rFonts w:ascii="Times New Roman" w:hAnsi="Times New Roman"/>
        </w:rPr>
        <w:t xml:space="preserve"> </w:t>
      </w:r>
    </w:p>
    <w:p w:rsidR="001A0F0D" w:rsidRPr="001A0F0D" w:rsidRDefault="001A0F0D" w:rsidP="001A0F0D">
      <w:pPr>
        <w:widowControl/>
        <w:jc w:val="left"/>
        <w:rPr>
          <w:rFonts w:ascii="Times New Roman" w:hAnsi="Times New Roman"/>
        </w:rPr>
      </w:pPr>
      <w:r w:rsidRPr="001A0F0D">
        <w:rPr>
          <w:rFonts w:ascii="Times New Roman" w:hAnsi="Times New Roman"/>
        </w:rPr>
        <w:br w:type="page"/>
      </w:r>
    </w:p>
    <w:tbl>
      <w:tblPr>
        <w:tblW w:w="8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1"/>
        <w:gridCol w:w="2608"/>
        <w:gridCol w:w="2493"/>
      </w:tblGrid>
      <w:tr w:rsidR="001A0F0D" w:rsidRPr="001A0F0D" w:rsidTr="000F237E">
        <w:trPr>
          <w:trHeight w:val="411"/>
        </w:trPr>
        <w:tc>
          <w:tcPr>
            <w:tcW w:w="86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jc w:val="both"/>
              <w:rPr>
                <w:color w:val="000000"/>
              </w:rPr>
            </w:pPr>
            <w:r w:rsidRPr="001A0F0D">
              <w:rPr>
                <w:b/>
                <w:bCs/>
                <w:color w:val="000000"/>
              </w:rPr>
              <w:lastRenderedPageBreak/>
              <w:t>Supplementary Table 4. Antibodies used for Flow Cytometry analysis</w:t>
            </w:r>
          </w:p>
        </w:tc>
      </w:tr>
      <w:tr w:rsidR="001A0F0D" w:rsidRPr="001A0F0D" w:rsidTr="000F237E">
        <w:trPr>
          <w:trHeight w:val="411"/>
        </w:trPr>
        <w:tc>
          <w:tcPr>
            <w:tcW w:w="356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</w:rPr>
            </w:pPr>
            <w:r w:rsidRPr="001A0F0D">
              <w:rPr>
                <w:rFonts w:eastAsia="Arial"/>
                <w:b/>
                <w:color w:val="000000"/>
                <w:kern w:val="2"/>
                <w:sz w:val="20"/>
              </w:rPr>
              <w:t>Reagent</w:t>
            </w:r>
          </w:p>
        </w:tc>
        <w:tc>
          <w:tcPr>
            <w:tcW w:w="260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</w:rPr>
            </w:pPr>
            <w:r w:rsidRPr="001A0F0D">
              <w:rPr>
                <w:rFonts w:eastAsia="Arial"/>
                <w:b/>
                <w:color w:val="000000"/>
                <w:kern w:val="2"/>
                <w:sz w:val="20"/>
              </w:rPr>
              <w:t>Source</w:t>
            </w:r>
          </w:p>
        </w:tc>
        <w:tc>
          <w:tcPr>
            <w:tcW w:w="24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</w:rPr>
            </w:pPr>
            <w:r w:rsidRPr="001A0F0D">
              <w:rPr>
                <w:rFonts w:eastAsia="Arial"/>
                <w:b/>
                <w:color w:val="000000"/>
                <w:kern w:val="2"/>
                <w:sz w:val="20"/>
              </w:rPr>
              <w:t>Cat number</w:t>
            </w:r>
          </w:p>
        </w:tc>
      </w:tr>
      <w:tr w:rsidR="001A0F0D" w:rsidRPr="001A0F0D" w:rsidTr="000F237E">
        <w:trPr>
          <w:trHeight w:val="411"/>
        </w:trPr>
        <w:tc>
          <w:tcPr>
            <w:tcW w:w="356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rFonts w:eastAsia="Arial"/>
                <w:color w:val="000000"/>
                <w:kern w:val="2"/>
                <w:sz w:val="20"/>
              </w:rPr>
              <w:t>Livedead-BV510</w:t>
            </w:r>
          </w:p>
        </w:tc>
        <w:tc>
          <w:tcPr>
            <w:tcW w:w="260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rFonts w:eastAsia="Arial"/>
                <w:color w:val="000000"/>
                <w:kern w:val="2"/>
                <w:sz w:val="20"/>
              </w:rPr>
              <w:t>BD Biosciences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rFonts w:eastAsia="Arial"/>
                <w:color w:val="000000"/>
                <w:kern w:val="2"/>
                <w:sz w:val="20"/>
              </w:rPr>
              <w:t>Cat# 564406</w:t>
            </w:r>
          </w:p>
        </w:tc>
      </w:tr>
      <w:tr w:rsidR="001A0F0D" w:rsidRPr="001A0F0D" w:rsidTr="000F237E">
        <w:trPr>
          <w:trHeight w:val="411"/>
        </w:trPr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rFonts w:eastAsia="Arial"/>
                <w:color w:val="000000"/>
                <w:kern w:val="2"/>
                <w:sz w:val="20"/>
              </w:rPr>
              <w:t>Anti-mouse CD45-APC-Cy7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proofErr w:type="spellStart"/>
            <w:r w:rsidRPr="001A0F0D">
              <w:rPr>
                <w:rFonts w:eastAsia="Arial"/>
                <w:color w:val="000000"/>
                <w:sz w:val="20"/>
              </w:rPr>
              <w:t>Biolegend</w:t>
            </w:r>
            <w:proofErr w:type="spellEnd"/>
          </w:p>
        </w:tc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rFonts w:eastAsia="Arial"/>
                <w:color w:val="000000"/>
                <w:kern w:val="2"/>
                <w:sz w:val="20"/>
              </w:rPr>
              <w:t>Cat# 103114</w:t>
            </w:r>
          </w:p>
        </w:tc>
      </w:tr>
      <w:tr w:rsidR="001A0F0D" w:rsidRPr="001A0F0D" w:rsidTr="000F237E">
        <w:trPr>
          <w:trHeight w:val="411"/>
        </w:trPr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rFonts w:eastAsia="Arial"/>
                <w:color w:val="000000"/>
                <w:kern w:val="2"/>
                <w:sz w:val="20"/>
              </w:rPr>
              <w:t>Anti-mouse CD45.2-APC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proofErr w:type="spellStart"/>
            <w:r w:rsidRPr="001A0F0D">
              <w:rPr>
                <w:rFonts w:eastAsia="Arial"/>
                <w:color w:val="000000"/>
                <w:sz w:val="20"/>
              </w:rPr>
              <w:t>Biolegend</w:t>
            </w:r>
            <w:proofErr w:type="spellEnd"/>
          </w:p>
        </w:tc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rFonts w:eastAsia="Arial"/>
                <w:color w:val="000000"/>
                <w:kern w:val="2"/>
                <w:sz w:val="20"/>
              </w:rPr>
              <w:t xml:space="preserve">Cat# </w:t>
            </w:r>
            <w:r w:rsidRPr="001A0F0D">
              <w:rPr>
                <w:rFonts w:eastAsia="Arial"/>
                <w:color w:val="000000"/>
                <w:sz w:val="20"/>
              </w:rPr>
              <w:t>109828</w:t>
            </w:r>
          </w:p>
        </w:tc>
      </w:tr>
      <w:tr w:rsidR="001A0F0D" w:rsidRPr="001A0F0D" w:rsidTr="000F237E">
        <w:trPr>
          <w:trHeight w:val="411"/>
        </w:trPr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rFonts w:eastAsia="Arial"/>
                <w:color w:val="000000"/>
                <w:kern w:val="2"/>
                <w:sz w:val="20"/>
              </w:rPr>
              <w:t>Anti-mouse CD4-APC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proofErr w:type="spellStart"/>
            <w:r w:rsidRPr="001A0F0D">
              <w:rPr>
                <w:rFonts w:eastAsia="Arial"/>
                <w:color w:val="000000"/>
                <w:kern w:val="2"/>
                <w:sz w:val="20"/>
              </w:rPr>
              <w:t>eBioscience</w:t>
            </w:r>
            <w:proofErr w:type="spellEnd"/>
          </w:p>
        </w:tc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rFonts w:eastAsia="Arial"/>
                <w:color w:val="000000"/>
                <w:kern w:val="2"/>
                <w:sz w:val="20"/>
              </w:rPr>
              <w:t>Cat# 47-0042-82</w:t>
            </w:r>
          </w:p>
        </w:tc>
      </w:tr>
      <w:tr w:rsidR="001A0F0D" w:rsidRPr="001A0F0D" w:rsidTr="000F237E">
        <w:trPr>
          <w:trHeight w:val="411"/>
        </w:trPr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rFonts w:eastAsia="Arial"/>
                <w:color w:val="000000"/>
                <w:kern w:val="2"/>
                <w:sz w:val="20"/>
              </w:rPr>
              <w:t>Anti-mouse CD8-PerCy5.5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proofErr w:type="spellStart"/>
            <w:r w:rsidRPr="001A0F0D">
              <w:rPr>
                <w:rFonts w:eastAsia="Arial"/>
                <w:color w:val="000000"/>
                <w:kern w:val="2"/>
                <w:sz w:val="20"/>
              </w:rPr>
              <w:t>Biolegend</w:t>
            </w:r>
            <w:proofErr w:type="spellEnd"/>
          </w:p>
        </w:tc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rFonts w:eastAsia="Arial"/>
                <w:color w:val="000000"/>
                <w:kern w:val="2"/>
                <w:sz w:val="20"/>
              </w:rPr>
              <w:t xml:space="preserve">Cat# </w:t>
            </w:r>
            <w:r w:rsidRPr="001A0F0D">
              <w:rPr>
                <w:rFonts w:eastAsia="Arial"/>
                <w:color w:val="000000"/>
                <w:sz w:val="20"/>
              </w:rPr>
              <w:t>100712</w:t>
            </w:r>
          </w:p>
        </w:tc>
      </w:tr>
      <w:tr w:rsidR="001A0F0D" w:rsidRPr="001A0F0D" w:rsidTr="000F237E">
        <w:trPr>
          <w:trHeight w:val="411"/>
        </w:trPr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rFonts w:eastAsia="Arial"/>
                <w:color w:val="000000"/>
                <w:kern w:val="2"/>
                <w:sz w:val="20"/>
              </w:rPr>
            </w:pPr>
            <w:r w:rsidRPr="001A0F0D">
              <w:rPr>
                <w:rFonts w:eastAsia="Arial"/>
                <w:color w:val="000000"/>
                <w:kern w:val="2"/>
                <w:sz w:val="20"/>
              </w:rPr>
              <w:t>Anti-mouse Foxp3-PE-Cy7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proofErr w:type="spellStart"/>
            <w:r w:rsidRPr="001A0F0D">
              <w:rPr>
                <w:rFonts w:eastAsia="Arial"/>
                <w:color w:val="000000"/>
                <w:kern w:val="2"/>
                <w:sz w:val="20"/>
              </w:rPr>
              <w:t>eBioscience</w:t>
            </w:r>
            <w:proofErr w:type="spellEnd"/>
          </w:p>
        </w:tc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rFonts w:eastAsia="Arial"/>
                <w:color w:val="000000"/>
                <w:kern w:val="2"/>
                <w:sz w:val="20"/>
              </w:rPr>
              <w:t xml:space="preserve">Cat# </w:t>
            </w:r>
            <w:r w:rsidRPr="001A0F0D">
              <w:rPr>
                <w:rFonts w:eastAsia="Arial"/>
                <w:color w:val="000000"/>
                <w:sz w:val="20"/>
              </w:rPr>
              <w:t>17-5773-82</w:t>
            </w:r>
          </w:p>
        </w:tc>
      </w:tr>
      <w:tr w:rsidR="001A0F0D" w:rsidRPr="001A0F0D" w:rsidTr="000F237E">
        <w:trPr>
          <w:trHeight w:val="411"/>
        </w:trPr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rFonts w:eastAsia="Arial"/>
                <w:color w:val="000000"/>
                <w:kern w:val="2"/>
                <w:sz w:val="20"/>
              </w:rPr>
              <w:t>Anti-mouse ICOS-PE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proofErr w:type="spellStart"/>
            <w:r w:rsidRPr="001A0F0D">
              <w:rPr>
                <w:rFonts w:eastAsia="Arial"/>
                <w:color w:val="000000"/>
                <w:kern w:val="2"/>
                <w:sz w:val="20"/>
              </w:rPr>
              <w:t>Biolegend</w:t>
            </w:r>
            <w:proofErr w:type="spellEnd"/>
          </w:p>
        </w:tc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rFonts w:eastAsia="Arial"/>
                <w:color w:val="000000"/>
                <w:kern w:val="2"/>
                <w:sz w:val="20"/>
              </w:rPr>
              <w:t>Cat# 107705</w:t>
            </w:r>
          </w:p>
        </w:tc>
      </w:tr>
      <w:tr w:rsidR="001A0F0D" w:rsidRPr="001A0F0D" w:rsidTr="000F237E">
        <w:trPr>
          <w:trHeight w:val="411"/>
        </w:trPr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rFonts w:eastAsia="Arial"/>
                <w:color w:val="000000"/>
                <w:kern w:val="2"/>
                <w:sz w:val="20"/>
              </w:rPr>
              <w:t>Anti-mouse OX40-FITC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proofErr w:type="spellStart"/>
            <w:r w:rsidRPr="001A0F0D">
              <w:rPr>
                <w:rFonts w:eastAsia="Arial"/>
                <w:color w:val="000000"/>
                <w:kern w:val="2"/>
                <w:sz w:val="20"/>
              </w:rPr>
              <w:t>Abcam</w:t>
            </w:r>
            <w:proofErr w:type="spellEnd"/>
          </w:p>
        </w:tc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rFonts w:eastAsia="Arial"/>
                <w:color w:val="000000"/>
                <w:kern w:val="2"/>
                <w:sz w:val="20"/>
              </w:rPr>
              <w:t>Cat# ab33998</w:t>
            </w:r>
          </w:p>
        </w:tc>
      </w:tr>
      <w:tr w:rsidR="001A0F0D" w:rsidRPr="001A0F0D" w:rsidTr="000F237E">
        <w:trPr>
          <w:trHeight w:val="411"/>
        </w:trPr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rFonts w:eastAsia="Arial"/>
                <w:color w:val="000000"/>
                <w:kern w:val="2"/>
                <w:sz w:val="20"/>
              </w:rPr>
              <w:t>Anti-mouse PD1-PE-Cy7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proofErr w:type="spellStart"/>
            <w:r w:rsidRPr="001A0F0D">
              <w:rPr>
                <w:rFonts w:eastAsia="Arial"/>
                <w:color w:val="000000"/>
                <w:kern w:val="2"/>
                <w:sz w:val="20"/>
              </w:rPr>
              <w:t>eBioscience</w:t>
            </w:r>
            <w:proofErr w:type="spellEnd"/>
          </w:p>
        </w:tc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rFonts w:eastAsia="Arial"/>
                <w:color w:val="000000"/>
                <w:kern w:val="2"/>
                <w:sz w:val="20"/>
              </w:rPr>
              <w:t>Cat# 25-9985-80</w:t>
            </w:r>
          </w:p>
        </w:tc>
      </w:tr>
      <w:tr w:rsidR="001A0F0D" w:rsidRPr="001A0F0D" w:rsidTr="000F237E">
        <w:trPr>
          <w:trHeight w:val="411"/>
        </w:trPr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rFonts w:eastAsia="Arial"/>
                <w:color w:val="000000"/>
                <w:kern w:val="2"/>
                <w:sz w:val="20"/>
              </w:rPr>
              <w:t>Anti-human CTLA-4-PE-Cy7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proofErr w:type="spellStart"/>
            <w:r w:rsidRPr="001A0F0D">
              <w:rPr>
                <w:rFonts w:eastAsia="Arial"/>
                <w:color w:val="000000"/>
                <w:kern w:val="2"/>
                <w:sz w:val="20"/>
              </w:rPr>
              <w:t>Biolegend</w:t>
            </w:r>
            <w:proofErr w:type="spellEnd"/>
          </w:p>
        </w:tc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rFonts w:eastAsia="Arial"/>
                <w:color w:val="000000"/>
                <w:kern w:val="2"/>
                <w:sz w:val="20"/>
              </w:rPr>
              <w:t>Cat# 349914</w:t>
            </w:r>
          </w:p>
        </w:tc>
      </w:tr>
      <w:tr w:rsidR="001A0F0D" w:rsidRPr="001A0F0D" w:rsidTr="000F237E">
        <w:trPr>
          <w:trHeight w:val="411"/>
        </w:trPr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rFonts w:eastAsia="Arial"/>
                <w:color w:val="000000"/>
                <w:kern w:val="2"/>
                <w:sz w:val="20"/>
              </w:rPr>
            </w:pPr>
            <w:r w:rsidRPr="001A0F0D">
              <w:rPr>
                <w:rFonts w:eastAsia="Arial"/>
                <w:color w:val="000000"/>
                <w:kern w:val="2"/>
                <w:sz w:val="20"/>
              </w:rPr>
              <w:t>Anti-human CTLA-4 PE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rFonts w:eastAsia="Arial"/>
                <w:color w:val="000000"/>
                <w:kern w:val="2"/>
                <w:sz w:val="20"/>
              </w:rPr>
            </w:pPr>
            <w:proofErr w:type="spellStart"/>
            <w:r w:rsidRPr="001A0F0D">
              <w:rPr>
                <w:rFonts w:eastAsia="Arial"/>
                <w:color w:val="000000"/>
                <w:kern w:val="2"/>
                <w:sz w:val="20"/>
              </w:rPr>
              <w:t>Biolegend</w:t>
            </w:r>
            <w:proofErr w:type="spellEnd"/>
          </w:p>
        </w:tc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rFonts w:eastAsia="Arial"/>
                <w:color w:val="000000"/>
                <w:kern w:val="2"/>
                <w:sz w:val="20"/>
              </w:rPr>
            </w:pPr>
            <w:r w:rsidRPr="001A0F0D">
              <w:rPr>
                <w:rFonts w:eastAsia="Arial"/>
                <w:color w:val="000000"/>
                <w:kern w:val="2"/>
                <w:sz w:val="20"/>
              </w:rPr>
              <w:t>Cat# 349905</w:t>
            </w:r>
          </w:p>
        </w:tc>
      </w:tr>
      <w:tr w:rsidR="001A0F0D" w:rsidRPr="001A0F0D" w:rsidTr="000F237E">
        <w:trPr>
          <w:trHeight w:val="411"/>
        </w:trPr>
        <w:tc>
          <w:tcPr>
            <w:tcW w:w="35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rFonts w:eastAsia="Arial"/>
                <w:color w:val="000000"/>
                <w:kern w:val="2"/>
                <w:sz w:val="20"/>
              </w:rPr>
              <w:t>Anti-mouse Ki67-PE</w:t>
            </w:r>
          </w:p>
        </w:tc>
        <w:tc>
          <w:tcPr>
            <w:tcW w:w="260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rFonts w:eastAsia="Arial"/>
                <w:color w:val="000000"/>
                <w:kern w:val="2"/>
                <w:sz w:val="20"/>
              </w:rPr>
              <w:t xml:space="preserve">BD </w:t>
            </w:r>
            <w:r w:rsidRPr="001A0F0D">
              <w:rPr>
                <w:rFonts w:eastAsia="Arial"/>
                <w:color w:val="000000"/>
                <w:sz w:val="20"/>
              </w:rPr>
              <w:t>Biosciences</w:t>
            </w:r>
          </w:p>
        </w:tc>
        <w:tc>
          <w:tcPr>
            <w:tcW w:w="249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A0F0D" w:rsidRPr="001A0F0D" w:rsidRDefault="001A0F0D" w:rsidP="000F237E">
            <w:pPr>
              <w:pStyle w:val="a7"/>
              <w:spacing w:before="0" w:beforeAutospacing="0" w:after="0" w:afterAutospacing="0"/>
              <w:jc w:val="center"/>
              <w:rPr>
                <w:sz w:val="20"/>
              </w:rPr>
            </w:pPr>
            <w:r w:rsidRPr="001A0F0D">
              <w:rPr>
                <w:rFonts w:eastAsia="Arial"/>
                <w:color w:val="000000"/>
                <w:kern w:val="2"/>
                <w:sz w:val="20"/>
              </w:rPr>
              <w:t>Cat# 556027</w:t>
            </w:r>
          </w:p>
        </w:tc>
      </w:tr>
    </w:tbl>
    <w:p w:rsidR="001A0F0D" w:rsidRPr="001A0F0D" w:rsidRDefault="001A0F0D" w:rsidP="001A0F0D">
      <w:pPr>
        <w:jc w:val="center"/>
        <w:rPr>
          <w:rFonts w:ascii="Times New Roman" w:hAnsi="Times New Roman"/>
          <w:sz w:val="21"/>
          <w:szCs w:val="21"/>
        </w:rPr>
      </w:pPr>
    </w:p>
    <w:p w:rsidR="001A0F0D" w:rsidRPr="001A0F0D" w:rsidRDefault="001A0F0D" w:rsidP="001A0F0D">
      <w:pPr>
        <w:rPr>
          <w:rFonts w:ascii="Times New Roman" w:hAnsi="Times New Roman"/>
        </w:rPr>
      </w:pPr>
    </w:p>
    <w:p w:rsidR="001A0F0D" w:rsidRPr="001A0F0D" w:rsidRDefault="001A0F0D" w:rsidP="001A0F0D">
      <w:pPr>
        <w:rPr>
          <w:rFonts w:ascii="Times New Roman" w:hAnsi="Times New Roman"/>
        </w:rPr>
      </w:pPr>
    </w:p>
    <w:p w:rsidR="001A0F0D" w:rsidRPr="001A0F0D" w:rsidRDefault="001A0F0D" w:rsidP="001A0F0D">
      <w:pPr>
        <w:widowControl/>
        <w:jc w:val="left"/>
        <w:rPr>
          <w:rFonts w:ascii="Times New Roman" w:hAnsi="Times New Roman"/>
          <w:b/>
          <w:bCs/>
        </w:rPr>
      </w:pPr>
      <w:r w:rsidRPr="001A0F0D">
        <w:rPr>
          <w:rFonts w:ascii="Times New Roman" w:hAnsi="Times New Roman"/>
        </w:rPr>
        <w:br w:type="page"/>
      </w:r>
      <w:r w:rsidRPr="001A0F0D"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5613400" cy="64770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F0D" w:rsidRPr="001A0F0D" w:rsidRDefault="001A0F0D" w:rsidP="001A0F0D">
      <w:pPr>
        <w:rPr>
          <w:rFonts w:ascii="Times New Roman" w:hAnsi="Times New Roman"/>
        </w:rPr>
      </w:pPr>
      <w:r w:rsidRPr="001A0F0D">
        <w:rPr>
          <w:rFonts w:ascii="Times New Roman" w:hAnsi="Times New Roman"/>
          <w:b/>
          <w:bCs/>
        </w:rPr>
        <w:t>Supplementary Fig. 1.</w:t>
      </w:r>
      <w:r w:rsidRPr="001A0F0D">
        <w:rPr>
          <w:rFonts w:ascii="Times New Roman" w:hAnsi="Times New Roman"/>
        </w:rPr>
        <w:t xml:space="preserve"> </w:t>
      </w:r>
      <w:r w:rsidRPr="001A0F0D">
        <w:rPr>
          <w:rFonts w:ascii="Times New Roman" w:hAnsi="Times New Roman"/>
          <w:b/>
          <w:bCs/>
        </w:rPr>
        <w:t xml:space="preserve">Structures of CTLA-4 antibodies. a. </w:t>
      </w:r>
      <w:r w:rsidRPr="001A0F0D">
        <w:rPr>
          <w:rFonts w:ascii="Times New Roman" w:hAnsi="Times New Roman"/>
        </w:rPr>
        <w:t>Structure of D138-dAb with CDR1 loop in cyan, CDR2 in yellow and CDR3 in red</w:t>
      </w:r>
      <w:r w:rsidRPr="001A0F0D">
        <w:rPr>
          <w:rFonts w:ascii="Times New Roman" w:hAnsi="Times New Roman"/>
          <w:b/>
          <w:bCs/>
        </w:rPr>
        <w:t xml:space="preserve">. b. </w:t>
      </w:r>
      <w:r w:rsidRPr="001A0F0D">
        <w:rPr>
          <w:rFonts w:ascii="Times New Roman" w:hAnsi="Times New Roman"/>
        </w:rPr>
        <w:t xml:space="preserve">The sequence of D138-dAb with each CDR region highlighted in corresponding color. </w:t>
      </w:r>
      <w:r w:rsidRPr="001A0F0D">
        <w:rPr>
          <w:rFonts w:ascii="Times New Roman" w:hAnsi="Times New Roman"/>
          <w:b/>
          <w:bCs/>
        </w:rPr>
        <w:t xml:space="preserve">c. </w:t>
      </w:r>
      <w:r w:rsidRPr="001A0F0D">
        <w:rPr>
          <w:rFonts w:ascii="Times New Roman" w:hAnsi="Times New Roman"/>
        </w:rPr>
        <w:t>The wall-eye stereo view of the interaction between Trp105 of D138 and Glu48 of CTLA-4 with electron density (blue mesh) contoured at 1</w:t>
      </w:r>
      <w:r w:rsidRPr="001A0F0D">
        <w:rPr>
          <w:rFonts w:ascii="Times New Roman" w:hAnsi="Times New Roman"/>
        </w:rPr>
        <w:sym w:font="Symbol" w:char="0073"/>
      </w:r>
      <w:r w:rsidRPr="001A0F0D">
        <w:rPr>
          <w:rFonts w:ascii="Times New Roman" w:hAnsi="Times New Roman"/>
        </w:rPr>
        <w:t xml:space="preserve">. </w:t>
      </w:r>
      <w:r w:rsidRPr="001A0F0D">
        <w:rPr>
          <w:rFonts w:ascii="Times New Roman" w:hAnsi="Times New Roman"/>
          <w:b/>
          <w:bCs/>
        </w:rPr>
        <w:t xml:space="preserve">d. </w:t>
      </w:r>
      <w:r w:rsidRPr="001A0F0D">
        <w:rPr>
          <w:rFonts w:ascii="Times New Roman" w:hAnsi="Times New Roman"/>
        </w:rPr>
        <w:t xml:space="preserve">A model of a complex of CTLA-4 dimer with D138 and B7-1 dimer on the cell surface showing D138 binding would not affect the CTLA-4-B7 interaction. </w:t>
      </w:r>
      <w:r w:rsidRPr="001A0F0D">
        <w:rPr>
          <w:rFonts w:ascii="Times New Roman" w:hAnsi="Times New Roman"/>
          <w:b/>
          <w:bCs/>
        </w:rPr>
        <w:t>e</w:t>
      </w:r>
      <w:r w:rsidRPr="001A0F0D">
        <w:rPr>
          <w:rFonts w:ascii="Times New Roman" w:hAnsi="Times New Roman"/>
        </w:rPr>
        <w:t xml:space="preserve">. Two copies of CTLA-4 and </w:t>
      </w:r>
      <w:proofErr w:type="spellStart"/>
      <w:r w:rsidRPr="001A0F0D">
        <w:rPr>
          <w:rFonts w:ascii="Times New Roman" w:hAnsi="Times New Roman"/>
        </w:rPr>
        <w:t>ipilimumab</w:t>
      </w:r>
      <w:proofErr w:type="spellEnd"/>
      <w:r w:rsidRPr="001A0F0D">
        <w:rPr>
          <w:rFonts w:ascii="Times New Roman" w:hAnsi="Times New Roman"/>
        </w:rPr>
        <w:t>-Fab complex in the asymmetry unit of the crystal structure.</w:t>
      </w:r>
    </w:p>
    <w:p w:rsidR="001A0F0D" w:rsidRPr="001A0F0D" w:rsidRDefault="001A0F0D" w:rsidP="001A0F0D">
      <w:pPr>
        <w:rPr>
          <w:rFonts w:ascii="Times New Roman" w:hAnsi="Times New Roman"/>
        </w:rPr>
      </w:pPr>
    </w:p>
    <w:p w:rsidR="001A0F0D" w:rsidRPr="001A0F0D" w:rsidRDefault="001A0F0D" w:rsidP="001A0F0D">
      <w:pPr>
        <w:rPr>
          <w:rFonts w:ascii="Times New Roman" w:hAnsi="Times New Roman"/>
        </w:rPr>
      </w:pPr>
      <w:r w:rsidRPr="001A0F0D">
        <w:rPr>
          <w:rFonts w:ascii="Times New Roman" w:hAnsi="Times New Roman"/>
          <w:noProof/>
        </w:rPr>
        <w:lastRenderedPageBreak/>
        <w:drawing>
          <wp:inline distT="0" distB="0" distL="0" distR="0">
            <wp:extent cx="5607050" cy="1606550"/>
            <wp:effectExtent l="0" t="0" r="0" b="0"/>
            <wp:docPr id="2" name="图片 2" descr="Fig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S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F0D" w:rsidRPr="001A0F0D" w:rsidRDefault="001A0F0D" w:rsidP="001A0F0D">
      <w:pPr>
        <w:widowControl/>
        <w:rPr>
          <w:rFonts w:ascii="Times New Roman" w:hAnsi="Times New Roman"/>
          <w:color w:val="000000"/>
        </w:rPr>
      </w:pPr>
      <w:r w:rsidRPr="001A0F0D">
        <w:rPr>
          <w:rFonts w:ascii="Times New Roman" w:hAnsi="Times New Roman"/>
          <w:b/>
          <w:bCs/>
          <w:color w:val="000000"/>
        </w:rPr>
        <w:t xml:space="preserve">Supplementary Fig. 2. INF-γ (a), TNF-α (b) production and </w:t>
      </w:r>
      <w:r w:rsidRPr="001A0F0D">
        <w:rPr>
          <w:rFonts w:ascii="Times New Roman" w:hAnsi="Times New Roman"/>
          <w:b/>
          <w:color w:val="000000"/>
        </w:rPr>
        <w:t xml:space="preserve">ADCC activities (c) </w:t>
      </w:r>
      <w:r w:rsidRPr="001A0F0D">
        <w:rPr>
          <w:rFonts w:ascii="Times New Roman" w:hAnsi="Times New Roman" w:hint="eastAsia"/>
          <w:b/>
          <w:bCs/>
          <w:color w:val="000000"/>
        </w:rPr>
        <w:t>by</w:t>
      </w:r>
      <w:r w:rsidRPr="001A0F0D">
        <w:rPr>
          <w:rFonts w:ascii="Times New Roman" w:hAnsi="Times New Roman"/>
          <w:b/>
          <w:bCs/>
          <w:color w:val="000000"/>
        </w:rPr>
        <w:t xml:space="preserve"> antibodies. </w:t>
      </w:r>
      <w:proofErr w:type="spellStart"/>
      <w:r w:rsidRPr="001A0F0D">
        <w:rPr>
          <w:rFonts w:ascii="Times New Roman" w:hAnsi="Times New Roman"/>
          <w:b/>
          <w:bCs/>
          <w:color w:val="000000"/>
        </w:rPr>
        <w:t>a,b</w:t>
      </w:r>
      <w:proofErr w:type="spellEnd"/>
      <w:r w:rsidRPr="001A0F0D">
        <w:rPr>
          <w:rFonts w:ascii="Times New Roman" w:hAnsi="Times New Roman"/>
          <w:b/>
          <w:bCs/>
          <w:color w:val="000000"/>
        </w:rPr>
        <w:t xml:space="preserve">. </w:t>
      </w:r>
      <w:r w:rsidRPr="001A0F0D">
        <w:rPr>
          <w:rFonts w:ascii="Times New Roman" w:hAnsi="Times New Roman"/>
          <w:color w:val="000000"/>
        </w:rPr>
        <w:t>Freshly prepared PBMCs were plated in serum free RPMI-1640, and incubated in 37°C, 5% CO</w:t>
      </w:r>
      <w:r w:rsidRPr="001A0F0D">
        <w:rPr>
          <w:rFonts w:ascii="Times New Roman" w:hAnsi="Times New Roman"/>
          <w:color w:val="000000"/>
          <w:vertAlign w:val="subscript"/>
        </w:rPr>
        <w:t>2</w:t>
      </w:r>
      <w:r w:rsidRPr="001A0F0D">
        <w:rPr>
          <w:rFonts w:ascii="Times New Roman" w:hAnsi="Times New Roman"/>
          <w:color w:val="000000"/>
        </w:rPr>
        <w:t xml:space="preserve"> for 2 hours in 96-well plate (2×10</w:t>
      </w:r>
      <w:r w:rsidRPr="001A0F0D">
        <w:rPr>
          <w:rFonts w:ascii="Times New Roman" w:hAnsi="Times New Roman"/>
          <w:color w:val="000000"/>
          <w:vertAlign w:val="superscript"/>
        </w:rPr>
        <w:t>5</w:t>
      </w:r>
      <w:r w:rsidRPr="001A0F0D">
        <w:rPr>
          <w:rFonts w:ascii="Times New Roman" w:hAnsi="Times New Roman"/>
          <w:color w:val="000000"/>
        </w:rPr>
        <w:t xml:space="preserve"> cells). The cells were then treated with different concentrations of </w:t>
      </w:r>
      <w:proofErr w:type="spellStart"/>
      <w:r w:rsidRPr="001A0F0D">
        <w:rPr>
          <w:rFonts w:ascii="Times New Roman" w:hAnsi="Times New Roman"/>
          <w:color w:val="000000"/>
        </w:rPr>
        <w:t>ipilimumab</w:t>
      </w:r>
      <w:proofErr w:type="spellEnd"/>
      <w:r w:rsidRPr="001A0F0D">
        <w:rPr>
          <w:rFonts w:ascii="Times New Roman" w:hAnsi="Times New Roman"/>
          <w:color w:val="000000"/>
        </w:rPr>
        <w:t xml:space="preserve"> or D138 for one hour. Staphylococcus Enterotoxin B (SEB, 200 ng/ml) was subsequently added. The supernatant was collected after five days culture and the levels of INF-γ and TNF-α were evaluated by ELISA kit according to the manufacturer instructions. c. ADCC activities of antibodies were also determined using Fc Effector Reporter Bioassays. CTLA-4 transiently expressed on HEK293T cells were used as targeted cells. The effector cells were co-cultured with target 293-CTLA-4 cells at an effector-to-target ratio of 4:1, and along with different concentrations of anti-human CTLA-4 antibodies or control. After incubation of the 96-well plates at 37°C for 6h, 75 </w:t>
      </w:r>
      <w:proofErr w:type="spellStart"/>
      <w:r w:rsidRPr="001A0F0D">
        <w:rPr>
          <w:rFonts w:ascii="Times New Roman" w:hAnsi="Times New Roman"/>
          <w:color w:val="000000"/>
        </w:rPr>
        <w:t>μl</w:t>
      </w:r>
      <w:proofErr w:type="spellEnd"/>
      <w:r w:rsidRPr="001A0F0D">
        <w:rPr>
          <w:rFonts w:ascii="Times New Roman" w:hAnsi="Times New Roman"/>
          <w:color w:val="000000"/>
        </w:rPr>
        <w:t xml:space="preserve"> Bio-</w:t>
      </w:r>
      <w:proofErr w:type="spellStart"/>
      <w:r w:rsidRPr="001A0F0D">
        <w:rPr>
          <w:rFonts w:ascii="Times New Roman" w:hAnsi="Times New Roman"/>
          <w:color w:val="000000"/>
        </w:rPr>
        <w:t>Glo</w:t>
      </w:r>
      <w:proofErr w:type="spellEnd"/>
      <w:r w:rsidRPr="001A0F0D">
        <w:rPr>
          <w:rFonts w:ascii="Times New Roman" w:hAnsi="Times New Roman"/>
          <w:color w:val="000000"/>
        </w:rPr>
        <w:t>™ luciferase assay reagent was added into each well and the luminescence intensity was measured (n=3).</w:t>
      </w:r>
    </w:p>
    <w:p w:rsidR="001A0F0D" w:rsidRPr="001A0F0D" w:rsidRDefault="001A0F0D" w:rsidP="001A0F0D">
      <w:pPr>
        <w:widowControl/>
        <w:rPr>
          <w:rFonts w:ascii="Times New Roman" w:hAnsi="Times New Roman"/>
          <w:color w:val="0000CC"/>
        </w:rPr>
      </w:pPr>
    </w:p>
    <w:p w:rsidR="001A0F0D" w:rsidRPr="001A0F0D" w:rsidRDefault="001A0F0D" w:rsidP="001A0F0D">
      <w:pPr>
        <w:widowControl/>
        <w:rPr>
          <w:rFonts w:ascii="Times New Roman" w:hAnsi="Times New Roman"/>
          <w:color w:val="0000CC"/>
        </w:rPr>
      </w:pPr>
    </w:p>
    <w:p w:rsidR="001A0F0D" w:rsidRPr="001A0F0D" w:rsidRDefault="001A0F0D" w:rsidP="001A0F0D">
      <w:pPr>
        <w:widowControl/>
        <w:rPr>
          <w:rFonts w:ascii="Times New Roman" w:hAnsi="Times New Roman"/>
          <w:color w:val="0000CC"/>
        </w:rPr>
      </w:pPr>
      <w:r w:rsidRPr="001A0F0D">
        <w:rPr>
          <w:rFonts w:ascii="Times New Roman" w:hAnsi="Times New Roman"/>
          <w:color w:val="0000CC"/>
        </w:rPr>
        <w:br w:type="page"/>
      </w:r>
    </w:p>
    <w:p w:rsidR="001A0F0D" w:rsidRPr="001A0F0D" w:rsidRDefault="001A0F0D" w:rsidP="001A0F0D">
      <w:pPr>
        <w:jc w:val="center"/>
        <w:rPr>
          <w:rFonts w:ascii="Times New Roman" w:hAnsi="Times New Roman"/>
          <w:b/>
          <w:bCs/>
        </w:rPr>
      </w:pPr>
      <w:r w:rsidRPr="001A0F0D"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4203700" cy="6813550"/>
            <wp:effectExtent l="0" t="0" r="6350" b="6350"/>
            <wp:docPr id="1" name="图片 1" descr="Fig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S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681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F0D" w:rsidRPr="00117F48" w:rsidRDefault="001A0F0D" w:rsidP="001A0F0D">
      <w:pPr>
        <w:rPr>
          <w:rFonts w:ascii="Times New Roman" w:hAnsi="Times New Roman"/>
        </w:rPr>
      </w:pPr>
      <w:r w:rsidRPr="001A0F0D">
        <w:rPr>
          <w:rFonts w:ascii="Times New Roman" w:hAnsi="Times New Roman"/>
          <w:b/>
          <w:bCs/>
        </w:rPr>
        <w:t xml:space="preserve">Supplementary </w:t>
      </w:r>
      <w:r w:rsidRPr="001A0F0D">
        <w:rPr>
          <w:rFonts w:ascii="Times New Roman" w:hAnsi="Times New Roman"/>
          <w:b/>
          <w:bCs/>
          <w:color w:val="000000"/>
        </w:rPr>
        <w:t>Fig. 3.</w:t>
      </w:r>
      <w:r w:rsidRPr="001A0F0D">
        <w:rPr>
          <w:rFonts w:ascii="Times New Roman" w:hAnsi="Times New Roman"/>
          <w:b/>
          <w:bCs/>
        </w:rPr>
        <w:t xml:space="preserve"> Intra-tumor T cell population analysis. a. </w:t>
      </w:r>
      <w:r w:rsidRPr="001A0F0D">
        <w:rPr>
          <w:rFonts w:ascii="Times New Roman" w:hAnsi="Times New Roman"/>
        </w:rPr>
        <w:t xml:space="preserve">Age-matched </w:t>
      </w:r>
      <w:r w:rsidRPr="001A0F0D">
        <w:rPr>
          <w:rFonts w:ascii="Times New Roman" w:hAnsi="Times New Roman"/>
          <w:i/>
          <w:iCs/>
        </w:rPr>
        <w:t>Ctla4</w:t>
      </w:r>
      <w:r w:rsidRPr="001A0F0D">
        <w:rPr>
          <w:rFonts w:ascii="Times New Roman" w:hAnsi="Times New Roman"/>
          <w:i/>
          <w:iCs/>
          <w:vertAlign w:val="superscript"/>
        </w:rPr>
        <w:t>h/h</w:t>
      </w:r>
      <w:r w:rsidRPr="001A0F0D">
        <w:rPr>
          <w:rFonts w:ascii="Times New Roman" w:hAnsi="Times New Roman"/>
        </w:rPr>
        <w:t xml:space="preserve"> C57BL/6J female mice were inoculated with MC38 (1</w:t>
      </w:r>
      <w:r w:rsidRPr="001A0F0D">
        <w:rPr>
          <w:rFonts w:ascii="Times New Roman" w:hAnsi="Times New Roman"/>
        </w:rPr>
        <w:sym w:font="Symbol" w:char="00B4"/>
      </w:r>
      <w:r w:rsidRPr="001A0F0D">
        <w:rPr>
          <w:rFonts w:ascii="Times New Roman" w:hAnsi="Times New Roman"/>
        </w:rPr>
        <w:t>10</w:t>
      </w:r>
      <w:r w:rsidRPr="001A0F0D">
        <w:rPr>
          <w:rFonts w:ascii="Times New Roman" w:hAnsi="Times New Roman"/>
          <w:vertAlign w:val="superscript"/>
        </w:rPr>
        <w:t>6</w:t>
      </w:r>
      <w:r w:rsidRPr="001A0F0D">
        <w:rPr>
          <w:rFonts w:ascii="Times New Roman" w:hAnsi="Times New Roman"/>
        </w:rPr>
        <w:t xml:space="preserve"> cells). After tumor size reached about 80~160 mm</w:t>
      </w:r>
      <w:r w:rsidRPr="001A0F0D">
        <w:rPr>
          <w:rFonts w:ascii="Times New Roman" w:hAnsi="Times New Roman"/>
          <w:vertAlign w:val="superscript"/>
        </w:rPr>
        <w:t>3</w:t>
      </w:r>
      <w:r w:rsidRPr="001A0F0D">
        <w:rPr>
          <w:rFonts w:ascii="Times New Roman" w:hAnsi="Times New Roman"/>
        </w:rPr>
        <w:t>, mice were grouped (n=10 each group) and treated (arrowed) via intraperitoneal administration of antibodies. Tumor volume and body weight of tumor were recorded. Data represent mean</w:t>
      </w:r>
      <w:r w:rsidRPr="001A0F0D">
        <w:rPr>
          <w:rFonts w:ascii="Times New Roman" w:hAnsi="Times New Roman" w:hint="eastAsia"/>
        </w:rPr>
        <w:t>±</w:t>
      </w:r>
      <w:r w:rsidRPr="001A0F0D">
        <w:rPr>
          <w:rFonts w:ascii="Times New Roman" w:hAnsi="Times New Roman"/>
        </w:rPr>
        <w:t xml:space="preserve">S.E.M. </w:t>
      </w:r>
      <w:r w:rsidRPr="001A0F0D">
        <w:rPr>
          <w:rFonts w:ascii="Times New Roman" w:hAnsi="Times New Roman"/>
          <w:b/>
          <w:bCs/>
        </w:rPr>
        <w:t>b.</w:t>
      </w:r>
      <w:r w:rsidRPr="001A0F0D">
        <w:rPr>
          <w:rFonts w:ascii="Times New Roman" w:hAnsi="Times New Roman"/>
        </w:rPr>
        <w:t xml:space="preserve"> Mice were sacrificed on day 21 (one day after the fourth injection</w:t>
      </w:r>
      <w:proofErr w:type="gramStart"/>
      <w:r w:rsidRPr="001A0F0D">
        <w:rPr>
          <w:rFonts w:ascii="Times New Roman" w:hAnsi="Times New Roman"/>
        </w:rPr>
        <w:t>)with</w:t>
      </w:r>
      <w:proofErr w:type="gramEnd"/>
      <w:r w:rsidRPr="001A0F0D">
        <w:rPr>
          <w:rFonts w:ascii="Times New Roman" w:hAnsi="Times New Roman"/>
        </w:rPr>
        <w:t xml:space="preserve"> tumors extracted. </w:t>
      </w:r>
      <w:r w:rsidRPr="001A0F0D">
        <w:rPr>
          <w:rFonts w:ascii="Times New Roman" w:hAnsi="Times New Roman"/>
          <w:b/>
          <w:bCs/>
        </w:rPr>
        <w:t xml:space="preserve">c. </w:t>
      </w:r>
      <w:r w:rsidRPr="001A0F0D">
        <w:rPr>
          <w:rFonts w:ascii="Times New Roman" w:hAnsi="Times New Roman"/>
        </w:rPr>
        <w:t>The shaded histogram (left) or summary graph (right) showing surface CTLA-4 expression on CD4</w:t>
      </w:r>
      <w:r w:rsidRPr="001A0F0D">
        <w:rPr>
          <w:rFonts w:ascii="Times New Roman" w:hAnsi="Times New Roman"/>
          <w:vertAlign w:val="superscript"/>
        </w:rPr>
        <w:t>+</w:t>
      </w:r>
      <w:r w:rsidRPr="001A0F0D">
        <w:rPr>
          <w:rFonts w:ascii="Times New Roman" w:hAnsi="Times New Roman"/>
        </w:rPr>
        <w:t>Foxp3</w:t>
      </w:r>
      <w:r w:rsidRPr="001A0F0D">
        <w:rPr>
          <w:rFonts w:ascii="Times New Roman" w:hAnsi="Times New Roman"/>
          <w:vertAlign w:val="superscript"/>
        </w:rPr>
        <w:t>+</w:t>
      </w:r>
      <w:r w:rsidRPr="001A0F0D">
        <w:rPr>
          <w:rFonts w:ascii="Times New Roman" w:hAnsi="Times New Roman"/>
        </w:rPr>
        <w:t xml:space="preserve"> or CD4</w:t>
      </w:r>
      <w:r w:rsidRPr="001A0F0D">
        <w:rPr>
          <w:rFonts w:ascii="Times New Roman" w:hAnsi="Times New Roman"/>
          <w:vertAlign w:val="superscript"/>
        </w:rPr>
        <w:t>+</w:t>
      </w:r>
      <w:r w:rsidRPr="001A0F0D">
        <w:rPr>
          <w:rFonts w:ascii="Times New Roman" w:hAnsi="Times New Roman"/>
        </w:rPr>
        <w:t>Foxp3</w:t>
      </w:r>
      <w:r w:rsidRPr="001A0F0D">
        <w:rPr>
          <w:rFonts w:ascii="Times New Roman" w:hAnsi="Times New Roman"/>
          <w:vertAlign w:val="superscript"/>
        </w:rPr>
        <w:t>-</w:t>
      </w:r>
      <w:r w:rsidRPr="001A0F0D">
        <w:rPr>
          <w:rFonts w:ascii="Times New Roman" w:hAnsi="Times New Roman"/>
        </w:rPr>
        <w:t xml:space="preserve"> T cells in </w:t>
      </w:r>
      <w:r w:rsidRPr="001A0F0D">
        <w:rPr>
          <w:rFonts w:ascii="Times New Roman" w:hAnsi="Times New Roman"/>
        </w:rPr>
        <w:lastRenderedPageBreak/>
        <w:t xml:space="preserve">tumors from the control </w:t>
      </w:r>
      <w:proofErr w:type="spellStart"/>
      <w:r w:rsidRPr="001A0F0D">
        <w:rPr>
          <w:rFonts w:ascii="Times New Roman" w:hAnsi="Times New Roman"/>
        </w:rPr>
        <w:t>hIgG</w:t>
      </w:r>
      <w:proofErr w:type="spellEnd"/>
      <w:r w:rsidRPr="001A0F0D">
        <w:rPr>
          <w:rFonts w:ascii="Times New Roman" w:hAnsi="Times New Roman"/>
        </w:rPr>
        <w:t xml:space="preserve">-treated group. </w:t>
      </w:r>
      <w:proofErr w:type="gramStart"/>
      <w:r w:rsidRPr="001A0F0D">
        <w:rPr>
          <w:rFonts w:ascii="Times New Roman" w:hAnsi="Times New Roman"/>
          <w:b/>
          <w:bCs/>
        </w:rPr>
        <w:t>d-g</w:t>
      </w:r>
      <w:proofErr w:type="gramEnd"/>
      <w:r w:rsidRPr="001A0F0D">
        <w:rPr>
          <w:rFonts w:ascii="Times New Roman" w:hAnsi="Times New Roman"/>
        </w:rPr>
        <w:t xml:space="preserve">, Tumors were digested and cells were stained with various </w:t>
      </w:r>
      <w:proofErr w:type="spellStart"/>
      <w:r w:rsidRPr="001A0F0D">
        <w:rPr>
          <w:rFonts w:ascii="Times New Roman" w:hAnsi="Times New Roman"/>
        </w:rPr>
        <w:t>mAbs</w:t>
      </w:r>
      <w:proofErr w:type="spellEnd"/>
      <w:r w:rsidRPr="001A0F0D">
        <w:rPr>
          <w:rFonts w:ascii="Times New Roman" w:hAnsi="Times New Roman"/>
        </w:rPr>
        <w:t xml:space="preserve"> and analyzed with flow cytometry similarly as in Figure 4. </w:t>
      </w:r>
      <w:r w:rsidRPr="001A0F0D">
        <w:rPr>
          <w:rFonts w:ascii="Times New Roman" w:hAnsi="Times New Roman"/>
          <w:b/>
          <w:bCs/>
        </w:rPr>
        <w:t>d.</w:t>
      </w:r>
      <w:r w:rsidRPr="001A0F0D">
        <w:rPr>
          <w:rFonts w:ascii="Times New Roman" w:hAnsi="Times New Roman"/>
        </w:rPr>
        <w:t xml:space="preserve"> The percentage of </w:t>
      </w:r>
      <w:proofErr w:type="spellStart"/>
      <w:r w:rsidRPr="001A0F0D">
        <w:rPr>
          <w:rFonts w:ascii="Times New Roman" w:hAnsi="Times New Roman"/>
        </w:rPr>
        <w:t>T</w:t>
      </w:r>
      <w:r w:rsidRPr="001A0F0D">
        <w:rPr>
          <w:rFonts w:ascii="Times New Roman" w:hAnsi="Times New Roman"/>
          <w:vertAlign w:val="subscript"/>
        </w:rPr>
        <w:t>reg</w:t>
      </w:r>
      <w:proofErr w:type="spellEnd"/>
      <w:r w:rsidRPr="001A0F0D">
        <w:rPr>
          <w:rFonts w:ascii="Times New Roman" w:hAnsi="Times New Roman"/>
        </w:rPr>
        <w:t xml:space="preserve"> cells over total T cells. </w:t>
      </w:r>
      <w:r w:rsidRPr="001A0F0D">
        <w:rPr>
          <w:rFonts w:ascii="Times New Roman" w:hAnsi="Times New Roman"/>
          <w:b/>
          <w:bCs/>
        </w:rPr>
        <w:t>e.</w:t>
      </w:r>
      <w:r w:rsidRPr="001A0F0D">
        <w:rPr>
          <w:rFonts w:ascii="Times New Roman" w:hAnsi="Times New Roman"/>
        </w:rPr>
        <w:t xml:space="preserve"> The percentage of CD4</w:t>
      </w:r>
      <w:r w:rsidRPr="001A0F0D">
        <w:rPr>
          <w:rFonts w:ascii="Times New Roman" w:hAnsi="Times New Roman"/>
          <w:vertAlign w:val="superscript"/>
        </w:rPr>
        <w:t>+</w:t>
      </w:r>
      <w:r w:rsidRPr="001A0F0D">
        <w:rPr>
          <w:rFonts w:ascii="Times New Roman" w:hAnsi="Times New Roman"/>
        </w:rPr>
        <w:t>Foxp3</w:t>
      </w:r>
      <w:r w:rsidRPr="001A0F0D">
        <w:rPr>
          <w:rFonts w:ascii="Times New Roman" w:hAnsi="Times New Roman"/>
          <w:vertAlign w:val="superscript"/>
        </w:rPr>
        <w:t>-</w:t>
      </w:r>
      <w:r w:rsidRPr="001A0F0D">
        <w:rPr>
          <w:rFonts w:ascii="Times New Roman" w:hAnsi="Times New Roman"/>
        </w:rPr>
        <w:t xml:space="preserve"> cells over total T cells. </w:t>
      </w:r>
      <w:r w:rsidRPr="001A0F0D">
        <w:rPr>
          <w:rFonts w:ascii="Times New Roman" w:hAnsi="Times New Roman"/>
          <w:b/>
          <w:bCs/>
        </w:rPr>
        <w:t>f.</w:t>
      </w:r>
      <w:r w:rsidRPr="001A0F0D">
        <w:rPr>
          <w:rFonts w:ascii="Times New Roman" w:hAnsi="Times New Roman"/>
        </w:rPr>
        <w:t xml:space="preserve"> Numbers of T cells per gram of tumor tissue. </w:t>
      </w:r>
      <w:r w:rsidRPr="001A0F0D">
        <w:rPr>
          <w:rFonts w:ascii="Times New Roman" w:hAnsi="Times New Roman"/>
          <w:b/>
          <w:bCs/>
        </w:rPr>
        <w:t xml:space="preserve">g. </w:t>
      </w:r>
      <w:r w:rsidRPr="001A0F0D">
        <w:rPr>
          <w:rFonts w:ascii="Times New Roman" w:hAnsi="Times New Roman"/>
        </w:rPr>
        <w:t>MFI of OX40 on CD4</w:t>
      </w:r>
      <w:r w:rsidRPr="001A0F0D">
        <w:rPr>
          <w:rFonts w:ascii="Times New Roman" w:hAnsi="Times New Roman"/>
          <w:vertAlign w:val="superscript"/>
        </w:rPr>
        <w:t>+</w:t>
      </w:r>
      <w:r w:rsidRPr="001A0F0D">
        <w:rPr>
          <w:rFonts w:ascii="Times New Roman" w:hAnsi="Times New Roman"/>
        </w:rPr>
        <w:t xml:space="preserve"> T cells. Statistical significance was determined using unpaired Student’s </w:t>
      </w:r>
      <w:r w:rsidRPr="001A0F0D">
        <w:rPr>
          <w:rFonts w:ascii="Times New Roman" w:hAnsi="Times New Roman"/>
          <w:i/>
          <w:iCs/>
        </w:rPr>
        <w:t>t</w:t>
      </w:r>
      <w:r w:rsidRPr="001A0F0D">
        <w:rPr>
          <w:rFonts w:ascii="Times New Roman" w:hAnsi="Times New Roman"/>
        </w:rPr>
        <w:t xml:space="preserve"> test. Notably, two mice died one day before the 4th treatment and their tumors (marked with black dot below in </w:t>
      </w:r>
      <w:r w:rsidRPr="001A0F0D">
        <w:rPr>
          <w:rFonts w:ascii="Times New Roman" w:hAnsi="Times New Roman"/>
          <w:b/>
          <w:bCs/>
        </w:rPr>
        <w:t>b</w:t>
      </w:r>
      <w:r w:rsidRPr="001A0F0D">
        <w:rPr>
          <w:rFonts w:ascii="Times New Roman" w:hAnsi="Times New Roman"/>
        </w:rPr>
        <w:t>) were extracted but were excluded for T cell population analysis.</w:t>
      </w:r>
    </w:p>
    <w:p w:rsidR="001A0F0D" w:rsidRPr="00582E10" w:rsidRDefault="001A0F0D" w:rsidP="001A0F0D">
      <w:pPr>
        <w:rPr>
          <w:rFonts w:ascii="Times New Roman" w:hAnsi="Times New Roman"/>
        </w:rPr>
      </w:pPr>
    </w:p>
    <w:p w:rsidR="001A0F0D" w:rsidRPr="00E25D8B" w:rsidRDefault="001A0F0D" w:rsidP="001A0F0D">
      <w:pPr>
        <w:rPr>
          <w:rFonts w:ascii="Times New Roman" w:hAnsi="Times New Roman"/>
        </w:rPr>
      </w:pPr>
    </w:p>
    <w:p w:rsidR="00187504" w:rsidRDefault="00187504"/>
    <w:sectPr w:rsidR="00187504" w:rsidSect="00571D5F">
      <w:footerReference w:type="even" r:id="rId9"/>
      <w:footerReference w:type="default" r:id="rId10"/>
      <w:pgSz w:w="11900" w:h="16840"/>
      <w:pgMar w:top="1361" w:right="1531" w:bottom="1247" w:left="1531" w:header="851" w:footer="992" w:gutter="0"/>
      <w:lnNumType w:countBy="1" w:restart="continuous"/>
      <w:cols w:space="425"/>
      <w:titlePg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30A7" w:rsidRDefault="001330A7" w:rsidP="001A0F0D">
      <w:r>
        <w:separator/>
      </w:r>
    </w:p>
  </w:endnote>
  <w:endnote w:type="continuationSeparator" w:id="0">
    <w:p w:rsidR="001330A7" w:rsidRDefault="001330A7" w:rsidP="001A0F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C2A" w:rsidRDefault="001330A7" w:rsidP="00A77650">
    <w:pPr>
      <w:pStyle w:val="a5"/>
      <w:framePr w:wrap="none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A6C2A" w:rsidRDefault="001330A7" w:rsidP="00571D5F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C2A" w:rsidRDefault="001330A7" w:rsidP="00571D5F">
    <w:pPr>
      <w:pStyle w:val="a5"/>
      <w:ind w:right="360"/>
    </w:pPr>
  </w:p>
  <w:p w:rsidR="00DA6C2A" w:rsidRDefault="001330A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30A7" w:rsidRDefault="001330A7" w:rsidP="001A0F0D">
      <w:r>
        <w:separator/>
      </w:r>
    </w:p>
  </w:footnote>
  <w:footnote w:type="continuationSeparator" w:id="0">
    <w:p w:rsidR="001330A7" w:rsidRDefault="001330A7" w:rsidP="001A0F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EF7"/>
    <w:rsid w:val="001330A7"/>
    <w:rsid w:val="00187504"/>
    <w:rsid w:val="001A0F0D"/>
    <w:rsid w:val="00C42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B19E1FE-E811-4F66-A255-01C62BE99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0F0D"/>
    <w:pPr>
      <w:widowControl w:val="0"/>
      <w:jc w:val="both"/>
    </w:pPr>
    <w:rPr>
      <w:rFonts w:ascii="等线" w:eastAsia="等线" w:hAnsi="等线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0F0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 w:val="21"/>
      <w:szCs w:val="22"/>
    </w:rPr>
  </w:style>
  <w:style w:type="character" w:customStyle="1" w:styleId="a4">
    <w:name w:val="页眉 字符"/>
    <w:basedOn w:val="a0"/>
    <w:link w:val="a3"/>
    <w:uiPriority w:val="99"/>
    <w:rsid w:val="001A0F0D"/>
  </w:style>
  <w:style w:type="paragraph" w:styleId="a5">
    <w:name w:val="footer"/>
    <w:basedOn w:val="a"/>
    <w:link w:val="a6"/>
    <w:uiPriority w:val="99"/>
    <w:unhideWhenUsed/>
    <w:rsid w:val="001A0F0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 w:val="21"/>
      <w:szCs w:val="22"/>
    </w:rPr>
  </w:style>
  <w:style w:type="character" w:customStyle="1" w:styleId="a6">
    <w:name w:val="页脚 字符"/>
    <w:basedOn w:val="a0"/>
    <w:link w:val="a5"/>
    <w:uiPriority w:val="99"/>
    <w:rsid w:val="001A0F0D"/>
  </w:style>
  <w:style w:type="paragraph" w:styleId="a7">
    <w:name w:val="Normal (Web)"/>
    <w:basedOn w:val="a"/>
    <w:uiPriority w:val="99"/>
    <w:unhideWhenUsed/>
    <w:rsid w:val="001A0F0D"/>
    <w:pPr>
      <w:widowControl/>
      <w:spacing w:before="100" w:beforeAutospacing="1" w:after="100" w:afterAutospacing="1"/>
      <w:jc w:val="left"/>
    </w:pPr>
    <w:rPr>
      <w:rFonts w:ascii="Times New Roman" w:hAnsi="Times New Roman"/>
      <w:kern w:val="0"/>
    </w:rPr>
  </w:style>
  <w:style w:type="character" w:styleId="a8">
    <w:name w:val="page number"/>
    <w:basedOn w:val="a0"/>
    <w:uiPriority w:val="99"/>
    <w:semiHidden/>
    <w:unhideWhenUsed/>
    <w:rsid w:val="001A0F0D"/>
  </w:style>
  <w:style w:type="character" w:styleId="a9">
    <w:name w:val="line number"/>
    <w:basedOn w:val="a0"/>
    <w:uiPriority w:val="99"/>
    <w:semiHidden/>
    <w:unhideWhenUsed/>
    <w:rsid w:val="001A0F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884</Words>
  <Characters>5043</Characters>
  <Application>Microsoft Office Word</Application>
  <DocSecurity>0</DocSecurity>
  <Lines>42</Lines>
  <Paragraphs>11</Paragraphs>
  <ScaleCrop>false</ScaleCrop>
  <Company/>
  <LinksUpToDate>false</LinksUpToDate>
  <CharactersWithSpaces>5916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</dc:creator>
  <cp:keywords/>
  <dc:description/>
  <cp:lastModifiedBy>kathy</cp:lastModifiedBy>
  <cp:revision>2</cp:revision>
  <dcterms:created xsi:type="dcterms:W3CDTF">2021-09-14T07:17:00Z</dcterms:created>
  <dcterms:modified xsi:type="dcterms:W3CDTF">2021-09-14T07:18:00Z</dcterms:modified>
</cp:coreProperties>
</file>