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EDA6" w14:textId="31EA6F5D" w:rsidR="00EA322A" w:rsidRPr="002009BE" w:rsidRDefault="00EA322A" w:rsidP="00EA322A">
      <w:pPr>
        <w:pStyle w:val="Heading1"/>
        <w:rPr>
          <w:rFonts w:ascii="Arial" w:hAnsi="Arial"/>
          <w:sz w:val="28"/>
          <w:szCs w:val="28"/>
        </w:rPr>
      </w:pPr>
      <w:r>
        <w:rPr>
          <w:rFonts w:ascii="Arial" w:hAnsi="Arial"/>
          <w:sz w:val="28"/>
          <w:szCs w:val="28"/>
        </w:rPr>
        <w:t>Supplemental S1</w:t>
      </w:r>
    </w:p>
    <w:p w14:paraId="497DEB6C" w14:textId="77777777" w:rsidR="00EA322A" w:rsidRPr="002009BE" w:rsidRDefault="00EA322A" w:rsidP="00EA322A">
      <w:pPr>
        <w:pStyle w:val="Heading2"/>
        <w:rPr>
          <w:sz w:val="24"/>
          <w:szCs w:val="24"/>
        </w:rPr>
      </w:pPr>
      <w:r w:rsidRPr="002009BE">
        <w:rPr>
          <w:sz w:val="24"/>
          <w:szCs w:val="24"/>
        </w:rPr>
        <w:t>Trials in results writing phase</w:t>
      </w:r>
    </w:p>
    <w:p w14:paraId="7EBD5A35" w14:textId="5FCDE346" w:rsidR="00EA322A" w:rsidRPr="002009BE" w:rsidRDefault="00EA322A" w:rsidP="00EA322A">
      <w:pPr>
        <w:jc w:val="both"/>
        <w:rPr>
          <w:sz w:val="24"/>
        </w:rPr>
      </w:pPr>
      <w:r w:rsidRPr="002009BE">
        <w:rPr>
          <w:sz w:val="24"/>
        </w:rPr>
        <w:t xml:space="preserve">We acknowledge that it takes time to write and publish results articles. As such we analyzed studies in a results writing phase based on how recently the trial has completed, based on the listed primary completion date of the trial. </w:t>
      </w:r>
      <w:r w:rsidRPr="00EA322A">
        <w:rPr>
          <w:bCs/>
          <w:sz w:val="24"/>
        </w:rPr>
        <w:t>Supplemental</w:t>
      </w:r>
      <w:r w:rsidRPr="002009BE">
        <w:rPr>
          <w:b/>
          <w:sz w:val="24"/>
        </w:rPr>
        <w:t xml:space="preserve"> </w:t>
      </w:r>
      <w:r w:rsidRPr="002009BE">
        <w:rPr>
          <w:sz w:val="24"/>
        </w:rPr>
        <w:t xml:space="preserve">Table 1 shows how many trials were completed only recently and lack result articles because they are in the results writing phase. There is no mandate to publish result articles, as only the deposition of basic summary results to the CTG registry is regulated. </w:t>
      </w:r>
      <w:r w:rsidRPr="00EA322A">
        <w:rPr>
          <w:bCs/>
          <w:sz w:val="24"/>
        </w:rPr>
        <w:t>Supplemental</w:t>
      </w:r>
      <w:r w:rsidRPr="002009BE">
        <w:rPr>
          <w:b/>
          <w:sz w:val="24"/>
        </w:rPr>
        <w:t xml:space="preserve"> </w:t>
      </w:r>
      <w:r w:rsidRPr="002009BE">
        <w:rPr>
          <w:sz w:val="24"/>
        </w:rPr>
        <w:t>Table 1 shows the number of trials when looking at various lengths of the writing period added after the trial completion date to allow for time to write the results and for journal publication (or preprint posting). Of the 1 720 interventional trials past their primary completion date, almost two-thirds (65.8%, 1 133 trials) are more than 120 days past the primary completion date, while only 257 (22.7%) of those have at least one non protocol article. 80 of 295 trials (27.1%) that are more than a year past their completion date have published result articles.</w:t>
      </w:r>
    </w:p>
    <w:p w14:paraId="413AAA80" w14:textId="4FD9BA0F" w:rsidR="00EA322A" w:rsidRPr="002009BE" w:rsidRDefault="00EA322A" w:rsidP="00EA322A">
      <w:pPr>
        <w:spacing w:before="120" w:after="120"/>
        <w:jc w:val="both"/>
        <w:rPr>
          <w:sz w:val="24"/>
        </w:rPr>
      </w:pPr>
      <w:r>
        <w:rPr>
          <w:b/>
          <w:sz w:val="24"/>
        </w:rPr>
        <w:t>Supplemental</w:t>
      </w:r>
      <w:r w:rsidRPr="002009BE">
        <w:rPr>
          <w:b/>
          <w:sz w:val="24"/>
        </w:rPr>
        <w:t xml:space="preserve"> Table 1.</w:t>
      </w:r>
      <w:r w:rsidRPr="002009BE">
        <w:rPr>
          <w:sz w:val="24"/>
        </w:rPr>
        <w:t xml:space="preserve"> Number of trials in results writing phase.</w:t>
      </w:r>
    </w:p>
    <w:tbl>
      <w:tblPr>
        <w:tblW w:w="9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537"/>
        <w:gridCol w:w="2970"/>
        <w:gridCol w:w="1980"/>
      </w:tblGrid>
      <w:tr w:rsidR="00EA322A" w:rsidRPr="00795728" w14:paraId="3ED51531" w14:textId="77777777" w:rsidTr="00A9334F">
        <w:trPr>
          <w:trHeight w:val="300"/>
        </w:trPr>
        <w:tc>
          <w:tcPr>
            <w:tcW w:w="2773" w:type="dxa"/>
            <w:shd w:val="clear" w:color="auto" w:fill="auto"/>
            <w:noWrap/>
            <w:vAlign w:val="center"/>
            <w:hideMark/>
          </w:tcPr>
          <w:p w14:paraId="02ABC519" w14:textId="77777777" w:rsidR="00EA322A" w:rsidRPr="00792C14" w:rsidRDefault="00EA322A" w:rsidP="00A9334F">
            <w:pPr>
              <w:autoSpaceDE/>
              <w:autoSpaceDN/>
              <w:adjustRightInd/>
              <w:jc w:val="both"/>
              <w:rPr>
                <w:color w:val="000000"/>
                <w:szCs w:val="20"/>
              </w:rPr>
            </w:pPr>
            <w:r w:rsidRPr="00792C14">
              <w:rPr>
                <w:color w:val="000000"/>
                <w:szCs w:val="20"/>
              </w:rPr>
              <w:t>Days since completion</w:t>
            </w:r>
          </w:p>
        </w:tc>
        <w:tc>
          <w:tcPr>
            <w:tcW w:w="1537" w:type="dxa"/>
            <w:shd w:val="clear" w:color="auto" w:fill="auto"/>
            <w:noWrap/>
            <w:vAlign w:val="center"/>
            <w:hideMark/>
          </w:tcPr>
          <w:p w14:paraId="12B50655" w14:textId="77777777" w:rsidR="00EA322A" w:rsidRPr="00792C14" w:rsidRDefault="00EA322A" w:rsidP="00A9334F">
            <w:pPr>
              <w:autoSpaceDE/>
              <w:autoSpaceDN/>
              <w:adjustRightInd/>
              <w:jc w:val="both"/>
              <w:rPr>
                <w:color w:val="000000"/>
                <w:szCs w:val="20"/>
              </w:rPr>
            </w:pPr>
            <w:r w:rsidRPr="00792C14">
              <w:rPr>
                <w:color w:val="000000"/>
                <w:szCs w:val="20"/>
              </w:rPr>
              <w:t>Trials with 0 result articles</w:t>
            </w:r>
          </w:p>
        </w:tc>
        <w:tc>
          <w:tcPr>
            <w:tcW w:w="2970" w:type="dxa"/>
            <w:shd w:val="clear" w:color="auto" w:fill="auto"/>
            <w:noWrap/>
            <w:vAlign w:val="center"/>
            <w:hideMark/>
          </w:tcPr>
          <w:p w14:paraId="45C0B1D7" w14:textId="77777777" w:rsidR="00EA322A" w:rsidRPr="00792C14" w:rsidRDefault="00EA322A" w:rsidP="00A9334F">
            <w:pPr>
              <w:autoSpaceDE/>
              <w:autoSpaceDN/>
              <w:adjustRightInd/>
              <w:jc w:val="both"/>
              <w:rPr>
                <w:color w:val="000000"/>
                <w:szCs w:val="20"/>
              </w:rPr>
            </w:pPr>
            <w:r w:rsidRPr="00792C14">
              <w:rPr>
                <w:color w:val="000000"/>
                <w:szCs w:val="20"/>
              </w:rPr>
              <w:t xml:space="preserve">Trials with at least 1 result article </w:t>
            </w:r>
          </w:p>
        </w:tc>
        <w:tc>
          <w:tcPr>
            <w:tcW w:w="1980" w:type="dxa"/>
            <w:shd w:val="clear" w:color="auto" w:fill="auto"/>
            <w:noWrap/>
            <w:vAlign w:val="center"/>
            <w:hideMark/>
          </w:tcPr>
          <w:p w14:paraId="0C73501D" w14:textId="77777777" w:rsidR="00EA322A" w:rsidRPr="00792C14" w:rsidRDefault="00EA322A" w:rsidP="00A9334F">
            <w:pPr>
              <w:autoSpaceDE/>
              <w:autoSpaceDN/>
              <w:adjustRightInd/>
              <w:jc w:val="both"/>
              <w:rPr>
                <w:color w:val="000000"/>
                <w:szCs w:val="20"/>
              </w:rPr>
            </w:pPr>
            <w:r w:rsidRPr="00792C14">
              <w:rPr>
                <w:color w:val="000000"/>
                <w:szCs w:val="20"/>
              </w:rPr>
              <w:t>Total number of trials</w:t>
            </w:r>
          </w:p>
        </w:tc>
      </w:tr>
      <w:tr w:rsidR="00EA322A" w:rsidRPr="00795728" w14:paraId="19E94F4C" w14:textId="77777777" w:rsidTr="00A9334F">
        <w:trPr>
          <w:trHeight w:val="300"/>
        </w:trPr>
        <w:tc>
          <w:tcPr>
            <w:tcW w:w="2773" w:type="dxa"/>
            <w:shd w:val="clear" w:color="auto" w:fill="auto"/>
            <w:noWrap/>
            <w:vAlign w:val="center"/>
            <w:hideMark/>
          </w:tcPr>
          <w:p w14:paraId="0F9ADC89" w14:textId="77777777" w:rsidR="00EA322A" w:rsidRPr="00792C14" w:rsidRDefault="00EA322A" w:rsidP="00A9334F">
            <w:pPr>
              <w:autoSpaceDE/>
              <w:autoSpaceDN/>
              <w:adjustRightInd/>
              <w:jc w:val="both"/>
              <w:rPr>
                <w:color w:val="000000"/>
                <w:szCs w:val="20"/>
              </w:rPr>
            </w:pPr>
            <w:r w:rsidRPr="00792C14">
              <w:rPr>
                <w:color w:val="000000"/>
                <w:szCs w:val="20"/>
              </w:rPr>
              <w:t>Less than or equal to 30 days</w:t>
            </w:r>
          </w:p>
        </w:tc>
        <w:tc>
          <w:tcPr>
            <w:tcW w:w="1537" w:type="dxa"/>
            <w:shd w:val="clear" w:color="auto" w:fill="auto"/>
            <w:noWrap/>
            <w:vAlign w:val="bottom"/>
            <w:hideMark/>
          </w:tcPr>
          <w:p w14:paraId="430B1E2E" w14:textId="77777777" w:rsidR="00EA322A" w:rsidRPr="00792C14" w:rsidRDefault="00EA322A" w:rsidP="00A9334F">
            <w:pPr>
              <w:autoSpaceDE/>
              <w:autoSpaceDN/>
              <w:adjustRightInd/>
              <w:jc w:val="both"/>
              <w:rPr>
                <w:color w:val="000000"/>
                <w:szCs w:val="20"/>
              </w:rPr>
            </w:pPr>
            <w:r>
              <w:rPr>
                <w:color w:val="000000"/>
                <w:szCs w:val="20"/>
              </w:rPr>
              <w:t>9</w:t>
            </w:r>
          </w:p>
        </w:tc>
        <w:tc>
          <w:tcPr>
            <w:tcW w:w="2970" w:type="dxa"/>
            <w:shd w:val="clear" w:color="auto" w:fill="auto"/>
            <w:noWrap/>
            <w:vAlign w:val="bottom"/>
            <w:hideMark/>
          </w:tcPr>
          <w:p w14:paraId="1C919D36" w14:textId="77777777" w:rsidR="00EA322A" w:rsidRPr="00792C14" w:rsidRDefault="00EA322A" w:rsidP="00A9334F">
            <w:pPr>
              <w:autoSpaceDE/>
              <w:autoSpaceDN/>
              <w:adjustRightInd/>
              <w:jc w:val="both"/>
              <w:rPr>
                <w:color w:val="000000"/>
                <w:szCs w:val="20"/>
              </w:rPr>
            </w:pPr>
            <w:r>
              <w:rPr>
                <w:color w:val="000000"/>
                <w:szCs w:val="20"/>
              </w:rPr>
              <w:t>1</w:t>
            </w:r>
          </w:p>
        </w:tc>
        <w:tc>
          <w:tcPr>
            <w:tcW w:w="1980" w:type="dxa"/>
            <w:shd w:val="clear" w:color="auto" w:fill="auto"/>
            <w:noWrap/>
            <w:vAlign w:val="bottom"/>
            <w:hideMark/>
          </w:tcPr>
          <w:p w14:paraId="1948D392" w14:textId="77777777" w:rsidR="00EA322A" w:rsidRPr="00792C14" w:rsidRDefault="00EA322A" w:rsidP="00A9334F">
            <w:pPr>
              <w:autoSpaceDE/>
              <w:autoSpaceDN/>
              <w:adjustRightInd/>
              <w:jc w:val="both"/>
              <w:rPr>
                <w:color w:val="000000"/>
                <w:szCs w:val="20"/>
              </w:rPr>
            </w:pPr>
            <w:r>
              <w:rPr>
                <w:color w:val="000000"/>
                <w:szCs w:val="20"/>
              </w:rPr>
              <w:t>10</w:t>
            </w:r>
          </w:p>
        </w:tc>
      </w:tr>
      <w:tr w:rsidR="00EA322A" w:rsidRPr="00795728" w14:paraId="4329FD82" w14:textId="77777777" w:rsidTr="00A9334F">
        <w:trPr>
          <w:trHeight w:val="300"/>
        </w:trPr>
        <w:tc>
          <w:tcPr>
            <w:tcW w:w="2773" w:type="dxa"/>
            <w:shd w:val="clear" w:color="auto" w:fill="auto"/>
            <w:noWrap/>
            <w:vAlign w:val="center"/>
            <w:hideMark/>
          </w:tcPr>
          <w:p w14:paraId="2693E67C" w14:textId="77777777" w:rsidR="00EA322A" w:rsidRPr="00792C14" w:rsidRDefault="00EA322A" w:rsidP="00A9334F">
            <w:pPr>
              <w:autoSpaceDE/>
              <w:autoSpaceDN/>
              <w:adjustRightInd/>
              <w:jc w:val="both"/>
              <w:rPr>
                <w:color w:val="000000"/>
                <w:szCs w:val="20"/>
              </w:rPr>
            </w:pPr>
            <w:r w:rsidRPr="00792C14">
              <w:rPr>
                <w:color w:val="000000"/>
                <w:szCs w:val="20"/>
              </w:rPr>
              <w:t>Less than or equal to 60 days</w:t>
            </w:r>
          </w:p>
        </w:tc>
        <w:tc>
          <w:tcPr>
            <w:tcW w:w="1537" w:type="dxa"/>
            <w:shd w:val="clear" w:color="auto" w:fill="auto"/>
            <w:noWrap/>
            <w:vAlign w:val="bottom"/>
            <w:hideMark/>
          </w:tcPr>
          <w:p w14:paraId="12FDEEA7" w14:textId="77777777" w:rsidR="00EA322A" w:rsidRPr="00792C14" w:rsidRDefault="00EA322A" w:rsidP="00A9334F">
            <w:pPr>
              <w:autoSpaceDE/>
              <w:autoSpaceDN/>
              <w:adjustRightInd/>
              <w:jc w:val="both"/>
              <w:rPr>
                <w:color w:val="000000"/>
                <w:szCs w:val="20"/>
              </w:rPr>
            </w:pPr>
            <w:r>
              <w:rPr>
                <w:color w:val="000000"/>
                <w:szCs w:val="20"/>
              </w:rPr>
              <w:t>260</w:t>
            </w:r>
          </w:p>
        </w:tc>
        <w:tc>
          <w:tcPr>
            <w:tcW w:w="2970" w:type="dxa"/>
            <w:shd w:val="clear" w:color="auto" w:fill="auto"/>
            <w:noWrap/>
            <w:vAlign w:val="bottom"/>
            <w:hideMark/>
          </w:tcPr>
          <w:p w14:paraId="32B93AB6" w14:textId="77777777" w:rsidR="00EA322A" w:rsidRPr="00792C14" w:rsidRDefault="00EA322A" w:rsidP="00A9334F">
            <w:pPr>
              <w:autoSpaceDE/>
              <w:autoSpaceDN/>
              <w:adjustRightInd/>
              <w:jc w:val="both"/>
              <w:rPr>
                <w:color w:val="000000"/>
                <w:szCs w:val="20"/>
              </w:rPr>
            </w:pPr>
            <w:r>
              <w:rPr>
                <w:color w:val="000000"/>
                <w:szCs w:val="20"/>
              </w:rPr>
              <w:t>29</w:t>
            </w:r>
          </w:p>
        </w:tc>
        <w:tc>
          <w:tcPr>
            <w:tcW w:w="1980" w:type="dxa"/>
            <w:shd w:val="clear" w:color="auto" w:fill="auto"/>
            <w:noWrap/>
            <w:vAlign w:val="bottom"/>
            <w:hideMark/>
          </w:tcPr>
          <w:p w14:paraId="070E1AE2" w14:textId="77777777" w:rsidR="00EA322A" w:rsidRPr="00792C14" w:rsidRDefault="00EA322A" w:rsidP="00A9334F">
            <w:pPr>
              <w:autoSpaceDE/>
              <w:autoSpaceDN/>
              <w:adjustRightInd/>
              <w:jc w:val="both"/>
              <w:rPr>
                <w:color w:val="000000"/>
                <w:szCs w:val="20"/>
              </w:rPr>
            </w:pPr>
            <w:r>
              <w:rPr>
                <w:color w:val="000000"/>
                <w:szCs w:val="20"/>
              </w:rPr>
              <w:t>289</w:t>
            </w:r>
          </w:p>
        </w:tc>
      </w:tr>
      <w:tr w:rsidR="00EA322A" w:rsidRPr="00795728" w14:paraId="001EC99A" w14:textId="77777777" w:rsidTr="00A9334F">
        <w:trPr>
          <w:trHeight w:val="300"/>
        </w:trPr>
        <w:tc>
          <w:tcPr>
            <w:tcW w:w="2773" w:type="dxa"/>
            <w:shd w:val="clear" w:color="auto" w:fill="auto"/>
            <w:noWrap/>
            <w:vAlign w:val="center"/>
            <w:hideMark/>
          </w:tcPr>
          <w:p w14:paraId="3CEF40EA" w14:textId="77777777" w:rsidR="00EA322A" w:rsidRPr="00792C14" w:rsidRDefault="00EA322A" w:rsidP="00A9334F">
            <w:pPr>
              <w:autoSpaceDE/>
              <w:autoSpaceDN/>
              <w:adjustRightInd/>
              <w:jc w:val="both"/>
              <w:rPr>
                <w:color w:val="000000"/>
                <w:szCs w:val="20"/>
              </w:rPr>
            </w:pPr>
            <w:r w:rsidRPr="00792C14">
              <w:rPr>
                <w:color w:val="000000"/>
                <w:szCs w:val="20"/>
              </w:rPr>
              <w:t>Less than or equal to 90 days</w:t>
            </w:r>
          </w:p>
        </w:tc>
        <w:tc>
          <w:tcPr>
            <w:tcW w:w="1537" w:type="dxa"/>
            <w:shd w:val="clear" w:color="auto" w:fill="auto"/>
            <w:noWrap/>
            <w:vAlign w:val="bottom"/>
            <w:hideMark/>
          </w:tcPr>
          <w:p w14:paraId="419A1EEF" w14:textId="77777777" w:rsidR="00EA322A" w:rsidRPr="00792C14" w:rsidRDefault="00EA322A" w:rsidP="00A9334F">
            <w:pPr>
              <w:autoSpaceDE/>
              <w:autoSpaceDN/>
              <w:adjustRightInd/>
              <w:jc w:val="both"/>
              <w:rPr>
                <w:color w:val="000000"/>
                <w:szCs w:val="20"/>
              </w:rPr>
            </w:pPr>
            <w:r>
              <w:rPr>
                <w:color w:val="000000"/>
                <w:szCs w:val="20"/>
              </w:rPr>
              <w:t>392</w:t>
            </w:r>
          </w:p>
        </w:tc>
        <w:tc>
          <w:tcPr>
            <w:tcW w:w="2970" w:type="dxa"/>
            <w:shd w:val="clear" w:color="auto" w:fill="auto"/>
            <w:noWrap/>
            <w:vAlign w:val="bottom"/>
            <w:hideMark/>
          </w:tcPr>
          <w:p w14:paraId="50A18D11" w14:textId="77777777" w:rsidR="00EA322A" w:rsidRPr="00792C14" w:rsidRDefault="00EA322A" w:rsidP="00A9334F">
            <w:pPr>
              <w:autoSpaceDE/>
              <w:autoSpaceDN/>
              <w:adjustRightInd/>
              <w:jc w:val="both"/>
              <w:rPr>
                <w:color w:val="000000"/>
                <w:szCs w:val="20"/>
              </w:rPr>
            </w:pPr>
            <w:r>
              <w:rPr>
                <w:color w:val="000000"/>
                <w:szCs w:val="20"/>
              </w:rPr>
              <w:t>50</w:t>
            </w:r>
          </w:p>
        </w:tc>
        <w:tc>
          <w:tcPr>
            <w:tcW w:w="1980" w:type="dxa"/>
            <w:shd w:val="clear" w:color="auto" w:fill="auto"/>
            <w:noWrap/>
            <w:vAlign w:val="bottom"/>
            <w:hideMark/>
          </w:tcPr>
          <w:p w14:paraId="60ADA1A3" w14:textId="77777777" w:rsidR="00EA322A" w:rsidRPr="00792C14" w:rsidRDefault="00EA322A" w:rsidP="00A9334F">
            <w:pPr>
              <w:autoSpaceDE/>
              <w:autoSpaceDN/>
              <w:adjustRightInd/>
              <w:jc w:val="both"/>
              <w:rPr>
                <w:color w:val="000000"/>
                <w:szCs w:val="20"/>
              </w:rPr>
            </w:pPr>
            <w:r>
              <w:rPr>
                <w:color w:val="000000"/>
                <w:szCs w:val="20"/>
              </w:rPr>
              <w:t>442</w:t>
            </w:r>
          </w:p>
        </w:tc>
      </w:tr>
      <w:tr w:rsidR="00EA322A" w:rsidRPr="00795728" w14:paraId="03B4800E" w14:textId="77777777" w:rsidTr="00A9334F">
        <w:trPr>
          <w:trHeight w:val="300"/>
        </w:trPr>
        <w:tc>
          <w:tcPr>
            <w:tcW w:w="2773" w:type="dxa"/>
            <w:shd w:val="clear" w:color="auto" w:fill="auto"/>
            <w:noWrap/>
            <w:vAlign w:val="center"/>
            <w:hideMark/>
          </w:tcPr>
          <w:p w14:paraId="3828D530" w14:textId="77777777" w:rsidR="00EA322A" w:rsidRPr="00792C14" w:rsidRDefault="00EA322A" w:rsidP="00A9334F">
            <w:pPr>
              <w:autoSpaceDE/>
              <w:autoSpaceDN/>
              <w:adjustRightInd/>
              <w:jc w:val="both"/>
              <w:rPr>
                <w:color w:val="000000"/>
                <w:szCs w:val="20"/>
              </w:rPr>
            </w:pPr>
            <w:r w:rsidRPr="00792C14">
              <w:rPr>
                <w:color w:val="000000"/>
                <w:szCs w:val="20"/>
              </w:rPr>
              <w:t>Less than or equal to 120 days</w:t>
            </w:r>
          </w:p>
        </w:tc>
        <w:tc>
          <w:tcPr>
            <w:tcW w:w="1537" w:type="dxa"/>
            <w:shd w:val="clear" w:color="auto" w:fill="auto"/>
            <w:noWrap/>
            <w:vAlign w:val="bottom"/>
            <w:hideMark/>
          </w:tcPr>
          <w:p w14:paraId="11876DC8" w14:textId="77777777" w:rsidR="00EA322A" w:rsidRPr="00792C14" w:rsidRDefault="00EA322A" w:rsidP="00A9334F">
            <w:pPr>
              <w:autoSpaceDE/>
              <w:autoSpaceDN/>
              <w:adjustRightInd/>
              <w:jc w:val="both"/>
              <w:rPr>
                <w:color w:val="000000"/>
                <w:szCs w:val="20"/>
              </w:rPr>
            </w:pPr>
            <w:r>
              <w:rPr>
                <w:color w:val="000000"/>
                <w:szCs w:val="20"/>
              </w:rPr>
              <w:t>516</w:t>
            </w:r>
          </w:p>
        </w:tc>
        <w:tc>
          <w:tcPr>
            <w:tcW w:w="2970" w:type="dxa"/>
            <w:shd w:val="clear" w:color="auto" w:fill="auto"/>
            <w:noWrap/>
            <w:vAlign w:val="bottom"/>
            <w:hideMark/>
          </w:tcPr>
          <w:p w14:paraId="138B3D44" w14:textId="77777777" w:rsidR="00EA322A" w:rsidRPr="00792C14" w:rsidRDefault="00EA322A" w:rsidP="00A9334F">
            <w:pPr>
              <w:autoSpaceDE/>
              <w:autoSpaceDN/>
              <w:adjustRightInd/>
              <w:jc w:val="both"/>
              <w:rPr>
                <w:color w:val="000000"/>
                <w:szCs w:val="20"/>
              </w:rPr>
            </w:pPr>
            <w:r>
              <w:rPr>
                <w:color w:val="000000"/>
                <w:szCs w:val="20"/>
              </w:rPr>
              <w:t>71</w:t>
            </w:r>
          </w:p>
        </w:tc>
        <w:tc>
          <w:tcPr>
            <w:tcW w:w="1980" w:type="dxa"/>
            <w:shd w:val="clear" w:color="auto" w:fill="auto"/>
            <w:noWrap/>
            <w:vAlign w:val="bottom"/>
            <w:hideMark/>
          </w:tcPr>
          <w:p w14:paraId="5FBA289A" w14:textId="77777777" w:rsidR="00EA322A" w:rsidRPr="00792C14" w:rsidRDefault="00EA322A" w:rsidP="00A9334F">
            <w:pPr>
              <w:autoSpaceDE/>
              <w:autoSpaceDN/>
              <w:adjustRightInd/>
              <w:jc w:val="both"/>
              <w:rPr>
                <w:color w:val="000000"/>
                <w:szCs w:val="20"/>
              </w:rPr>
            </w:pPr>
            <w:r>
              <w:rPr>
                <w:color w:val="000000"/>
                <w:szCs w:val="20"/>
              </w:rPr>
              <w:t>587</w:t>
            </w:r>
          </w:p>
        </w:tc>
      </w:tr>
      <w:tr w:rsidR="00EA322A" w:rsidRPr="00795728" w14:paraId="28446A45" w14:textId="77777777" w:rsidTr="00A9334F">
        <w:trPr>
          <w:trHeight w:val="300"/>
        </w:trPr>
        <w:tc>
          <w:tcPr>
            <w:tcW w:w="2773" w:type="dxa"/>
            <w:shd w:val="clear" w:color="auto" w:fill="auto"/>
            <w:noWrap/>
            <w:vAlign w:val="center"/>
            <w:hideMark/>
          </w:tcPr>
          <w:p w14:paraId="3EA13FF9" w14:textId="77777777" w:rsidR="00EA322A" w:rsidRPr="00792C14" w:rsidRDefault="00EA322A" w:rsidP="00A9334F">
            <w:pPr>
              <w:autoSpaceDE/>
              <w:autoSpaceDN/>
              <w:adjustRightInd/>
              <w:jc w:val="both"/>
              <w:rPr>
                <w:color w:val="000000"/>
                <w:szCs w:val="20"/>
              </w:rPr>
            </w:pPr>
            <w:r w:rsidRPr="00792C14">
              <w:rPr>
                <w:color w:val="000000"/>
                <w:szCs w:val="20"/>
              </w:rPr>
              <w:t>Less than or equal to 180 days</w:t>
            </w:r>
          </w:p>
        </w:tc>
        <w:tc>
          <w:tcPr>
            <w:tcW w:w="1537" w:type="dxa"/>
            <w:shd w:val="clear" w:color="auto" w:fill="auto"/>
            <w:noWrap/>
            <w:vAlign w:val="bottom"/>
            <w:hideMark/>
          </w:tcPr>
          <w:p w14:paraId="4B2017B6" w14:textId="77777777" w:rsidR="00EA322A" w:rsidRPr="00792C14" w:rsidRDefault="00EA322A" w:rsidP="00A9334F">
            <w:pPr>
              <w:autoSpaceDE/>
              <w:autoSpaceDN/>
              <w:adjustRightInd/>
              <w:jc w:val="both"/>
              <w:rPr>
                <w:color w:val="000000"/>
                <w:szCs w:val="20"/>
              </w:rPr>
            </w:pPr>
            <w:r>
              <w:rPr>
                <w:color w:val="000000"/>
                <w:szCs w:val="20"/>
              </w:rPr>
              <w:t>710</w:t>
            </w:r>
          </w:p>
        </w:tc>
        <w:tc>
          <w:tcPr>
            <w:tcW w:w="2970" w:type="dxa"/>
            <w:shd w:val="clear" w:color="auto" w:fill="auto"/>
            <w:noWrap/>
            <w:vAlign w:val="bottom"/>
            <w:hideMark/>
          </w:tcPr>
          <w:p w14:paraId="293A7C4E" w14:textId="77777777" w:rsidR="00EA322A" w:rsidRPr="00792C14" w:rsidRDefault="00EA322A" w:rsidP="00A9334F">
            <w:pPr>
              <w:autoSpaceDE/>
              <w:autoSpaceDN/>
              <w:adjustRightInd/>
              <w:jc w:val="both"/>
              <w:rPr>
                <w:color w:val="000000"/>
                <w:szCs w:val="20"/>
              </w:rPr>
            </w:pPr>
            <w:r>
              <w:rPr>
                <w:color w:val="000000"/>
                <w:szCs w:val="20"/>
              </w:rPr>
              <w:t>116</w:t>
            </w:r>
          </w:p>
        </w:tc>
        <w:tc>
          <w:tcPr>
            <w:tcW w:w="1980" w:type="dxa"/>
            <w:shd w:val="clear" w:color="auto" w:fill="auto"/>
            <w:noWrap/>
            <w:vAlign w:val="bottom"/>
            <w:hideMark/>
          </w:tcPr>
          <w:p w14:paraId="43BF9859" w14:textId="77777777" w:rsidR="00EA322A" w:rsidRPr="00792C14" w:rsidRDefault="00EA322A" w:rsidP="00A9334F">
            <w:pPr>
              <w:autoSpaceDE/>
              <w:autoSpaceDN/>
              <w:adjustRightInd/>
              <w:jc w:val="both"/>
              <w:rPr>
                <w:color w:val="000000"/>
                <w:szCs w:val="20"/>
              </w:rPr>
            </w:pPr>
            <w:r>
              <w:rPr>
                <w:color w:val="000000"/>
                <w:szCs w:val="20"/>
              </w:rPr>
              <w:t>826</w:t>
            </w:r>
          </w:p>
        </w:tc>
      </w:tr>
      <w:tr w:rsidR="00EA322A" w:rsidRPr="00795728" w14:paraId="4648071F" w14:textId="77777777" w:rsidTr="00A9334F">
        <w:trPr>
          <w:trHeight w:val="300"/>
        </w:trPr>
        <w:tc>
          <w:tcPr>
            <w:tcW w:w="2773" w:type="dxa"/>
            <w:shd w:val="clear" w:color="auto" w:fill="auto"/>
            <w:noWrap/>
            <w:vAlign w:val="center"/>
            <w:hideMark/>
          </w:tcPr>
          <w:p w14:paraId="63ADAE09" w14:textId="77777777" w:rsidR="00EA322A" w:rsidRPr="00792C14" w:rsidRDefault="00EA322A" w:rsidP="00A9334F">
            <w:pPr>
              <w:autoSpaceDE/>
              <w:autoSpaceDN/>
              <w:adjustRightInd/>
              <w:jc w:val="both"/>
              <w:rPr>
                <w:color w:val="000000"/>
                <w:szCs w:val="20"/>
              </w:rPr>
            </w:pPr>
            <w:r w:rsidRPr="00792C14">
              <w:rPr>
                <w:color w:val="000000"/>
                <w:szCs w:val="20"/>
              </w:rPr>
              <w:t>Less than or equal to 365 days</w:t>
            </w:r>
          </w:p>
        </w:tc>
        <w:tc>
          <w:tcPr>
            <w:tcW w:w="1537" w:type="dxa"/>
            <w:shd w:val="clear" w:color="auto" w:fill="auto"/>
            <w:noWrap/>
            <w:vAlign w:val="bottom"/>
            <w:hideMark/>
          </w:tcPr>
          <w:p w14:paraId="18FA685D" w14:textId="77777777" w:rsidR="00EA322A" w:rsidRPr="00792C14" w:rsidRDefault="00EA322A" w:rsidP="00A9334F">
            <w:pPr>
              <w:autoSpaceDE/>
              <w:autoSpaceDN/>
              <w:adjustRightInd/>
              <w:jc w:val="both"/>
              <w:rPr>
                <w:color w:val="000000"/>
                <w:szCs w:val="20"/>
              </w:rPr>
            </w:pPr>
            <w:r>
              <w:rPr>
                <w:color w:val="000000"/>
                <w:szCs w:val="20"/>
              </w:rPr>
              <w:t>1 177</w:t>
            </w:r>
          </w:p>
        </w:tc>
        <w:tc>
          <w:tcPr>
            <w:tcW w:w="2970" w:type="dxa"/>
            <w:shd w:val="clear" w:color="auto" w:fill="auto"/>
            <w:noWrap/>
            <w:vAlign w:val="bottom"/>
            <w:hideMark/>
          </w:tcPr>
          <w:p w14:paraId="59826A23" w14:textId="77777777" w:rsidR="00EA322A" w:rsidRPr="00792C14" w:rsidRDefault="00EA322A" w:rsidP="00A9334F">
            <w:pPr>
              <w:autoSpaceDE/>
              <w:autoSpaceDN/>
              <w:adjustRightInd/>
              <w:jc w:val="both"/>
              <w:rPr>
                <w:color w:val="000000"/>
                <w:szCs w:val="20"/>
              </w:rPr>
            </w:pPr>
            <w:r>
              <w:rPr>
                <w:color w:val="000000"/>
                <w:szCs w:val="20"/>
              </w:rPr>
              <w:t>248</w:t>
            </w:r>
          </w:p>
        </w:tc>
        <w:tc>
          <w:tcPr>
            <w:tcW w:w="1980" w:type="dxa"/>
            <w:shd w:val="clear" w:color="auto" w:fill="auto"/>
            <w:noWrap/>
            <w:vAlign w:val="bottom"/>
            <w:hideMark/>
          </w:tcPr>
          <w:p w14:paraId="7B2E9CF3" w14:textId="77777777" w:rsidR="00EA322A" w:rsidRPr="00792C14" w:rsidRDefault="00EA322A" w:rsidP="00A9334F">
            <w:pPr>
              <w:autoSpaceDE/>
              <w:autoSpaceDN/>
              <w:adjustRightInd/>
              <w:jc w:val="both"/>
              <w:rPr>
                <w:color w:val="000000"/>
                <w:szCs w:val="20"/>
              </w:rPr>
            </w:pPr>
            <w:r>
              <w:rPr>
                <w:color w:val="000000"/>
                <w:szCs w:val="20"/>
              </w:rPr>
              <w:t>1 425</w:t>
            </w:r>
          </w:p>
        </w:tc>
      </w:tr>
      <w:tr w:rsidR="00EA322A" w:rsidRPr="00464387" w14:paraId="749333CA" w14:textId="77777777" w:rsidTr="00A9334F">
        <w:trPr>
          <w:trHeight w:val="300"/>
        </w:trPr>
        <w:tc>
          <w:tcPr>
            <w:tcW w:w="2773" w:type="dxa"/>
            <w:shd w:val="clear" w:color="auto" w:fill="auto"/>
            <w:noWrap/>
            <w:vAlign w:val="center"/>
            <w:hideMark/>
          </w:tcPr>
          <w:p w14:paraId="5445F904" w14:textId="77777777" w:rsidR="00EA322A" w:rsidRPr="00792C14" w:rsidRDefault="00EA322A" w:rsidP="00A9334F">
            <w:pPr>
              <w:autoSpaceDE/>
              <w:autoSpaceDN/>
              <w:adjustRightInd/>
              <w:jc w:val="both"/>
              <w:rPr>
                <w:color w:val="000000"/>
                <w:szCs w:val="20"/>
              </w:rPr>
            </w:pPr>
            <w:r w:rsidRPr="00792C14">
              <w:rPr>
                <w:color w:val="000000"/>
                <w:szCs w:val="20"/>
              </w:rPr>
              <w:t>More than 365 days</w:t>
            </w:r>
          </w:p>
        </w:tc>
        <w:tc>
          <w:tcPr>
            <w:tcW w:w="1537" w:type="dxa"/>
            <w:shd w:val="clear" w:color="auto" w:fill="auto"/>
            <w:noWrap/>
            <w:vAlign w:val="bottom"/>
            <w:hideMark/>
          </w:tcPr>
          <w:p w14:paraId="1B6EF69B" w14:textId="77777777" w:rsidR="00EA322A" w:rsidRPr="00792C14" w:rsidRDefault="00EA322A" w:rsidP="00A9334F">
            <w:pPr>
              <w:autoSpaceDE/>
              <w:autoSpaceDN/>
              <w:adjustRightInd/>
              <w:jc w:val="both"/>
              <w:rPr>
                <w:color w:val="000000"/>
                <w:szCs w:val="20"/>
              </w:rPr>
            </w:pPr>
            <w:r w:rsidRPr="00792C14">
              <w:rPr>
                <w:color w:val="000000"/>
                <w:szCs w:val="20"/>
              </w:rPr>
              <w:t>1</w:t>
            </w:r>
            <w:r>
              <w:rPr>
                <w:color w:val="000000"/>
                <w:szCs w:val="20"/>
              </w:rPr>
              <w:t>15</w:t>
            </w:r>
          </w:p>
        </w:tc>
        <w:tc>
          <w:tcPr>
            <w:tcW w:w="2970" w:type="dxa"/>
            <w:shd w:val="clear" w:color="auto" w:fill="auto"/>
            <w:noWrap/>
            <w:vAlign w:val="bottom"/>
            <w:hideMark/>
          </w:tcPr>
          <w:p w14:paraId="0AF75E38" w14:textId="77777777" w:rsidR="00EA322A" w:rsidRPr="00792C14" w:rsidRDefault="00EA322A" w:rsidP="00A9334F">
            <w:pPr>
              <w:autoSpaceDE/>
              <w:autoSpaceDN/>
              <w:adjustRightInd/>
              <w:jc w:val="both"/>
              <w:rPr>
                <w:color w:val="000000"/>
                <w:szCs w:val="20"/>
              </w:rPr>
            </w:pPr>
            <w:r>
              <w:rPr>
                <w:color w:val="000000"/>
                <w:szCs w:val="20"/>
              </w:rPr>
              <w:t>80</w:t>
            </w:r>
          </w:p>
        </w:tc>
        <w:tc>
          <w:tcPr>
            <w:tcW w:w="1980" w:type="dxa"/>
            <w:shd w:val="clear" w:color="auto" w:fill="auto"/>
            <w:noWrap/>
            <w:vAlign w:val="bottom"/>
            <w:hideMark/>
          </w:tcPr>
          <w:p w14:paraId="4EE64FE0" w14:textId="77777777" w:rsidR="00EA322A" w:rsidRPr="00792C14" w:rsidRDefault="00EA322A" w:rsidP="00A9334F">
            <w:pPr>
              <w:autoSpaceDE/>
              <w:autoSpaceDN/>
              <w:adjustRightInd/>
              <w:jc w:val="both"/>
              <w:rPr>
                <w:color w:val="000000"/>
                <w:szCs w:val="20"/>
              </w:rPr>
            </w:pPr>
            <w:r w:rsidRPr="00792C14">
              <w:rPr>
                <w:color w:val="000000"/>
                <w:szCs w:val="20"/>
              </w:rPr>
              <w:t>2</w:t>
            </w:r>
            <w:r>
              <w:rPr>
                <w:color w:val="000000"/>
                <w:szCs w:val="20"/>
              </w:rPr>
              <w:t>95</w:t>
            </w:r>
          </w:p>
        </w:tc>
      </w:tr>
    </w:tbl>
    <w:p w14:paraId="4E36D068" w14:textId="77777777" w:rsidR="00EA322A" w:rsidRDefault="00EA322A" w:rsidP="00EA322A">
      <w:pPr>
        <w:jc w:val="both"/>
        <w:rPr>
          <w:szCs w:val="20"/>
        </w:rPr>
      </w:pPr>
    </w:p>
    <w:p w14:paraId="27E601B8" w14:textId="77777777" w:rsidR="00EA322A" w:rsidRDefault="00EA322A" w:rsidP="00EA322A">
      <w:pPr>
        <w:jc w:val="both"/>
        <w:rPr>
          <w:szCs w:val="20"/>
        </w:rPr>
      </w:pPr>
    </w:p>
    <w:p w14:paraId="3DDCC4D0" w14:textId="77777777" w:rsidR="00EA322A" w:rsidRPr="006C6E95" w:rsidRDefault="00EA322A" w:rsidP="00EA322A">
      <w:pPr>
        <w:pStyle w:val="Heading1"/>
      </w:pPr>
    </w:p>
    <w:p w14:paraId="48C6FDDF" w14:textId="77777777" w:rsidR="007A3F61" w:rsidRDefault="007A3F61"/>
    <w:sectPr w:rsidR="007A3F61" w:rsidSect="00EA322A">
      <w:footerReference w:type="default" r:id="rId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812F" w14:textId="77777777" w:rsidR="00F53D62" w:rsidRDefault="00F53D62">
      <w:r>
        <w:separator/>
      </w:r>
    </w:p>
  </w:endnote>
  <w:endnote w:type="continuationSeparator" w:id="0">
    <w:p w14:paraId="62F04F75" w14:textId="77777777" w:rsidR="00F53D62" w:rsidRDefault="00F5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38A7" w14:textId="77777777" w:rsidR="00D31406" w:rsidRDefault="00F53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CE3A" w14:textId="77777777" w:rsidR="00F53D62" w:rsidRDefault="00F53D62">
      <w:r>
        <w:separator/>
      </w:r>
    </w:p>
  </w:footnote>
  <w:footnote w:type="continuationSeparator" w:id="0">
    <w:p w14:paraId="21558995" w14:textId="77777777" w:rsidR="00F53D62" w:rsidRDefault="00F53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2A"/>
    <w:rsid w:val="006B212E"/>
    <w:rsid w:val="007A3F61"/>
    <w:rsid w:val="00D16CEA"/>
    <w:rsid w:val="00EA322A"/>
    <w:rsid w:val="00F5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8B35"/>
  <w15:chartTrackingRefBased/>
  <w15:docId w15:val="{A01F5E55-20FD-4503-930B-DEA4F9DC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22A"/>
    <w:pPr>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EA322A"/>
    <w:pPr>
      <w:keepNext/>
      <w:spacing w:before="240" w:after="60"/>
      <w:outlineLvl w:val="0"/>
    </w:pPr>
    <w:rPr>
      <w:rFonts w:cs="Arial"/>
      <w:b/>
      <w:bCs/>
      <w:kern w:val="32"/>
      <w:sz w:val="24"/>
      <w:szCs w:val="32"/>
    </w:rPr>
  </w:style>
  <w:style w:type="paragraph" w:styleId="Heading2">
    <w:name w:val="heading 2"/>
    <w:basedOn w:val="Normal"/>
    <w:next w:val="Normal"/>
    <w:link w:val="Heading2Char"/>
    <w:qFormat/>
    <w:rsid w:val="00EA322A"/>
    <w:pPr>
      <w:keepNext/>
      <w:spacing w:before="240" w:after="60"/>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22A"/>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EA322A"/>
    <w:rPr>
      <w:rFonts w:ascii="Times New Roman" w:eastAsia="Times New Roman" w:hAnsi="Times New Roman" w:cs="Arial"/>
      <w:b/>
      <w:bCs/>
      <w:i/>
      <w:iCs/>
      <w:sz w:val="20"/>
      <w:szCs w:val="28"/>
    </w:rPr>
  </w:style>
  <w:style w:type="paragraph" w:styleId="Footer">
    <w:name w:val="footer"/>
    <w:basedOn w:val="Normal"/>
    <w:link w:val="FooterChar"/>
    <w:uiPriority w:val="99"/>
    <w:rsid w:val="00EA322A"/>
    <w:pPr>
      <w:tabs>
        <w:tab w:val="center" w:pos="4703"/>
        <w:tab w:val="right" w:pos="9406"/>
      </w:tabs>
    </w:pPr>
  </w:style>
  <w:style w:type="character" w:customStyle="1" w:styleId="FooterChar">
    <w:name w:val="Footer Char"/>
    <w:basedOn w:val="DefaultParagraphFont"/>
    <w:link w:val="Footer"/>
    <w:uiPriority w:val="99"/>
    <w:rsid w:val="00EA322A"/>
    <w:rPr>
      <w:rFonts w:ascii="Times New Roman" w:eastAsia="Times New Roman" w:hAnsi="Times New Roman" w:cs="Times New Roman"/>
      <w:sz w:val="20"/>
      <w:szCs w:val="24"/>
    </w:rPr>
  </w:style>
  <w:style w:type="character" w:styleId="LineNumber">
    <w:name w:val="line number"/>
    <w:basedOn w:val="DefaultParagraphFont"/>
    <w:uiPriority w:val="99"/>
    <w:semiHidden/>
    <w:unhideWhenUsed/>
    <w:rsid w:val="00EA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Craig (NIH/NLM/LHC) [C]</dc:creator>
  <cp:keywords/>
  <dc:description/>
  <cp:lastModifiedBy>Mayer, Craig (NIH/NLM/LHC) [C]</cp:lastModifiedBy>
  <cp:revision>3</cp:revision>
  <cp:lastPrinted>2021-09-08T17:18:00Z</cp:lastPrinted>
  <dcterms:created xsi:type="dcterms:W3CDTF">2021-09-08T17:13:00Z</dcterms:created>
  <dcterms:modified xsi:type="dcterms:W3CDTF">2021-09-14T15:41:00Z</dcterms:modified>
</cp:coreProperties>
</file>