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56EF" w14:textId="77777777" w:rsidR="00B969AF" w:rsidRPr="005F7A18" w:rsidRDefault="00B969AF" w:rsidP="00C813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24"/>
          <w:lang w:val="en-US"/>
        </w:rPr>
      </w:pPr>
      <w:r w:rsidRPr="005F7A18">
        <w:rPr>
          <w:rFonts w:asciiTheme="minorHAnsi" w:hAnsiTheme="minorHAnsi" w:cstheme="minorHAnsi"/>
          <w:b/>
          <w:color w:val="000000"/>
          <w:szCs w:val="24"/>
          <w:lang w:val="en-US"/>
        </w:rPr>
        <w:t>Additional file 1</w:t>
      </w:r>
    </w:p>
    <w:p w14:paraId="5E9FCB99" w14:textId="77777777" w:rsidR="00B969AF" w:rsidRPr="005F7A18" w:rsidRDefault="00B969AF" w:rsidP="00C813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24"/>
          <w:lang w:val="en-US"/>
        </w:rPr>
      </w:pPr>
    </w:p>
    <w:p w14:paraId="452E1B5C" w14:textId="77777777" w:rsidR="00A64D1C" w:rsidRDefault="00B969AF" w:rsidP="00B969A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lang w:val="en-GB"/>
        </w:rPr>
      </w:pPr>
      <w:r w:rsidRPr="005F7A18">
        <w:rPr>
          <w:rFonts w:asciiTheme="minorHAnsi" w:hAnsiTheme="minorHAnsi" w:cstheme="minorHAnsi"/>
          <w:lang w:val="en-GB"/>
        </w:rPr>
        <w:br/>
        <w:t>This is supplementary information to the following article:</w:t>
      </w:r>
    </w:p>
    <w:p w14:paraId="2A679A1F" w14:textId="17DAEFCC" w:rsidR="00B969AF" w:rsidRPr="005F7A18" w:rsidRDefault="00B969AF" w:rsidP="00B969A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lang w:val="en-GB"/>
        </w:rPr>
      </w:pPr>
      <w:r w:rsidRPr="005F7A18">
        <w:rPr>
          <w:rFonts w:asciiTheme="minorHAnsi" w:hAnsiTheme="minorHAnsi" w:cstheme="minorHAnsi"/>
          <w:lang w:val="en-GB"/>
        </w:rPr>
        <w:br/>
      </w:r>
      <w:r w:rsidRPr="005F7A18">
        <w:rPr>
          <w:rFonts w:asciiTheme="minorHAnsi" w:hAnsiTheme="minorHAnsi" w:cstheme="minorHAnsi"/>
          <w:szCs w:val="24"/>
          <w:lang w:val="en-US"/>
        </w:rPr>
        <w:t>The prevalence and course of posttraumatic stress disorder symptoms in partners of burn survivors.</w:t>
      </w:r>
      <w:r w:rsidRPr="005F7A18">
        <w:rPr>
          <w:rFonts w:asciiTheme="minorHAnsi" w:hAnsiTheme="minorHAnsi" w:cstheme="minorHAnsi"/>
          <w:lang w:val="en-GB"/>
        </w:rPr>
        <w:br/>
      </w:r>
      <w:r w:rsidRPr="005F7A18">
        <w:rPr>
          <w:rFonts w:asciiTheme="minorHAnsi" w:hAnsiTheme="minorHAnsi" w:cstheme="minorHAnsi"/>
        </w:rPr>
        <w:t>E. Boersma-van Dam, R. van de Schoot, R. Geenen, I. M. Engelhard, &amp; N. E. E. Van Loey.</w:t>
      </w:r>
      <w:r w:rsidRPr="005F7A18">
        <w:rPr>
          <w:rFonts w:asciiTheme="minorHAnsi" w:hAnsiTheme="minorHAnsi" w:cstheme="minorHAnsi"/>
        </w:rPr>
        <w:br/>
      </w:r>
      <w:r w:rsidRPr="005F7A18">
        <w:rPr>
          <w:rFonts w:asciiTheme="minorHAnsi" w:hAnsiTheme="minorHAnsi" w:cstheme="minorHAnsi"/>
          <w:i/>
          <w:lang w:val="en-GB"/>
        </w:rPr>
        <w:t>Critical Care</w:t>
      </w:r>
    </w:p>
    <w:p w14:paraId="31561D46" w14:textId="77777777" w:rsidR="00B732A3" w:rsidRPr="005F7A18" w:rsidRDefault="00B732A3" w:rsidP="00B969A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lang w:val="en-GB"/>
        </w:rPr>
      </w:pPr>
    </w:p>
    <w:p w14:paraId="2253D5C4" w14:textId="318AB532" w:rsidR="00B969AF" w:rsidRPr="005F7A18" w:rsidRDefault="00B969AF" w:rsidP="00B969A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lang w:val="en-GB"/>
        </w:rPr>
      </w:pPr>
      <w:r w:rsidRPr="005F7A18">
        <w:rPr>
          <w:rFonts w:asciiTheme="minorHAnsi" w:hAnsiTheme="minorHAnsi" w:cstheme="minorHAnsi"/>
          <w:i/>
          <w:lang w:val="en-GB"/>
        </w:rPr>
        <w:t>Description</w:t>
      </w:r>
    </w:p>
    <w:p w14:paraId="7E1DD995" w14:textId="21634C02" w:rsidR="00A64D1C" w:rsidRDefault="00B969AF" w:rsidP="00852770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Cs w:val="24"/>
          <w:lang w:val="en-GB"/>
        </w:rPr>
        <w:sectPr w:rsidR="00A64D1C" w:rsidSect="00A64D1C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5F7A18">
        <w:rPr>
          <w:rFonts w:asciiTheme="minorHAnsi" w:hAnsiTheme="minorHAnsi" w:cstheme="minorHAnsi"/>
          <w:lang w:val="en-GB"/>
        </w:rPr>
        <w:t xml:space="preserve">This additional file </w:t>
      </w:r>
      <w:r w:rsidR="00B732A3" w:rsidRPr="005F7A18">
        <w:rPr>
          <w:rFonts w:asciiTheme="minorHAnsi" w:hAnsiTheme="minorHAnsi" w:cstheme="minorHAnsi"/>
          <w:color w:val="000000"/>
          <w:szCs w:val="24"/>
          <w:lang w:val="en-GB"/>
        </w:rPr>
        <w:t xml:space="preserve">shows an overview of the model development process that was followed in </w:t>
      </w:r>
      <w:proofErr w:type="spellStart"/>
      <w:r w:rsidR="00B732A3" w:rsidRPr="005F7A18">
        <w:rPr>
          <w:rFonts w:asciiTheme="minorHAnsi" w:hAnsiTheme="minorHAnsi" w:cstheme="minorHAnsi"/>
          <w:color w:val="000000"/>
          <w:szCs w:val="24"/>
          <w:lang w:val="en-GB"/>
        </w:rPr>
        <w:t>Mplus</w:t>
      </w:r>
      <w:proofErr w:type="spellEnd"/>
      <w:r w:rsidR="00B732A3" w:rsidRPr="005F7A18">
        <w:rPr>
          <w:rFonts w:asciiTheme="minorHAnsi" w:hAnsiTheme="minorHAnsi" w:cstheme="minorHAnsi"/>
          <w:color w:val="000000"/>
          <w:szCs w:val="24"/>
          <w:lang w:val="en-GB"/>
        </w:rPr>
        <w:t xml:space="preserve"> to come to the final piecewise growth model that described and predicted the trajectory of Post-traumatic stress symptoms in partners of burn survivors during 18 months post-burn. </w:t>
      </w:r>
      <w:r w:rsidR="008746A9" w:rsidRPr="005F7A18">
        <w:rPr>
          <w:rFonts w:asciiTheme="minorHAnsi" w:hAnsiTheme="minorHAnsi" w:cstheme="minorHAnsi"/>
          <w:color w:val="000000"/>
          <w:szCs w:val="24"/>
          <w:lang w:val="en-GB"/>
        </w:rPr>
        <w:t>Table A</w:t>
      </w:r>
      <w:r w:rsidR="00B732A3" w:rsidRPr="005F7A18">
        <w:rPr>
          <w:rFonts w:asciiTheme="minorHAnsi" w:hAnsiTheme="minorHAnsi" w:cstheme="minorHAnsi"/>
          <w:color w:val="000000"/>
          <w:szCs w:val="24"/>
          <w:lang w:val="en-GB"/>
        </w:rPr>
        <w:t xml:space="preserve"> lists the growth models that were subsequently tested, and, for each model, it provides information on the </w:t>
      </w:r>
      <w:proofErr w:type="spellStart"/>
      <w:r w:rsidR="00B732A3" w:rsidRPr="005F7A18">
        <w:rPr>
          <w:rFonts w:asciiTheme="minorHAnsi" w:hAnsiTheme="minorHAnsi" w:cstheme="minorHAnsi"/>
          <w:color w:val="000000"/>
          <w:szCs w:val="24"/>
          <w:lang w:val="en-GB"/>
        </w:rPr>
        <w:t>modelfit</w:t>
      </w:r>
      <w:proofErr w:type="spellEnd"/>
      <w:r w:rsidR="00B732A3" w:rsidRPr="005F7A18">
        <w:rPr>
          <w:rFonts w:asciiTheme="minorHAnsi" w:hAnsiTheme="minorHAnsi" w:cstheme="minorHAnsi"/>
          <w:color w:val="000000"/>
          <w:szCs w:val="24"/>
          <w:lang w:val="en-GB"/>
        </w:rPr>
        <w:t xml:space="preserve"> statistics, errors and warnings it produced, and a </w:t>
      </w:r>
      <w:r w:rsidR="005E1743">
        <w:rPr>
          <w:rFonts w:asciiTheme="minorHAnsi" w:hAnsiTheme="minorHAnsi" w:cstheme="minorHAnsi"/>
          <w:color w:val="000000"/>
          <w:szCs w:val="24"/>
          <w:lang w:val="en-GB"/>
        </w:rPr>
        <w:t xml:space="preserve">note on the </w:t>
      </w:r>
      <w:r w:rsidR="00B732A3" w:rsidRPr="005F7A18">
        <w:rPr>
          <w:rFonts w:asciiTheme="minorHAnsi" w:hAnsiTheme="minorHAnsi" w:cstheme="minorHAnsi"/>
          <w:color w:val="000000"/>
          <w:szCs w:val="24"/>
          <w:lang w:val="en-GB"/>
        </w:rPr>
        <w:t xml:space="preserve">conclusion </w:t>
      </w:r>
      <w:r w:rsidR="005E1743">
        <w:rPr>
          <w:rFonts w:asciiTheme="minorHAnsi" w:hAnsiTheme="minorHAnsi" w:cstheme="minorHAnsi"/>
          <w:color w:val="000000"/>
          <w:szCs w:val="24"/>
          <w:lang w:val="en-GB"/>
        </w:rPr>
        <w:t>about</w:t>
      </w:r>
      <w:r w:rsidR="00B732A3" w:rsidRPr="005F7A18">
        <w:rPr>
          <w:rFonts w:asciiTheme="minorHAnsi" w:hAnsiTheme="minorHAnsi" w:cstheme="minorHAnsi"/>
          <w:color w:val="000000"/>
          <w:szCs w:val="24"/>
          <w:lang w:val="en-GB"/>
        </w:rPr>
        <w:t xml:space="preserve"> the model a</w:t>
      </w:r>
      <w:r w:rsidR="00A64D1C">
        <w:rPr>
          <w:rFonts w:asciiTheme="minorHAnsi" w:hAnsiTheme="minorHAnsi" w:cstheme="minorHAnsi"/>
          <w:color w:val="000000"/>
          <w:szCs w:val="24"/>
          <w:lang w:val="en-GB"/>
        </w:rPr>
        <w:t>nd the next step in the process.</w:t>
      </w:r>
      <w:bookmarkStart w:id="0" w:name="_GoBack"/>
      <w:bookmarkEnd w:id="0"/>
    </w:p>
    <w:tbl>
      <w:tblPr>
        <w:tblW w:w="13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686"/>
        <w:gridCol w:w="3920"/>
        <w:gridCol w:w="686"/>
        <w:gridCol w:w="321"/>
        <w:gridCol w:w="658"/>
        <w:gridCol w:w="467"/>
        <w:gridCol w:w="457"/>
        <w:gridCol w:w="2945"/>
        <w:gridCol w:w="3229"/>
      </w:tblGrid>
      <w:tr w:rsidR="00B732A3" w:rsidRPr="002B7B85" w14:paraId="50AA5EDF" w14:textId="77777777" w:rsidTr="00B732A3">
        <w:trPr>
          <w:trHeight w:val="324"/>
        </w:trPr>
        <w:tc>
          <w:tcPr>
            <w:tcW w:w="13719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693887" w14:textId="368ADFEA" w:rsidR="00B732A3" w:rsidRPr="00C81313" w:rsidRDefault="00B732A3" w:rsidP="002B7B85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</w:pPr>
            <w:r w:rsidRPr="008746A9">
              <w:rPr>
                <w:rFonts w:ascii="Calibri" w:eastAsia="Times New Roman" w:hAnsi="Calibri"/>
                <w:bCs/>
                <w:color w:val="000000"/>
                <w:sz w:val="20"/>
                <w:lang w:val="en-US" w:eastAsia="nl-NL"/>
              </w:rPr>
              <w:lastRenderedPageBreak/>
              <w:t>Table A.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  <w:t xml:space="preserve"> </w:t>
            </w:r>
            <w:r w:rsidR="008746A9" w:rsidRPr="008746A9">
              <w:rPr>
                <w:rFonts w:ascii="Calibri" w:eastAsia="Times New Roman" w:hAnsi="Calibri"/>
                <w:bCs/>
                <w:i/>
                <w:color w:val="000000"/>
                <w:sz w:val="20"/>
                <w:lang w:val="en-US" w:eastAsia="nl-NL"/>
              </w:rPr>
              <w:t xml:space="preserve">The model development process for a growth model that describes the </w:t>
            </w:r>
            <w:r w:rsidRPr="008746A9">
              <w:rPr>
                <w:rFonts w:ascii="Calibri" w:eastAsia="Times New Roman" w:hAnsi="Calibri"/>
                <w:bCs/>
                <w:i/>
                <w:color w:val="000000"/>
                <w:sz w:val="20"/>
                <w:lang w:val="en-US" w:eastAsia="nl-NL"/>
              </w:rPr>
              <w:t>trajectory of Post-traumatic stress symptoms in partners of burn survivors during 18 months post-burn</w:t>
            </w:r>
            <w:r w:rsidR="008746A9" w:rsidRPr="008746A9">
              <w:rPr>
                <w:rFonts w:ascii="Calibri" w:eastAsia="Times New Roman" w:hAnsi="Calibri"/>
                <w:bCs/>
                <w:i/>
                <w:color w:val="000000"/>
                <w:sz w:val="20"/>
                <w:lang w:val="en-US" w:eastAsia="nl-NL"/>
              </w:rPr>
              <w:t xml:space="preserve"> (N=111)</w:t>
            </w:r>
          </w:p>
        </w:tc>
      </w:tr>
      <w:tr w:rsidR="00C81313" w:rsidRPr="00C81313" w14:paraId="6FB04772" w14:textId="77777777" w:rsidTr="00852770">
        <w:trPr>
          <w:trHeight w:val="324"/>
        </w:trPr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65D2DF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</w:pPr>
            <w:proofErr w:type="spellStart"/>
            <w:r w:rsidRPr="00C81313"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  <w:t>Nr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1C579D17" w14:textId="77777777" w:rsidR="00C81313" w:rsidRPr="00C81313" w:rsidRDefault="00C81313" w:rsidP="00AA59B5">
            <w:pPr>
              <w:spacing w:after="12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  <w:t>Type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68323A4B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</w:pPr>
            <w:proofErr w:type="spellStart"/>
            <w:r w:rsidRPr="00C81313"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  <w:t>Mplus</w:t>
            </w:r>
            <w:proofErr w:type="spellEnd"/>
            <w:r w:rsidRPr="00C81313"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  <w:t xml:space="preserve"> model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69F33F43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  <w:t>X</w:t>
            </w:r>
            <w:r w:rsidRPr="00C81313">
              <w:rPr>
                <w:rFonts w:ascii="Calibri" w:eastAsia="Times New Roman" w:hAnsi="Calibri"/>
                <w:b/>
                <w:bCs/>
                <w:color w:val="000000"/>
                <w:sz w:val="20"/>
                <w:vertAlign w:val="superscript"/>
                <w:lang w:val="en-US" w:eastAsia="nl-NL"/>
              </w:rPr>
              <w:t>2</w:t>
            </w:r>
            <w:r w:rsidRPr="00C81313"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  <w:t xml:space="preserve"> (p)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33CEDC62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</w:pPr>
            <w:proofErr w:type="spellStart"/>
            <w:r w:rsidRPr="00C81313"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  <w:t>Df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21E97CC9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</w:pPr>
            <w:r w:rsidRPr="003C0E86">
              <w:rPr>
                <w:rFonts w:ascii="Calibri" w:eastAsia="Times New Roman" w:hAnsi="Calibri"/>
                <w:b/>
                <w:bCs/>
                <w:color w:val="000000"/>
                <w:sz w:val="18"/>
                <w:lang w:val="en-US" w:eastAsia="nl-NL"/>
              </w:rPr>
              <w:t>RMSEA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564F50D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  <w:t>CFI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5D19B8E1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  <w:t>TLI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3ED682AE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  <w:t>E</w:t>
            </w:r>
            <w:r w:rsidRPr="00C81313"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  <w:t xml:space="preserve">rrors /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  <w:t>W</w:t>
            </w:r>
            <w:r w:rsidRPr="00C81313"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  <w:t>arnings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660191D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b/>
                <w:bCs/>
                <w:color w:val="000000"/>
                <w:sz w:val="20"/>
                <w:lang w:val="en-US" w:eastAsia="nl-NL"/>
              </w:rPr>
              <w:t>Notes</w:t>
            </w:r>
          </w:p>
        </w:tc>
      </w:tr>
      <w:tr w:rsidR="00C81313" w:rsidRPr="002B7B85" w14:paraId="1644A205" w14:textId="77777777" w:rsidTr="00852770">
        <w:trPr>
          <w:trHeight w:val="288"/>
        </w:trPr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1DF6B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3AD4E137" w14:textId="0876F211" w:rsidR="00C81313" w:rsidRPr="00C81313" w:rsidRDefault="003C0E86" w:rsidP="00AA59B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g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rowth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3D0D08D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is | m1@0 m2@.3 m3@.6 m4@1.2 m5@1.8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CDD7555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92.57 (&lt;.001)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66EB1BFD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649D9824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.273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CE2981D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.648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6BF24DC0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.648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99DA7F3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040F004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Bad </w:t>
            </w: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--&gt; add quadratic term</w:t>
            </w:r>
          </w:p>
        </w:tc>
      </w:tr>
      <w:tr w:rsidR="00C81313" w:rsidRPr="002B7B85" w14:paraId="11CF54B9" w14:textId="77777777" w:rsidTr="00852770">
        <w:trPr>
          <w:trHeight w:val="61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08681D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778F199E" w14:textId="374B7B03" w:rsidR="00C81313" w:rsidRPr="00C81313" w:rsidRDefault="003C0E86" w:rsidP="00AA59B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g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rowth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47D6B09E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isq</w:t>
            </w:r>
            <w:proofErr w:type="spellEnd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| m1@0 m2@.3 m3@.6 m4@1.2 m5@1.8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2427EBC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47.68 (&lt;.001)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C04A3E7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791091D5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.250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BB78C12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.822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B855367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.704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64DD471F" w14:textId="26C7758B" w:rsidR="00C81313" w:rsidRPr="00C81313" w:rsidRDefault="00794B46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Warning: The residual covariance matrix (theta) is not positive definite 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(Negative residual m5)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7FE4CA7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Warning and bad </w:t>
            </w: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--&gt; add cubic term</w:t>
            </w:r>
          </w:p>
        </w:tc>
      </w:tr>
      <w:tr w:rsidR="00C81313" w:rsidRPr="002B7B85" w14:paraId="43093CE0" w14:textId="77777777" w:rsidTr="00852770">
        <w:trPr>
          <w:trHeight w:val="123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F1FD92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3399A501" w14:textId="51B02783" w:rsidR="00C81313" w:rsidRPr="00C81313" w:rsidRDefault="003C0E86" w:rsidP="00AA59B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g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rowth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285BDE79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isqc</w:t>
            </w:r>
            <w:proofErr w:type="spellEnd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| m1@0 m2@.3 m3@.6 m4@1.2 m5@1.8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677289E4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5.29 (.02)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3020EA0A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79BF3EEC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.197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38DDD3E7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.982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31171B9C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.817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5E8B0F94" w14:textId="00A983E3" w:rsidR="00C81313" w:rsidRPr="00C81313" w:rsidRDefault="00794B46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Warnings: 1) The residual covariance matrix (theta) is not positive definite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(Negative residual m5).</w:t>
            </w: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2</w:t>
            </w: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)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The latent variable covariance matrix (psi) is not positive definite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(involving Q).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7E18DCA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Warnings and bad </w:t>
            </w: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--&gt; try equal time intervals between all measurements</w:t>
            </w:r>
          </w:p>
        </w:tc>
      </w:tr>
      <w:tr w:rsidR="00C81313" w:rsidRPr="002B7B85" w14:paraId="51971A66" w14:textId="77777777" w:rsidTr="00852770">
        <w:trPr>
          <w:trHeight w:val="115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12395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136EEC8A" w14:textId="1128DCEE" w:rsidR="00C81313" w:rsidRPr="00C81313" w:rsidRDefault="003C0E86" w:rsidP="00AA59B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g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rowth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217522B5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isqc</w:t>
            </w:r>
            <w:proofErr w:type="spellEnd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| m1@0 m2@.3 m3@.6 m4@.9 m5@1.2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25C1328D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1.24 </w:t>
            </w:r>
          </w:p>
          <w:p w14:paraId="7FBD18EB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(.27)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471FD70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74147425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.046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FB8B410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.999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7BE0B721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.990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76DE6DB6" w14:textId="7395E21A" w:rsidR="00C81313" w:rsidRPr="00C81313" w:rsidRDefault="00794B46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Warnings:  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</w:t>
            </w: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) Warning: The residual covariance matrix (theta) is not positive definite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(Negative residual m5). 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2</w:t>
            </w: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)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The latent variable covariance matrix (psi) is not positive definite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(involving C).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E23E1B7" w14:textId="78783B3B" w:rsidR="00C81313" w:rsidRPr="00C81313" w:rsidRDefault="00761195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G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ood </w:t>
            </w:r>
            <w:proofErr w:type="spellStart"/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, but warnings --&gt; try simpler model without cubic term</w:t>
            </w:r>
          </w:p>
        </w:tc>
      </w:tr>
      <w:tr w:rsidR="00C81313" w:rsidRPr="002B7B85" w14:paraId="5091D904" w14:textId="77777777" w:rsidTr="00852770">
        <w:trPr>
          <w:trHeight w:val="57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DC8AA1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23BF1895" w14:textId="716D49B8" w:rsidR="00C81313" w:rsidRPr="00C81313" w:rsidRDefault="003C0E86" w:rsidP="00AA59B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g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rowth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751EDAA7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isq</w:t>
            </w:r>
            <w:proofErr w:type="spellEnd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| m1@0 m2@.3 m3@.6 m4@.9 m5@1.2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3BB7204B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24.25 (&lt;.001)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7B5EBF2D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7CD90AB2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.166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2D7C377D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.922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16994BF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.870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1A7C312A" w14:textId="0DE6C9AF" w:rsidR="00C81313" w:rsidRPr="00C81313" w:rsidRDefault="00794B46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Warning: The residual covariance matrix (theta) is not positive definite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(Negative residual m5)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2976E091" w14:textId="0C779882" w:rsidR="00C81313" w:rsidRPr="00C81313" w:rsidRDefault="00761195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B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ad </w:t>
            </w:r>
            <w:proofErr w:type="spellStart"/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--&gt; for completeness try model without quadratic term</w:t>
            </w:r>
          </w:p>
        </w:tc>
      </w:tr>
      <w:tr w:rsidR="00C81313" w:rsidRPr="002B7B85" w14:paraId="549562FE" w14:textId="77777777" w:rsidTr="00794B46">
        <w:trPr>
          <w:trHeight w:val="4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3F4D17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457D2EA4" w14:textId="30BC33DA" w:rsidR="00C81313" w:rsidRPr="00C81313" w:rsidRDefault="003C0E86" w:rsidP="00AA59B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g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rowth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6E7327C3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is | m1@0 m2@.3 m3@.6 m4@.9 m5@1.2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52C94A0B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75.33 (&lt;.001)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F2A588C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6693B073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.243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AE51174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.721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50DB7BA3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.721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F22F6A8" w14:textId="77777777" w:rsidR="00C81313" w:rsidRPr="00C81313" w:rsidRDefault="00C81313" w:rsidP="00AA59B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4B5D47B9" w14:textId="76C40359" w:rsidR="00C81313" w:rsidRPr="00C81313" w:rsidRDefault="00C81313" w:rsidP="002B7B85">
            <w:pPr>
              <w:spacing w:after="12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Bad </w:t>
            </w: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. </w:t>
            </w:r>
            <w:r w:rsidR="002B7B85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A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sharp decline in</w:t>
            </w:r>
            <w:r w:rsidR="002B7B85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mean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PTSD symptoms between m1 and m2 and a small decrease after m2</w:t>
            </w:r>
            <w:r w:rsidR="002B7B85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is observed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 Two</w:t>
            </w:r>
            <w:r w:rsidR="00794B46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options were considered: 1) 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a gro</w:t>
            </w:r>
            <w:r w:rsidR="00794B46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wth model without m1; and 2)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a piecewise growth model. </w:t>
            </w:r>
            <w:r w:rsidR="008746A9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We choose o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ption 2, because </w:t>
            </w:r>
            <w:r w:rsidR="008746A9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we preferred to analyze the data of all measurement moments in 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one analysis. </w:t>
            </w:r>
          </w:p>
        </w:tc>
      </w:tr>
    </w:tbl>
    <w:p w14:paraId="35B29566" w14:textId="77777777" w:rsidR="00852770" w:rsidRPr="002B7B85" w:rsidRDefault="00852770" w:rsidP="00AA59B5">
      <w:pPr>
        <w:spacing w:after="60"/>
        <w:rPr>
          <w:lang w:val="en-US"/>
        </w:rPr>
      </w:pPr>
    </w:p>
    <w:tbl>
      <w:tblPr>
        <w:tblW w:w="13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686"/>
        <w:gridCol w:w="3920"/>
        <w:gridCol w:w="686"/>
        <w:gridCol w:w="321"/>
        <w:gridCol w:w="658"/>
        <w:gridCol w:w="467"/>
        <w:gridCol w:w="457"/>
        <w:gridCol w:w="2856"/>
        <w:gridCol w:w="3318"/>
      </w:tblGrid>
      <w:tr w:rsidR="00794B46" w:rsidRPr="003C0E86" w14:paraId="333BD92D" w14:textId="77777777" w:rsidTr="00677400">
        <w:trPr>
          <w:trHeight w:val="576"/>
          <w:tblHeader/>
        </w:trPr>
        <w:tc>
          <w:tcPr>
            <w:tcW w:w="137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2DE877" w14:textId="504F50D1" w:rsidR="00794B46" w:rsidRPr="00C81313" w:rsidRDefault="00AA59B5" w:rsidP="002B7B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Table A (continued).</w:t>
            </w:r>
          </w:p>
        </w:tc>
      </w:tr>
      <w:tr w:rsidR="00C81313" w:rsidRPr="002B7B85" w14:paraId="3177B525" w14:textId="77777777" w:rsidTr="00677400">
        <w:trPr>
          <w:trHeight w:val="576"/>
        </w:trPr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037B80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5AA58D14" w14:textId="7E0B6F16" w:rsidR="00C81313" w:rsidRPr="00C81313" w:rsidRDefault="003C0E86" w:rsidP="00AA59B5">
            <w:pPr>
              <w:spacing w:after="6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p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iece-wise growth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1C221F39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i s1 |  m1@0 m2@.3 m3@.3 m4@.3 m5@.3; 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i s2 |  m1@0 m2@0 m3@.3 m4@.9 m5@1.5;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641487D9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20.89 </w:t>
            </w:r>
          </w:p>
          <w:p w14:paraId="02AC8E3D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(.002)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30D97E0C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22C55B92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.150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856A5EB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7F27CC7C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.894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34DCA004" w14:textId="5ADE9539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N</w:t>
            </w:r>
            <w:r w:rsidR="00794B46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o convergence. Number of iterations exceeded. </w:t>
            </w:r>
            <w:r w:rsidR="00794B46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EF393BF" w14:textId="47F29CE1" w:rsidR="00C81313" w:rsidRPr="00C81313" w:rsidRDefault="002B7B85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Fixed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: Iterations increased to </w:t>
            </w: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3000</w:t>
            </w:r>
            <w:r w:rsidR="00794B46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Bad </w:t>
            </w:r>
            <w:proofErr w:type="spellStart"/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--&gt; try equal time intervals</w:t>
            </w:r>
          </w:p>
        </w:tc>
      </w:tr>
      <w:tr w:rsidR="00C81313" w:rsidRPr="002B7B85" w14:paraId="447FC736" w14:textId="77777777" w:rsidTr="002B7B85">
        <w:trPr>
          <w:trHeight w:val="86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6D0D1A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7x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6A9C9548" w14:textId="12CDC328" w:rsidR="00C81313" w:rsidRPr="00C81313" w:rsidRDefault="003C0E86" w:rsidP="00AA59B5">
            <w:pPr>
              <w:spacing w:after="6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p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iece-wise growth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1417C825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i s1 |  m1@0 m2@.3 m3@.3 m4@.3 m5@.3; 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i s2 |  m1@0 m2@0 m3@.3 m4@.6 m5@.9;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6F65F6E0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15.01 (.02)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35BCDB7F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293D752C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.116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35C4F140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.962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5F67FD0A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.936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33634BD7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03613D78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better, but still not good with regard to all indicators. --&gt; Try adding the predictors and explore both with actual time intervals and with equal time intervals</w:t>
            </w:r>
          </w:p>
        </w:tc>
      </w:tr>
      <w:tr w:rsidR="00C81313" w:rsidRPr="002B7B85" w14:paraId="2F448B91" w14:textId="77777777" w:rsidTr="002B7B85">
        <w:trPr>
          <w:trHeight w:val="115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0A394E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24456B9C" w14:textId="5F841203" w:rsidR="00C81313" w:rsidRPr="00C81313" w:rsidRDefault="003C0E86" w:rsidP="00AA59B5">
            <w:pPr>
              <w:spacing w:after="6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p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iece-wise growth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163E0655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i s1 |  m1@0 m2@.3 m3@.3 m4@.3 m5@.3; 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i s2 |  m1@0 m2@0 m3@.3 m4@.9 m5@1.5;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all predictors: age, gender, surgeries, life threat, anger, guilt, rumination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6485A95E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45.83 (&lt;.001)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76BF67B7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27FADF41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.108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5E53792F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35CDF3C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.834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5CECCE7F" w14:textId="0B32091E" w:rsidR="00C81313" w:rsidRPr="00C81313" w:rsidRDefault="00794B46" w:rsidP="002B7B8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N</w:t>
            </w: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o convergence. Number of iterations exceeded.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</w: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Warning: The residual covariance matrix (theta) is not positive definite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</w:t>
            </w:r>
            <w:r w:rsidR="002B7B85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(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negative residual m1).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45D11989" w14:textId="77777777" w:rsidR="00794B46" w:rsidRDefault="00794B46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Fixed: Iterations increased to 40000</w:t>
            </w:r>
          </w:p>
          <w:p w14:paraId="42493079" w14:textId="77777777" w:rsidR="00794B46" w:rsidRDefault="00794B46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</w:p>
          <w:p w14:paraId="73223372" w14:textId="77777777" w:rsidR="00794B46" w:rsidRDefault="00794B46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</w:p>
          <w:p w14:paraId="03BAC5D7" w14:textId="0CD56F79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Warning and bad </w:t>
            </w: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</w:p>
        </w:tc>
      </w:tr>
      <w:tr w:rsidR="00C81313" w:rsidRPr="002B7B85" w14:paraId="4F6C2DF2" w14:textId="77777777" w:rsidTr="002B7B85">
        <w:trPr>
          <w:trHeight w:val="115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AB17EF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8x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05C21900" w14:textId="5706F199" w:rsidR="00C81313" w:rsidRPr="00C81313" w:rsidRDefault="003C0E86" w:rsidP="00AA59B5">
            <w:pPr>
              <w:spacing w:after="6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p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iece-wise growth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0245BB25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i s1 |  m1@0 m2@.3 m3@.3 m4@.3 m5@.3; 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i s2 |  m1@0 m2@0 m3@.3 m4@.6 m5@.9;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all predictors: age, gender, surgeries, life threat, anger, guilt, rumination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8291903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40.19 </w:t>
            </w:r>
          </w:p>
          <w:p w14:paraId="6BB16620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(.005)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FA7C8E6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32D2C8FE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.095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5B757CE8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.942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545B8CE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.870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1ECF9F97" w14:textId="0B83BAF7" w:rsidR="00C81313" w:rsidRPr="00C81313" w:rsidRDefault="00794B46" w:rsidP="002B7B8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Warning: The residual covariance matrix (theta) is not positive definite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</w:t>
            </w:r>
            <w:r w:rsidR="002B7B85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(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negative residual m1)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1E2A14C9" w14:textId="4A8360BA" w:rsidR="00C81313" w:rsidRPr="00C81313" w:rsidRDefault="00C81313" w:rsidP="00496D26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Warning and bad </w:t>
            </w: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--&gt; try a model with less predictors (</w:t>
            </w:r>
            <w:r w:rsidR="002B7B85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first only age, gender, surgeries)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to explore which </w:t>
            </w:r>
            <w:r w:rsidR="00496D26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predictor(s) cause the warnings.</w:t>
            </w:r>
          </w:p>
        </w:tc>
      </w:tr>
      <w:tr w:rsidR="00C81313" w:rsidRPr="00C81313" w14:paraId="07923D04" w14:textId="77777777" w:rsidTr="002B7B85">
        <w:trPr>
          <w:trHeight w:val="87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2B8F55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1626715E" w14:textId="09710BA3" w:rsidR="00C81313" w:rsidRPr="00C81313" w:rsidRDefault="003C0E86" w:rsidP="00AA59B5">
            <w:pPr>
              <w:spacing w:after="6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p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iece-wise growth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5BD7F38C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i s1 |  m1@0 m2@.3 m3@.3 m4@.3 m5@.3; 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i s2 |  m1@0 m2@0 m3@.6 m4@.9 m5@1.5;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predictors: age, gender, surgeries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6A717E2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38.41 (&lt;.001)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534BDA4B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20025AFF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.141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569A3C2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.894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0BC0905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.780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18B2B97E" w14:textId="2B381B4B" w:rsidR="00C81313" w:rsidRPr="00C81313" w:rsidRDefault="00794B46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Warning: The residual covariance matrix (theta) is not positive definite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</w:t>
            </w:r>
            <w:r w:rsidR="002B7B85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(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negative residual m1)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1B82E4DA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Warning and bad </w:t>
            </w: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</w:p>
        </w:tc>
      </w:tr>
      <w:tr w:rsidR="00C81313" w:rsidRPr="00C81313" w14:paraId="161B8A71" w14:textId="77777777" w:rsidTr="002B7B85">
        <w:trPr>
          <w:trHeight w:val="86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B7050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9x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535066D5" w14:textId="0BD1F72B" w:rsidR="00C81313" w:rsidRPr="00C81313" w:rsidRDefault="003C0E86" w:rsidP="00AA59B5">
            <w:pPr>
              <w:spacing w:after="6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p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iece-wise growth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4E85D4F1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i s1 |  m1@0 m2@.3 m3@.3 m4@.3 m5@.3; 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i s2 |  m1@0 m2@0 m3@.3 m4@.6 m5@.9;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predictors: age, gender, surgeries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7F46FA0A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32.15 (.001)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60F33F53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6ED1505B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.123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6F04A0E7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.919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F9DA2D9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.832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7D7D2C14" w14:textId="3664652A" w:rsidR="00C81313" w:rsidRPr="00C81313" w:rsidRDefault="00794B46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Warning: The residual covariance matrix (theta) is not positive definite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</w:t>
            </w:r>
            <w:r w:rsidR="002B7B85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(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negative residual m1).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461105E2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Warning and bad </w:t>
            </w: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</w:p>
        </w:tc>
      </w:tr>
      <w:tr w:rsidR="00C81313" w:rsidRPr="002B7B85" w14:paraId="58D02524" w14:textId="77777777" w:rsidTr="00677400">
        <w:trPr>
          <w:trHeight w:val="1152"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9AD4A3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03DC44EA" w14:textId="5F0ED5DA" w:rsidR="00C81313" w:rsidRPr="00C81313" w:rsidRDefault="003C0E86" w:rsidP="00AA59B5">
            <w:pPr>
              <w:spacing w:after="6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p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iece-wise growth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344C745D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i s1 |  m1@0 m2@.3 m3@.3 m4@.3 m5@.3; 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i s2 |  m1@0 m2@0 m3@.6 m4@.9 m5@1.5;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predictors: age, gender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7418E5D4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37.39 (&lt;.001)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7A35F23E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29B3B06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.157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8340A75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.890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F81E39B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.779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55056528" w14:textId="23434B67" w:rsidR="00C81313" w:rsidRPr="00C81313" w:rsidRDefault="00794B46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N</w:t>
            </w: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o convergence. Number of iterations exceeded.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</w: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Warning: The residual covariance matrix (theta) is not positive definite</w:t>
            </w:r>
            <w:r w:rsidR="002B7B85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(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negative residual m1).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7533E76D" w14:textId="77777777" w:rsidR="00794B46" w:rsidRDefault="00794B46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Fixed: Iterations increased to 40000 </w:t>
            </w:r>
          </w:p>
          <w:p w14:paraId="7DC5C0C6" w14:textId="77777777" w:rsidR="00794B46" w:rsidRDefault="00794B46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</w:p>
          <w:p w14:paraId="4CE4D445" w14:textId="77777777" w:rsidR="00794B46" w:rsidRDefault="00794B46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</w:p>
          <w:p w14:paraId="4B06A40B" w14:textId="268163F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Warning and bad </w:t>
            </w: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</w:p>
        </w:tc>
      </w:tr>
      <w:tr w:rsidR="00C81313" w:rsidRPr="00C81313" w14:paraId="16ACD3E2" w14:textId="77777777" w:rsidTr="00677400">
        <w:trPr>
          <w:trHeight w:val="864"/>
        </w:trPr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2DCC8A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lastRenderedPageBreak/>
              <w:t>10x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2C0CAAA4" w14:textId="40F04E44" w:rsidR="00C81313" w:rsidRPr="00C81313" w:rsidRDefault="003C0E86" w:rsidP="00AA59B5">
            <w:pPr>
              <w:spacing w:after="6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p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iece-wise growth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7CFB2D9E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i s1 |  m1@0 m2@.3 m3@.3 m4@.3 m5@.3; 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i s2 |  m1@0 m2@0 m3@.3 m4@.6 m5@.9;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predictors: age, gender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B11F0A5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31.49 (&lt;.001)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A49D9AA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E2FFB90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.139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21D2B4FB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.913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2B75C9B7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.827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60C844B9" w14:textId="65C4EFA9" w:rsidR="00C81313" w:rsidRPr="00C81313" w:rsidRDefault="00794B46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Warning: The residual covariance matrix (theta) is not positive definite</w:t>
            </w:r>
            <w:r w:rsidR="002B7B85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(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negative residual m1).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7E0165D7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Warning and bad </w:t>
            </w: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</w:p>
        </w:tc>
      </w:tr>
      <w:tr w:rsidR="00C81313" w:rsidRPr="00C81313" w14:paraId="69F56034" w14:textId="77777777" w:rsidTr="002B7B85">
        <w:trPr>
          <w:trHeight w:val="86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49326E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3620A20B" w14:textId="739924B0" w:rsidR="00C81313" w:rsidRPr="00C81313" w:rsidRDefault="003C0E86" w:rsidP="00AA59B5">
            <w:pPr>
              <w:spacing w:after="6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p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iece-wise growth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1CF5520C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i s1 |  m1@0 m2@.3 m3@.3 m4@.3 m5@.3; 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i s2 |  m1@0 m2@0 m3@.6 m4@.9 m5@1.5;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predictors: age, surgeries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A5945DE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32.58 (&lt;.001)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DDA0F45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518897B1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.143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030420A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566219DA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.817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0C869E16" w14:textId="20377B85" w:rsidR="00C81313" w:rsidRPr="00C81313" w:rsidRDefault="00794B46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Warning: The residual covariance matrix (theta) is not positive definite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</w:t>
            </w:r>
            <w:r w:rsidR="002B7B85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(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negative residual m1).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236B6459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Warning and bad </w:t>
            </w: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</w:p>
        </w:tc>
      </w:tr>
      <w:tr w:rsidR="00C81313" w:rsidRPr="00C81313" w14:paraId="7FAAF96B" w14:textId="77777777" w:rsidTr="002B7B85">
        <w:trPr>
          <w:trHeight w:val="86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789BBD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11x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7EFB43E6" w14:textId="7BA5C689" w:rsidR="00C81313" w:rsidRPr="00C81313" w:rsidRDefault="003C0E86" w:rsidP="00AA59B5">
            <w:pPr>
              <w:spacing w:after="6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p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iece-wise growth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0868CF23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i s1 |  m1@0 m2@.3 m3@.3 m4@.3 m5@.3; 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i s2 |  m1@0 m2@0 m3@.3 m4@.6 m5@.9;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predictors: age, surgeries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37DF1981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25.46 (.005)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4E22EA7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74246666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.118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33795DED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.937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52152523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.874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103E99F7" w14:textId="351E15BD" w:rsidR="00C81313" w:rsidRPr="00C81313" w:rsidRDefault="00794B46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Warning: The residual covariance matrix (theta) is not positive definite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</w:t>
            </w:r>
            <w:r w:rsidR="002B7B85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(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negative residual m1).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4CA561EF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Warning and bad </w:t>
            </w:r>
            <w:proofErr w:type="spellStart"/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</w:p>
        </w:tc>
      </w:tr>
      <w:tr w:rsidR="00C81313" w:rsidRPr="002B7B85" w14:paraId="707B7938" w14:textId="77777777" w:rsidTr="002B7B85">
        <w:trPr>
          <w:trHeight w:val="86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2F77C7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0112FB84" w14:textId="1FC125A9" w:rsidR="00C81313" w:rsidRPr="00C81313" w:rsidRDefault="003C0E86" w:rsidP="00AA59B5">
            <w:pPr>
              <w:spacing w:after="6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p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iece-wise growth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5047B1D9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i s1 |  m1@0 m2@.3 m3@.3 m4@.3 m5@.3; 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i s2 |  m1@0 m2@0 m3@.6 m4@.9 m5@1.5;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predictors: gender, surgeries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697EA2D4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25.85 (.004)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3A3991E2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D9E5009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.119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D71474E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.934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DC9539B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.867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7F9913BB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2E96F681" w14:textId="766D11CE" w:rsidR="00C81313" w:rsidRPr="00C81313" w:rsidRDefault="00761195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N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o warnings --&gt; age seems to cause the warnings</w:t>
            </w:r>
          </w:p>
        </w:tc>
      </w:tr>
      <w:tr w:rsidR="00C81313" w:rsidRPr="002B7B85" w14:paraId="65D46236" w14:textId="77777777" w:rsidTr="002B7B85">
        <w:trPr>
          <w:trHeight w:val="86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E648B0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12x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5C7F5EC7" w14:textId="42B36B53" w:rsidR="00C81313" w:rsidRPr="00C81313" w:rsidRDefault="003C0E86" w:rsidP="00AA59B5">
            <w:pPr>
              <w:spacing w:after="6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p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iece-wise growth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1D63E624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i s1 |  m1@0 m2@.3 m3@.3 m4@.3 m5@.3; 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i s2 |  m1@0 m2@0 m3@.3 m4@.6 m5@.9;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predictors: gender, surgeries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C80B17F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20.58 </w:t>
            </w:r>
          </w:p>
          <w:p w14:paraId="10261461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(.02)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FE88C68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375F29FA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.098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58DA3E80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.956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79C96CE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.911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5D5242A9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37D447D4" w14:textId="090BA161" w:rsidR="00C81313" w:rsidRPr="00C81313" w:rsidRDefault="00761195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N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ext step: add the other predictors to see if no further warnings occur</w:t>
            </w:r>
          </w:p>
        </w:tc>
      </w:tr>
      <w:tr w:rsidR="00C81313" w:rsidRPr="002B7B85" w14:paraId="415951FA" w14:textId="77777777" w:rsidTr="002B7B85">
        <w:trPr>
          <w:trHeight w:val="1117"/>
        </w:trPr>
        <w:tc>
          <w:tcPr>
            <w:tcW w:w="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C8956D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6D1927F9" w14:textId="5EE84081" w:rsidR="00C81313" w:rsidRPr="00C81313" w:rsidRDefault="003C0E86" w:rsidP="00AA59B5">
            <w:pPr>
              <w:spacing w:after="6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t>p</w:t>
            </w:r>
            <w:r w:rsidR="00C81313" w:rsidRPr="00C81313"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t xml:space="preserve">iece-wise </w:t>
            </w:r>
            <w:r w:rsidR="00C81313" w:rsidRPr="003C0E86">
              <w:rPr>
                <w:rFonts w:ascii="Calibri" w:eastAsia="Times New Roman" w:hAnsi="Calibri"/>
                <w:b/>
                <w:color w:val="000000"/>
                <w:sz w:val="18"/>
                <w:lang w:val="en-US" w:eastAsia="nl-NL"/>
              </w:rPr>
              <w:t>growth</w:t>
            </w:r>
          </w:p>
        </w:tc>
        <w:tc>
          <w:tcPr>
            <w:tcW w:w="39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791F7031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t xml:space="preserve">i s1 |  m1@0 m2@.3 m3@.3 m4@.3 m5@.3; </w:t>
            </w:r>
            <w:r w:rsidRPr="00C81313"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br/>
              <w:t>i s2 |  m1@0 m2@0 m3@.6 m4@.9 m5@1.5;</w:t>
            </w:r>
            <w:r w:rsidRPr="00C81313"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br/>
              <w:t>final predictors: gender, surgeries, life threat, anger, guilt, rumination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6200801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t>32.09</w:t>
            </w:r>
          </w:p>
          <w:p w14:paraId="55DFE01C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t>(.02)</w:t>
            </w: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8A57289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E279583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t>.084</w:t>
            </w: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5F9F8EB7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t>.958</w:t>
            </w: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732F14E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t>.907</w:t>
            </w:r>
          </w:p>
        </w:tc>
        <w:tc>
          <w:tcPr>
            <w:tcW w:w="2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485FE340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219DE4A5" w14:textId="2C2C8450" w:rsidR="00C81313" w:rsidRPr="00C81313" w:rsidRDefault="00761195" w:rsidP="00AA59B5">
            <w:pPr>
              <w:spacing w:after="60" w:line="240" w:lineRule="auto"/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t>M</w:t>
            </w:r>
            <w:r w:rsidR="00C81313" w:rsidRPr="00C81313"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t>odelfit</w:t>
            </w:r>
            <w:proofErr w:type="spellEnd"/>
            <w:r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t xml:space="preserve"> acceptable, no warnings.</w:t>
            </w:r>
            <w:r w:rsidR="00C81313" w:rsidRPr="00C81313">
              <w:rPr>
                <w:rFonts w:ascii="Calibri" w:eastAsia="Times New Roman" w:hAnsi="Calibri"/>
                <w:b/>
                <w:color w:val="000000"/>
                <w:sz w:val="20"/>
                <w:lang w:val="en-US" w:eastAsia="nl-NL"/>
              </w:rPr>
              <w:br/>
              <w:t>This is the final model and results are reported in the article</w:t>
            </w:r>
          </w:p>
        </w:tc>
      </w:tr>
      <w:tr w:rsidR="008746A9" w:rsidRPr="002B7B85" w14:paraId="00BAC85C" w14:textId="77777777" w:rsidTr="002B7B85">
        <w:trPr>
          <w:trHeight w:val="1152"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AABAF7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13x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22D352B9" w14:textId="7921373B" w:rsidR="00C81313" w:rsidRPr="00C81313" w:rsidRDefault="003C0E86" w:rsidP="00AA59B5">
            <w:pPr>
              <w:spacing w:after="6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p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iece-wise growth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  <w:hideMark/>
          </w:tcPr>
          <w:p w14:paraId="20195781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i s1 |  m1@0 m2@.3 m3@.3 m4@.3 m5@.3; 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i s2 |  m1@0 m2@0 m3@.3 m4@.6 m5@.9;</w:t>
            </w: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>final predictors: gender, surgeries, life threat, anger, guilt, rumination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073EB09B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27.59</w:t>
            </w:r>
          </w:p>
          <w:p w14:paraId="0B09DB64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(.07)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4323DD5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667AD830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.069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11C4920A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.971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  <w:right w:w="28" w:type="dxa"/>
            </w:tcMar>
            <w:vAlign w:val="center"/>
            <w:hideMark/>
          </w:tcPr>
          <w:p w14:paraId="3D2352FD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r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.937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0F338715" w14:textId="77777777" w:rsidR="00C81313" w:rsidRPr="00C81313" w:rsidRDefault="00C81313" w:rsidP="00AA59B5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8" w:type="dxa"/>
              <w:right w:w="28" w:type="dxa"/>
            </w:tcMar>
            <w:vAlign w:val="center"/>
            <w:hideMark/>
          </w:tcPr>
          <w:p w14:paraId="46D1FBEF" w14:textId="1FEB17E2" w:rsidR="00C81313" w:rsidRPr="00C81313" w:rsidRDefault="00761195" w:rsidP="00496D26">
            <w:pPr>
              <w:spacing w:after="60" w:line="240" w:lineRule="auto"/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acceptable, no warnings</w:t>
            </w: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.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br/>
              <w:t xml:space="preserve">Although the </w:t>
            </w:r>
            <w:proofErr w:type="spellStart"/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modelfit</w:t>
            </w:r>
            <w:proofErr w:type="spellEnd"/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is slightly better than </w:t>
            </w: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for model 13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, the difference is not large enough to select this model</w:t>
            </w:r>
            <w:r w:rsidR="005F7A18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 as the final model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. Also, </w:t>
            </w:r>
            <w:r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 xml:space="preserve">model 13 is preferred, as it describes </w:t>
            </w:r>
            <w:r w:rsidR="00C81313" w:rsidRPr="00C81313">
              <w:rPr>
                <w:rFonts w:ascii="Calibri" w:eastAsia="Times New Roman" w:hAnsi="Calibri"/>
                <w:color w:val="000000"/>
                <w:sz w:val="20"/>
                <w:lang w:val="en-US" w:eastAsia="nl-NL"/>
              </w:rPr>
              <w:t>actual time intervals.</w:t>
            </w:r>
          </w:p>
        </w:tc>
      </w:tr>
      <w:tr w:rsidR="008746A9" w:rsidRPr="002B7B85" w14:paraId="131CE35E" w14:textId="77777777" w:rsidTr="008746A9">
        <w:trPr>
          <w:trHeight w:val="425"/>
        </w:trPr>
        <w:tc>
          <w:tcPr>
            <w:tcW w:w="13719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C560BC" w14:textId="0962B006" w:rsidR="008746A9" w:rsidRPr="008746A9" w:rsidRDefault="008746A9" w:rsidP="008746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Estimator = Maximum Likelihood with 10,000 bootstraps for all models</w:t>
            </w:r>
          </w:p>
        </w:tc>
      </w:tr>
    </w:tbl>
    <w:p w14:paraId="1188689D" w14:textId="218321A5" w:rsidR="00F755C4" w:rsidRPr="00C81313" w:rsidRDefault="00F755C4">
      <w:pPr>
        <w:rPr>
          <w:lang w:val="en-US"/>
        </w:rPr>
      </w:pPr>
    </w:p>
    <w:sectPr w:rsidR="00F755C4" w:rsidRPr="00C81313" w:rsidSect="00A64D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3F7BF" w14:textId="77777777" w:rsidR="00283A4C" w:rsidRDefault="00283A4C" w:rsidP="005E1743">
      <w:pPr>
        <w:spacing w:after="0" w:line="240" w:lineRule="auto"/>
      </w:pPr>
      <w:r>
        <w:separator/>
      </w:r>
    </w:p>
  </w:endnote>
  <w:endnote w:type="continuationSeparator" w:id="0">
    <w:p w14:paraId="2C8B9138" w14:textId="77777777" w:rsidR="00283A4C" w:rsidRDefault="00283A4C" w:rsidP="005E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083065"/>
      <w:docPartObj>
        <w:docPartGallery w:val="Page Numbers (Bottom of Page)"/>
        <w:docPartUnique/>
      </w:docPartObj>
    </w:sdtPr>
    <w:sdtContent>
      <w:p w14:paraId="301BD565" w14:textId="6A4E8196" w:rsidR="005E1743" w:rsidRDefault="005E174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D1C">
          <w:rPr>
            <w:noProof/>
          </w:rPr>
          <w:t>4</w:t>
        </w:r>
        <w:r>
          <w:fldChar w:fldCharType="end"/>
        </w:r>
      </w:p>
    </w:sdtContent>
  </w:sdt>
  <w:p w14:paraId="24C2465C" w14:textId="77777777" w:rsidR="005E1743" w:rsidRDefault="005E17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4D3CA" w14:textId="77777777" w:rsidR="00283A4C" w:rsidRDefault="00283A4C" w:rsidP="005E1743">
      <w:pPr>
        <w:spacing w:after="0" w:line="240" w:lineRule="auto"/>
      </w:pPr>
      <w:r>
        <w:separator/>
      </w:r>
    </w:p>
  </w:footnote>
  <w:footnote w:type="continuationSeparator" w:id="0">
    <w:p w14:paraId="243BFB95" w14:textId="77777777" w:rsidR="00283A4C" w:rsidRDefault="00283A4C" w:rsidP="005E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479B2"/>
    <w:multiLevelType w:val="multilevel"/>
    <w:tmpl w:val="F238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3"/>
    <w:rsid w:val="002809D5"/>
    <w:rsid w:val="00283A4C"/>
    <w:rsid w:val="002B7B85"/>
    <w:rsid w:val="003C0E86"/>
    <w:rsid w:val="00496D26"/>
    <w:rsid w:val="004C3D2D"/>
    <w:rsid w:val="005E1743"/>
    <w:rsid w:val="005F7A18"/>
    <w:rsid w:val="00677400"/>
    <w:rsid w:val="00761195"/>
    <w:rsid w:val="00794B46"/>
    <w:rsid w:val="00852770"/>
    <w:rsid w:val="008746A9"/>
    <w:rsid w:val="00A64D1C"/>
    <w:rsid w:val="00AA59B5"/>
    <w:rsid w:val="00B732A3"/>
    <w:rsid w:val="00B969AF"/>
    <w:rsid w:val="00C81313"/>
    <w:rsid w:val="00F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6382F"/>
  <w15:chartTrackingRefBased/>
  <w15:docId w15:val="{FE46B54E-8D02-4F5A-BD96-D81558B0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1313"/>
    <w:rPr>
      <w:rFonts w:ascii="Times New Roman" w:hAnsi="Times New Roman" w:cs="Calibri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809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09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09D5"/>
    <w:rPr>
      <w:rFonts w:ascii="Times New Roman" w:hAnsi="Times New Roman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09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09D5"/>
    <w:rPr>
      <w:rFonts w:ascii="Times New Roman" w:hAnsi="Times New Roman" w:cs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9D5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2809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E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1743"/>
    <w:rPr>
      <w:rFonts w:ascii="Times New Roman" w:hAnsi="Times New Roman" w:cs="Calibri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E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1743"/>
    <w:rPr>
      <w:rFonts w:ascii="Times New Roman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8D5DA-C36C-452A-88D0-08C160E5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Boersma-van Dam, M.E. (Elise)</dc:creator>
  <cp:keywords/>
  <dc:description/>
  <cp:lastModifiedBy>Boersma-van Dam, M.E. (Elise)</cp:lastModifiedBy>
  <cp:revision>7</cp:revision>
  <cp:lastPrinted>2020-09-25T06:47:00Z</cp:lastPrinted>
  <dcterms:created xsi:type="dcterms:W3CDTF">2020-09-23T15:43:00Z</dcterms:created>
  <dcterms:modified xsi:type="dcterms:W3CDTF">2020-09-25T06:50:00Z</dcterms:modified>
</cp:coreProperties>
</file>