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FF132" w14:textId="77777777" w:rsidR="00964B9F" w:rsidRPr="001B155B" w:rsidRDefault="00964B9F" w:rsidP="00964B9F">
      <w:pPr>
        <w:rPr>
          <w:b/>
        </w:rPr>
      </w:pPr>
      <w:r>
        <w:rPr>
          <w:b/>
        </w:rPr>
        <w:t>Supplementary Material A</w:t>
      </w:r>
    </w:p>
    <w:p w14:paraId="11B4BCB2" w14:textId="77777777" w:rsidR="00964B9F" w:rsidRPr="001B155B" w:rsidRDefault="00964B9F" w:rsidP="00964B9F">
      <w:pPr>
        <w:rPr>
          <w:b/>
        </w:rPr>
      </w:pPr>
    </w:p>
    <w:p w14:paraId="5DB7AE9C" w14:textId="77777777" w:rsidR="00964B9F" w:rsidRPr="001B155B" w:rsidRDefault="00964B9F" w:rsidP="00964B9F">
      <w:pPr>
        <w:rPr>
          <w:b/>
        </w:rPr>
      </w:pPr>
      <w:r w:rsidRPr="001B155B">
        <w:rPr>
          <w:b/>
        </w:rPr>
        <w:t>Data</w:t>
      </w:r>
    </w:p>
    <w:p w14:paraId="6AB28E7B" w14:textId="77777777" w:rsidR="00964B9F" w:rsidRDefault="00964B9F" w:rsidP="00964B9F">
      <w:r>
        <w:rPr>
          <w:iCs/>
        </w:rPr>
        <w:t>City-level data were compiled</w:t>
      </w:r>
      <w:r w:rsidRPr="001B155B">
        <w:rPr>
          <w:iCs/>
        </w:rPr>
        <w:t xml:space="preserve"> </w:t>
      </w:r>
      <w:r>
        <w:rPr>
          <w:iCs/>
        </w:rPr>
        <w:t xml:space="preserve">from Medical Officer of Health (MOH) reports. </w:t>
      </w:r>
      <w:r>
        <w:t xml:space="preserve">These </w:t>
      </w:r>
      <w:r w:rsidRPr="001B155B">
        <w:t xml:space="preserve">reports were annual administrative documents covering a range of public health-related issues at the municipal level. The first reports begin in the mid-19th century, and coverage extends to most municipalities in the UK until the early 1970s. </w:t>
      </w:r>
      <w:r>
        <w:t xml:space="preserve">The reports used here </w:t>
      </w:r>
      <w:r w:rsidRPr="001B155B">
        <w:t>have been digiti</w:t>
      </w:r>
      <w:r>
        <w:t>s</w:t>
      </w:r>
      <w:r w:rsidRPr="001B155B">
        <w:t>ed and can be viewed on the Wellcome Trust Collection website</w:t>
      </w:r>
      <w:r>
        <w:t>.</w:t>
      </w:r>
      <w:sdt>
        <w:sdtPr>
          <w:rPr>
            <w:color w:val="000000"/>
            <w:vertAlign w:val="superscript"/>
          </w:rPr>
          <w:tag w:val="MENDELEY_CITATION_v3_eyJjaXRhdGlvbklEIjoiTUVOREVMRVlfQ0lUQVRJT05fMTM1ZjJjOTUtYmIyYS00NWFmLWFmNTItZjlmNzNiMTAyOTUwIiwiY2l0YXRpb25JdGVtcyI6W3siaWQiOiI0ZTQ0ODMwYi04NDE1LTM3MzUtOGNlMy00ZjhlODJmZmI3OWYiLCJpdGVtRGF0YSI6eyJ0eXBlIjoid2VicGFnZSIsImlkIjoiNGU0NDgzMGItODQxNS0zNzM1LThjZTMtNGY4ZTgyZmZiNzlmIiwidGl0bGUiOiJUaGUgTWVkaWNhbCBPZmZpY2VyIG9mIEhlYWx0aCByZXBvcnRzIiwiYXV0aG9yIjpbeyJmYW1pbHkiOiJXZWxsY29tZSBUcnVzdCIsImdpdmVuIjoiIiwicGFyc2UtbmFtZXMiOmZhbHNlLCJkcm9wcGluZy1wYXJ0aWNsZSI6IiIsIm5vbi1kcm9wcGluZy1wYXJ0aWNsZSI6IiJ9XSwiYWNjZXNzZWQiOnsiZGF0ZS1wYXJ0cyI6W1syMDIxLDgsMThdXX0sIlVSTCI6Imh0dHBzOi8vd2VsbGNvbWVsaWJyYXJ5Lm9yZy9tb2gvYWJvdXQtdGhlLXJlcG9ydHMvYWJvdXQtdGhlLW1lZGljYWwtb2ZmaWNlci1vZi1oZWFsdGgtcmVwb3J0cy8iLCJpc3N1ZWQiOnsiZGF0ZS1wYXJ0cyI6W1syMDIxLDIsMjRdXX19LCJpc1RlbXBvcmFyeSI6ZmFsc2V9XSwicHJvcGVydGllcyI6eyJub3RlSW5kZXgiOjB9LCJpc0VkaXRlZCI6ZmFsc2UsIm1hbnVhbE92ZXJyaWRlIjp7ImlzTWFudWFsbHlPdmVycmlkZGVuIjp0cnVlLCJjaXRlcHJvY1RleHQiOiI8c3VwPjI3PC9zdXA+IiwibWFudWFsT3ZlcnJpZGVUZXh0IjoiMjcyNyJ9fQ=="/>
          <w:id w:val="1952982660"/>
          <w:placeholder>
            <w:docPart w:val="E8F428B0FB2690498F659DDA1C024B09"/>
          </w:placeholder>
        </w:sdtPr>
        <w:sdtContent>
          <w:r w:rsidRPr="00782F96">
            <w:rPr>
              <w:color w:val="000000"/>
              <w:vertAlign w:val="superscript"/>
            </w:rPr>
            <w:t>27</w:t>
          </w:r>
        </w:sdtContent>
      </w:sdt>
      <w:r w:rsidRPr="001B155B">
        <w:t xml:space="preserve"> </w:t>
      </w:r>
    </w:p>
    <w:p w14:paraId="5F10EF88" w14:textId="77777777" w:rsidR="00964B9F" w:rsidRDefault="00964B9F" w:rsidP="00964B9F"/>
    <w:p w14:paraId="27C20EFF" w14:textId="77777777" w:rsidR="00964B9F" w:rsidRPr="00D91891" w:rsidRDefault="00964B9F" w:rsidP="00964B9F">
      <w:pPr>
        <w:rPr>
          <w:b/>
        </w:rPr>
      </w:pPr>
      <w:r w:rsidRPr="001B155B">
        <w:t>We collected</w:t>
      </w:r>
      <w:r>
        <w:t xml:space="preserve"> influenza</w:t>
      </w:r>
      <w:r w:rsidRPr="001B155B">
        <w:t xml:space="preserve"> </w:t>
      </w:r>
      <w:r>
        <w:t xml:space="preserve">mortality </w:t>
      </w:r>
      <w:r w:rsidRPr="001B155B">
        <w:t>data</w:t>
      </w:r>
      <w:r>
        <w:t xml:space="preserve"> </w:t>
      </w:r>
      <w:r w:rsidRPr="00347868">
        <w:rPr>
          <w:bCs/>
          <w:iCs/>
        </w:rPr>
        <w:t>between 1895 and</w:t>
      </w:r>
      <w:r w:rsidRPr="00D91891">
        <w:rPr>
          <w:b/>
          <w:iCs/>
        </w:rPr>
        <w:t xml:space="preserve"> </w:t>
      </w:r>
      <w:r w:rsidRPr="001B155B">
        <w:t xml:space="preserve">for eight large municipalities from across the UK: Belfast, Birmingham, Cardiff, Glasgow, London, Liverpool, Manchester and Sheffield. </w:t>
      </w:r>
      <w:r>
        <w:t xml:space="preserve">To do this, we searched </w:t>
      </w:r>
      <w:r w:rsidRPr="001B155B">
        <w:rPr>
          <w:iCs/>
        </w:rPr>
        <w:t>relevant MOH reports for each municipality. Generally</w:t>
      </w:r>
      <w:r>
        <w:rPr>
          <w:iCs/>
        </w:rPr>
        <w:t>,</w:t>
      </w:r>
      <w:r w:rsidRPr="001B155B">
        <w:rPr>
          <w:iCs/>
        </w:rPr>
        <w:t xml:space="preserve"> annual mortality rates by cause of death are presented in tables within the report or its appendices</w:t>
      </w:r>
      <w:r>
        <w:rPr>
          <w:iCs/>
        </w:rPr>
        <w:t xml:space="preserve"> (or could be computed as the ratio of the number of deaths to the population size)</w:t>
      </w:r>
      <w:r w:rsidRPr="001B155B">
        <w:rPr>
          <w:iCs/>
        </w:rPr>
        <w:t xml:space="preserve">. Despite changes to the taxonomy of </w:t>
      </w:r>
      <w:r>
        <w:rPr>
          <w:iCs/>
        </w:rPr>
        <w:t xml:space="preserve">many </w:t>
      </w:r>
      <w:r w:rsidRPr="001B155B">
        <w:rPr>
          <w:iCs/>
        </w:rPr>
        <w:t xml:space="preserve">causes of death over time, </w:t>
      </w:r>
      <w:r w:rsidRPr="003B0EE6">
        <w:rPr>
          <w:i/>
        </w:rPr>
        <w:t>influenza</w:t>
      </w:r>
      <w:r w:rsidRPr="001B155B">
        <w:rPr>
          <w:iCs/>
        </w:rPr>
        <w:t xml:space="preserve"> was reported </w:t>
      </w:r>
      <w:r>
        <w:rPr>
          <w:iCs/>
        </w:rPr>
        <w:t xml:space="preserve">in the MOH reports </w:t>
      </w:r>
      <w:r w:rsidRPr="001B155B">
        <w:rPr>
          <w:iCs/>
        </w:rPr>
        <w:t xml:space="preserve">throughout the decades. </w:t>
      </w:r>
      <w:r>
        <w:rPr>
          <w:iCs/>
        </w:rPr>
        <w:t>D</w:t>
      </w:r>
      <w:r w:rsidRPr="001B155B">
        <w:rPr>
          <w:iCs/>
        </w:rPr>
        <w:t>uring the war years</w:t>
      </w:r>
      <w:r>
        <w:rPr>
          <w:iCs/>
        </w:rPr>
        <w:t>,</w:t>
      </w:r>
      <w:r w:rsidRPr="001B155B">
        <w:rPr>
          <w:iCs/>
        </w:rPr>
        <w:t xml:space="preserve"> 1914-1919 and 1939-1945, </w:t>
      </w:r>
      <w:r>
        <w:rPr>
          <w:iCs/>
        </w:rPr>
        <w:t xml:space="preserve">some </w:t>
      </w:r>
      <w:r w:rsidRPr="001B155B">
        <w:rPr>
          <w:iCs/>
        </w:rPr>
        <w:t>reports are missing</w:t>
      </w:r>
      <w:r>
        <w:rPr>
          <w:iCs/>
        </w:rPr>
        <w:t>,</w:t>
      </w:r>
      <w:r w:rsidRPr="001B155B">
        <w:rPr>
          <w:iCs/>
        </w:rPr>
        <w:t xml:space="preserve"> </w:t>
      </w:r>
      <w:r>
        <w:rPr>
          <w:iCs/>
        </w:rPr>
        <w:t>or the data provided is incomplete</w:t>
      </w:r>
      <w:r w:rsidRPr="001B155B">
        <w:rPr>
          <w:iCs/>
        </w:rPr>
        <w:t xml:space="preserve">. In these cases, we recovered the missing information by assessing statistics </w:t>
      </w:r>
      <w:r>
        <w:rPr>
          <w:iCs/>
        </w:rPr>
        <w:t>for these years from</w:t>
      </w:r>
      <w:r w:rsidRPr="001B155B">
        <w:rPr>
          <w:iCs/>
        </w:rPr>
        <w:t xml:space="preserve"> later reports</w:t>
      </w:r>
      <w:r>
        <w:rPr>
          <w:iCs/>
        </w:rPr>
        <w:t>, where possible</w:t>
      </w:r>
      <w:r w:rsidRPr="001B155B">
        <w:rPr>
          <w:iCs/>
        </w:rPr>
        <w:t xml:space="preserve">. </w:t>
      </w:r>
      <w:r w:rsidRPr="00871341">
        <w:rPr>
          <w:bCs/>
          <w:iCs/>
        </w:rPr>
        <w:t>The dataset collected from the MOH reports underlying this research paper is available on</w:t>
      </w:r>
      <w:r>
        <w:rPr>
          <w:b/>
          <w:iCs/>
        </w:rPr>
        <w:t xml:space="preserve"> </w:t>
      </w:r>
      <w:r>
        <w:rPr>
          <w:color w:val="000000"/>
        </w:rPr>
        <w:t xml:space="preserve">GitHub at </w:t>
      </w:r>
      <w:hyperlink r:id="rId5" w:history="1">
        <w:r w:rsidRPr="00F26966">
          <w:rPr>
            <w:rStyle w:val="Hyperlink"/>
          </w:rPr>
          <w:t>https://github.com/maxschr90/Schroeder-et-al.-2021--How-long-do-pandemics-last-</w:t>
        </w:r>
      </w:hyperlink>
      <w:r w:rsidRPr="00212B00">
        <w:rPr>
          <w:color w:val="000000"/>
        </w:rPr>
        <w:t>.</w:t>
      </w:r>
    </w:p>
    <w:p w14:paraId="5AC61744" w14:textId="77777777" w:rsidR="00964B9F" w:rsidRDefault="00964B9F" w:rsidP="00964B9F">
      <w:pPr>
        <w:rPr>
          <w:iCs/>
        </w:rPr>
      </w:pPr>
    </w:p>
    <w:p w14:paraId="7C77623E" w14:textId="77777777" w:rsidR="00964B9F" w:rsidRDefault="00964B9F" w:rsidP="00964B9F">
      <w:r w:rsidRPr="001B155B">
        <w:t xml:space="preserve">The narrative provided in the MOH reports for London County Council </w:t>
      </w:r>
      <w:r>
        <w:t>confirms that</w:t>
      </w:r>
      <w:r w:rsidRPr="001B155B">
        <w:t xml:space="preserve"> the two decades after the three initial waves of the pandemic were characterised by several further large influenza outbreaks. In particular, we examined available London County Council MOH reports between 1920 and 1957 to identify discussions of increased prevalence of influenza in a given year. In each report, we performed a search for the phrase </w:t>
      </w:r>
      <w:r w:rsidRPr="001C0374">
        <w:rPr>
          <w:i/>
          <w:iCs/>
        </w:rPr>
        <w:t>influenza</w:t>
      </w:r>
      <w:r w:rsidRPr="001B155B">
        <w:t>. As public health officials were particularly attentive to influenza after the 1918</w:t>
      </w:r>
      <w:r>
        <w:t>-</w:t>
      </w:r>
      <w:r w:rsidRPr="001B155B">
        <w:t xml:space="preserve">19 pandemic, virtually every annual report contains at least some discussion of the disease. Generally, the language of the reports is clear on whether a certain year is considered to </w:t>
      </w:r>
      <w:r>
        <w:t>have</w:t>
      </w:r>
      <w:r w:rsidRPr="001B155B">
        <w:t xml:space="preserve"> a notable outbreak of influenza. Some reports further </w:t>
      </w:r>
      <w:r>
        <w:t>included</w:t>
      </w:r>
      <w:r w:rsidRPr="001B155B">
        <w:t xml:space="preserve"> retrospective reflections on past influenza outbreaks. The reports identify 1922, 1924, 1927, 1929, 1933 and 1937 as years of heightened mortality from influenza relative to other years.</w:t>
      </w:r>
    </w:p>
    <w:p w14:paraId="0B00DCDD" w14:textId="77777777" w:rsidR="00964B9F" w:rsidRDefault="00964B9F" w:rsidP="00964B9F"/>
    <w:p w14:paraId="3B25B2F9" w14:textId="77777777" w:rsidR="00964B9F" w:rsidRDefault="00964B9F" w:rsidP="00964B9F">
      <w:pPr>
        <w:rPr>
          <w:iCs/>
        </w:rPr>
      </w:pPr>
      <w:r>
        <w:rPr>
          <w:bCs/>
        </w:rPr>
        <w:t xml:space="preserve">Data for the US are taken from the annual vital statistics reports compiled by the </w:t>
      </w:r>
      <w:hyperlink r:id="rId6" w:history="1">
        <w:r>
          <w:rPr>
            <w:rStyle w:val="Hyperlink"/>
          </w:rPr>
          <w:t>National Center for Health Statistics</w:t>
        </w:r>
      </w:hyperlink>
      <w:r>
        <w:t>. Specifically, we rely on the two special volumes</w:t>
      </w:r>
      <w:sdt>
        <w:sdtPr>
          <w:rPr>
            <w:color w:val="000000"/>
            <w:vertAlign w:val="superscript"/>
          </w:rPr>
          <w:tag w:val="MENDELEY_CITATION_v3_eyJjaXRhdGlvbklEIjoiTUVOREVMRVlfQ0lUQVRJT05fNzc5NmQ0MzktZTRjNS00NWNlLWI3MmMtNGYwNDA0Mzg3MmRmIiwiY2l0YXRpb25JdGVtcyI6W3siaWQiOiIwZGFlMmMyMi0zNjIwLTM4NjEtODc3Ni0yZDJkZjQ5NDE3OWYiLCJpdGVtRGF0YSI6eyJ0eXBlIjoiYm9vayIsImlkIjoiMGRhZTJjMjItMzYyMC0zODYxLTg3NzYtMmQyZGY0OTQxNzlmIiwidGl0bGUiOiJWaXRhbCBzdGF0aXN0aWNzIHJhdGVzIGluIHRoZSBVbml0ZWQgU3RhdGVzLCAxOTAwLTE5NDAiLCJhdXRob3IiOlt7ImZhbWlseSI6IkxpbmRlciIsImdpdmVuIjoiRm9ycmVzdCBFZHdhcmQiLCJwYXJzZS1uYW1lcyI6ZmFsc2UsImRyb3BwaW5nLXBhcnRpY2xlIjoiIiwibm9uLWRyb3BwaW5nLXBhcnRpY2xlIjoiIn0seyJmYW1pbHkiOiJHcm92ZSIsImdpdmVuIjoiUm9iZXJ0IEQiLCJwYXJzZS1uYW1lcyI6ZmFsc2UsImRyb3BwaW5nLXBhcnRpY2xlIjoiIiwibm9uLWRyb3BwaW5nLXBhcnRpY2xlIjoiIn1dLCJpc3N1ZWQiOnsiZGF0ZS1wYXJ0cyI6W1sxOTQzXV19LCJwdWJsaXNoZXIiOiJVUyBHb3Zlcm5tZW50IFByaW50aW5nIE9mZmljZSJ9LCJpc1RlbXBvcmFyeSI6ZmFsc2V9LHsiaWQiOiJiZDljOTNhOS02MDY0LTM0MGItOWI4Ni00ZmY5MWJiZDgzMTIiLCJpdGVtRGF0YSI6eyJ0eXBlIjoiYm9vayIsImlkIjoiYmQ5YzkzYTktNjA2NC0zNDBiLTliODYtNGZmOTFiYmQ4MzEyIiwidGl0bGUiOiJWaXRhbCBzdGF0aXN0aWNzIHJhdGVzIGluIHRoZSBVbml0ZWQgU3RhdGVzLCAxOTQwLTE5NjAiLCJhdXRob3IiOlt7ImZhbWlseSI6Ikdyb3ZlIiwiZ2l2ZW4iOiJSb2JlcnQgRCIsInBhcnNlLW5hbWVzIjpmYWxzZSwiZHJvcHBpbmctcGFydGljbGUiOiIiLCJub24tZHJvcHBpbmctcGFydGljbGUiOiIifSx7ImZhbWlseSI6IkhldHplbCIsImdpdmVuIjoiQWxpY2UgTSIsInBhcnNlLW5hbWVzIjpmYWxzZSwiZHJvcHBpbmctcGFydGljbGUiOiIiLCJub24tZHJvcHBpbmctcGFydGljbGUiOiIifV0sImlzc3VlZCI6eyJkYXRlLXBhcnRzIjpbWzE5NjhdXX0sInB1Ymxpc2hlciI6IlVTIERlcGFydG1lbnQgb2YgSGVhbHRoLCBFZHVjYXRpb24sIGFuZCBXZWxmYXJlLCBQdWJsaWMgSGVhbHRoIFNlcnZpY2XCoOKApiIsInZvbHVtZSI6IjgzIn0sImlzVGVtcG9yYXJ5IjpmYWxzZX1dLCJwcm9wZXJ0aWVzIjp7Im5vdGVJbmRleCI6MH0sImlzRWRpdGVkIjpmYWxzZSwibWFudWFsT3ZlcnJpZGUiOnsiaXNNYW51YWxseU92ZXJyaWRkZW4iOmZhbHNlLCJjaXRlcHJvY1RleHQiOiI8c3VwPjE2LDE3PC9zdXA+IiwibWFudWFsT3ZlcnJpZGVUZXh0IjoiIn19"/>
          <w:id w:val="128826176"/>
          <w:placeholder>
            <w:docPart w:val="E8F428B0FB2690498F659DDA1C024B09"/>
          </w:placeholder>
        </w:sdtPr>
        <w:sdtContent>
          <w:r w:rsidRPr="00871341">
            <w:rPr>
              <w:color w:val="000000"/>
              <w:vertAlign w:val="superscript"/>
            </w:rPr>
            <w:t>16,17</w:t>
          </w:r>
        </w:sdtContent>
      </w:sdt>
      <w:r>
        <w:t xml:space="preserve"> covering the period 1900-1960. Both volumes are available on the CDC’s website.</w:t>
      </w:r>
      <w:sdt>
        <w:sdtPr>
          <w:rPr>
            <w:color w:val="000000"/>
            <w:vertAlign w:val="superscript"/>
          </w:rPr>
          <w:tag w:val="MENDELEY_CITATION_v3_eyJjaXRhdGlvbklEIjoiTUVOREVMRVlfQ0lUQVRJT05fZjljMDk0YTctZDZjMy00NjAzLTkzMGUtMDJlNTJiOTcxMDJkIiwiY2l0YXRpb25JdGVtcyI6W3siaWQiOiIxNTVkNmQwMi01MmI2LTM0MWMtYTM5OS00ZDI4Mjk2ZTQzNGEiLCJpdGVtRGF0YSI6eyJ0eXBlIjoid2VicGFnZSIsImlkIjoiMTU1ZDZkMDItNTJiNi0zNDFjLWEzOTktNGQyODI5NmU0MzRhIiwidGl0bGUiOiJQcm9kdWN0cyAtIFZpdGFsIFN0YXRpc3RpY3Mgb2YgdGhlIFVTIC0gSG9tZXBhZ2UiLCJhY2Nlc3NlZCI6eyJkYXRlLXBhcnRzIjpbWzIwMjEsOCwyNl1dfSwiVVJMIjoiaHR0cHM6Ly93d3cuY2RjLmdvdi9uY2hzL3Byb2R1Y3RzL3ZzdXMuaHRtIn0sImlzVGVtcG9yYXJ5IjpmYWxzZX1dLCJwcm9wZXJ0aWVzIjp7Im5vdGVJbmRleCI6MH0sImlzRWRpdGVkIjpmYWxzZSwibWFudWFsT3ZlcnJpZGUiOnsiaXNNYW51YWxseU92ZXJyaWRkZW4iOmZhbHNlLCJjaXRlcHJvY1RleHQiOiI8c3VwPjI4PC9zdXA+IiwibWFudWFsT3ZlcnJpZGVUZXh0IjoiIn19"/>
          <w:id w:val="14274066"/>
          <w:placeholder>
            <w:docPart w:val="E8F428B0FB2690498F659DDA1C024B09"/>
          </w:placeholder>
        </w:sdtPr>
        <w:sdtContent>
          <w:r w:rsidRPr="00871341">
            <w:rPr>
              <w:color w:val="000000"/>
              <w:vertAlign w:val="superscript"/>
            </w:rPr>
            <w:t>28</w:t>
          </w:r>
        </w:sdtContent>
      </w:sdt>
      <w:r>
        <w:rPr>
          <w:iCs/>
        </w:rPr>
        <w:t xml:space="preserve"> Data for England and Wales between 1838 and 1917 are taken </w:t>
      </w:r>
      <w:r w:rsidRPr="001F63AE">
        <w:rPr>
          <w:iCs/>
        </w:rPr>
        <w:t xml:space="preserve">from </w:t>
      </w:r>
      <w:r w:rsidRPr="00871341">
        <w:t>Langford (2002),</w:t>
      </w:r>
      <w:sdt>
        <w:sdtPr>
          <w:rPr>
            <w:color w:val="000000"/>
            <w:vertAlign w:val="superscript"/>
          </w:rPr>
          <w:tag w:val="MENDELEY_CITATION_v3_eyJjaXRhdGlvbklEIjoiTUVOREVMRVlfQ0lUQVRJT05fODhjNTQ3YTgtODU5YS00MmVhLTgzNGQtNzM2NTY3NTdmNjQxIiwiY2l0YXRpb25JdGVtcyI6W3siaWQiOiI5NWRlNjlmMi04ZTViLTMxZTUtYjJiZC04Nzk5NzI1Y2FhYjgiLCJpdGVtRGF0YSI6eyJ0eXBlIjoiYXJ0aWNsZS1qb3VybmFsIiwiaWQiOiI5NWRlNjlmMi04ZTViLTMxZTUtYjJiZC04Nzk5NzI1Y2FhYjgiLCJ0aXRsZSI6IlRoZSBhZ2UgcGF0dGVybiBvZiBtb3J0YWxpdHkgaW4gdGhlIDE5MTgtMTkgaW5mbHVlbnphIHBhbmRlbWljOiBhbiBhdHRlbXB0ZWQgZXhwbGFuYXRpb24gYmFzZWQgb24gZGF0YSBmb3IgRW5nbGFuZCBhbmQgV2FsZXMiLCJhdXRob3IiOlt7ImZhbWlseSI6Ikxhbmdmb3JkIiwiZ2l2ZW4iOiJDaHJpc3RvcGhlciIsInBhcnNlLW5hbWVzIjpmYWxzZSwiZHJvcHBpbmctcGFydGljbGUiOiIiLCJub24tZHJvcHBpbmctcGFydGljbGUiOiIifV0sImNvbnRhaW5lci10aXRsZSI6Ik1lZGljYWwgSGlzdG9yeSIsIkRPSSI6IjEwLjEwMTcvUzAwMjU3MjczMDAwNjg3MVgiLCJJU1NOIjoiMDAyNS03MjczIiwiUE1JRCI6IjExODc3OTgxIiwiVVJMIjoiaHR0cHM6Ly93d3cuY2FtYnJpZGdlLm9yZy9jb3JlL3Byb2R1Y3QvaWRlbnRpZmllci9TMDAyNTcyNzMwMDA2ODcxWC90eXBlL2pvdXJuYWxfYXJ0aWNsZSIsImlzc3VlZCI6eyJkYXRlLXBhcnRzIjpbWzIwMDIsMSwxNl1dfSwicGFnZSI6IjEtMjAiLCJwdWJsaXNoZXIiOiJDYW1icmlkZ2UgVW5pdmVyc2l0eSBQcmVzcyIsImlzc3VlIjoiMSIsInZvbHVtZSI6IjQ2In0sImlzVGVtcG9yYXJ5IjpmYWxzZX1dLCJwcm9wZXJ0aWVzIjp7Im5vdGVJbmRleCI6MH0sImlzRWRpdGVkIjpmYWxzZSwibWFudWFsT3ZlcnJpZGUiOnsiaXNNYW51YWxseU92ZXJyaWRkZW4iOnRydWUsImNpdGVwcm9jVGV4dCI6IjxzdXA+MTg8L3N1cD4iLCJtYW51YWxPdmVycmlkZVRleHQiOiIxOCJ9fQ=="/>
          <w:id w:val="-353953605"/>
          <w:placeholder>
            <w:docPart w:val="6BF960ABD439754B9FD7D120A799AA3C"/>
          </w:placeholder>
        </w:sdtPr>
        <w:sdtContent>
          <w:r w:rsidRPr="00871341">
            <w:rPr>
              <w:color w:val="000000"/>
              <w:vertAlign w:val="superscript"/>
            </w:rPr>
            <w:t>18</w:t>
          </w:r>
        </w:sdtContent>
      </w:sdt>
      <w:r w:rsidRPr="00871341">
        <w:t xml:space="preserve"> Table 5</w:t>
      </w:r>
      <w:r>
        <w:t xml:space="preserve">, who compiles mortality rates from different sources. </w:t>
      </w:r>
    </w:p>
    <w:p w14:paraId="304FC623" w14:textId="77777777" w:rsidR="00964B9F" w:rsidRDefault="00964B9F" w:rsidP="00964B9F">
      <w:pPr>
        <w:rPr>
          <w:iCs/>
        </w:rPr>
      </w:pPr>
    </w:p>
    <w:p w14:paraId="7F70F1B8" w14:textId="77777777" w:rsidR="00964B9F" w:rsidRDefault="00964B9F" w:rsidP="00964B9F">
      <w:r w:rsidRPr="001B155B">
        <w:t>To obtain COVID-19 mortality for the analysis in Figure 4, we combined</w:t>
      </w:r>
      <w:r>
        <w:t xml:space="preserve"> the</w:t>
      </w:r>
      <w:r w:rsidRPr="001B155B">
        <w:t xml:space="preserve"> total number of</w:t>
      </w:r>
      <w:r>
        <w:t xml:space="preserve"> </w:t>
      </w:r>
      <w:r w:rsidRPr="001B155B">
        <w:t>UK COVID-19 deaths between 6</w:t>
      </w:r>
      <w:r w:rsidRPr="001B155B">
        <w:rPr>
          <w:vertAlign w:val="superscript"/>
        </w:rPr>
        <w:t>th</w:t>
      </w:r>
      <w:r w:rsidRPr="001B155B">
        <w:t xml:space="preserve"> March 2020 and 6</w:t>
      </w:r>
      <w:r w:rsidRPr="001B155B">
        <w:rPr>
          <w:vertAlign w:val="superscript"/>
        </w:rPr>
        <w:t>th</w:t>
      </w:r>
      <w:r w:rsidRPr="001B155B">
        <w:t xml:space="preserve"> of March 2021 (124,654)</w:t>
      </w:r>
      <w:r>
        <w:t>.</w:t>
      </w:r>
      <w:sdt>
        <w:sdtPr>
          <w:rPr>
            <w:color w:val="000000"/>
            <w:vertAlign w:val="superscript"/>
          </w:rPr>
          <w:tag w:val="MENDELEY_CITATION_v3_eyJjaXRhdGlvbklEIjoiTUVOREVMRVlfQ0lUQVRJT05fMTQxZDhjM2EtYmM3YS00ODRkLWEyZDYtYmZiZDMwZjRlZjI3IiwiY2l0YXRpb25JdGVtcyI6W3siaWQiOiI5MDEyMTcyMi05MmVhLTM4MTQtOTU3OC1lNzUxMGIyMzhjODAiLCJpdGVtRGF0YSI6eyJ0eXBlIjoid2VicGFnZSIsImlkIjoiOTAxMjE3MjItOTJlYS0zODE0LTk1NzgtZTc1MTBiMjM4YzgwIiwidGl0bGUiOiJDb3JvbmF2aXJ1cyBQYW5kZW1pYyAoQ09WSUQtMTkpIiwiYXV0aG9yIjpbeyJmYW1pbHkiOiJSaXRjaGllIiwiZ2l2ZW4iOiJIYW5uYWgiLCJwYXJzZS1uYW1lcyI6ZmFsc2UsImRyb3BwaW5nLXBhcnRpY2xlIjoiIiwibm9uLWRyb3BwaW5nLXBhcnRpY2xlIjoiIn0seyJmYW1pbHkiOiJPcnRpei1Pc3BpbmEiLCJnaXZlbiI6IkVzdGViYW4iLCJwYXJzZS1uYW1lcyI6ZmFsc2UsImRyb3BwaW5nLXBhcnRpY2xlIjoiIiwibm9uLWRyb3BwaW5nLXBhcnRpY2xlIjoiIn0seyJmYW1pbHkiOiJCZWx0ZWtpYW4iLCJnaXZlbiI6IkRpYW5hIiwicGFyc2UtbmFtZXMiOmZhbHNlLCJkcm9wcGluZy1wYXJ0aWNsZSI6IiIsIm5vbi1kcm9wcGluZy1wYXJ0aWNsZSI6IiJ9LHsiZmFtaWx5IjoiTWF0aGlldSIsImdpdmVuIjoiRWRvdWFyZCIsInBhcnNlLW5hbWVzIjpmYWxzZSwiZHJvcHBpbmctcGFydGljbGUiOiIiLCJub24tZHJvcHBpbmctcGFydGljbGUiOiIifSx7ImZhbWlseSI6Ikhhc2VsbCIsImdpdmVuIjoiSm9lIiwicGFyc2UtbmFtZXMiOmZhbHNlLCJkcm9wcGluZy1wYXJ0aWNsZSI6IiIsIm5vbi1kcm9wcGluZy1wYXJ0aWNsZSI6IiJ9LHsiZmFtaWx5IjoiTWFjZG9uYWxkIiwiZ2l2ZW4iOiJCb2JiaWUiLCJwYXJzZS1uYW1lcyI6ZmFsc2UsImRyb3BwaW5nLXBhcnRpY2xlIjoiIiwibm9uLWRyb3BwaW5nLXBhcnRpY2xlIjoiIn0seyJmYW1pbHkiOiJHaWF0dGlubyIsImdpdmVuIjoiQ2hhcmxpZSIsInBhcnNlLW5hbWVzIjpmYWxzZSwiZHJvcHBpbmctcGFydGljbGUiOiIiLCJub24tZHJvcHBpbmctcGFydGljbGUiOiIifSx7ImZhbWlseSI6IkFwcGVsIiwiZ2l2ZW4iOiJDYW1lcm9uIiwicGFyc2UtbmFtZXMiOmZhbHNlLCJkcm9wcGluZy1wYXJ0aWNsZSI6IiIsIm5vbi1kcm9wcGluZy1wYXJ0aWNsZSI6IiJ9LHsiZmFtaWx5IjoiUm9kw6lzLUd1aXJhbyIsImdpdmVuIjoiTHVjYXMiLCJwYXJzZS1uYW1lcyI6ZmFsc2UsImRyb3BwaW5nLXBhcnRpY2xlIjoiIiwibm9uLWRyb3BwaW5nLXBhcnRpY2xlIjoiIn0seyJmYW1pbHkiOiJSb3NlciIsImdpdmVuIjoiTWF4IiwicGFyc2UtbmFtZXMiOmZhbHNlLCJkcm9wcGluZy1wYXJ0aWNsZSI6IiIsIm5vbi1kcm9wcGluZy1wYXJ0aWNsZSI6IiJ9XSwiY29udGFpbmVyLXRpdGxlIjoiUHVibGlzaGVkIG9ubGluZSBhdCBPdXJXb3JsZEluRGF0YS5vcmciLCJhY2Nlc3NlZCI6eyJkYXRlLXBhcnRzIjpbWzIwMjEsOCwxOF1dfSwiVVJMIjoiaHR0cHM6Ly9vdXJ3b3JsZGluZGF0YS5vcmcvY29yb25hdmlydXMvY291bnRyeS91bml0ZWQta2luZ2RvbSN3aGF0LWlzLXRoZS1jdW11bGF0aXZlLW51bWJlci1vZi1jb25maXJtZWQtZGVhdGhzIiwiaXNzdWVkIjp7ImRhdGUtcGFydHMiOltbMjAyMF1dfX0sImlzVGVtcG9yYXJ5IjpmYWxzZX1dLCJwcm9wZXJ0aWVzIjp7Im5vdGVJbmRleCI6MH0sImlzRWRpdGVkIjpmYWxzZSwibWFudWFsT3ZlcnJpZGUiOnsiaXNNYW51YWxseU92ZXJyaWRkZW4iOnRydWUsImNpdGVwcm9jVGV4dCI6IjxzdXA+Mjk8L3N1cD4iLCJtYW51YWxPdmVycmlkZVRleHQiOiIyOTI4In19"/>
          <w:id w:val="1475259198"/>
          <w:placeholder>
            <w:docPart w:val="E8F428B0FB2690498F659DDA1C024B09"/>
          </w:placeholder>
        </w:sdtPr>
        <w:sdtContent>
          <w:r w:rsidRPr="00782F96">
            <w:rPr>
              <w:color w:val="000000"/>
              <w:vertAlign w:val="superscript"/>
            </w:rPr>
            <w:t>29</w:t>
          </w:r>
        </w:sdtContent>
      </w:sdt>
      <w:r w:rsidRPr="001B155B">
        <w:t xml:space="preserve"> With</w:t>
      </w:r>
      <w:r>
        <w:t xml:space="preserve"> mid-year</w:t>
      </w:r>
      <w:r w:rsidRPr="001B155B">
        <w:t xml:space="preserve"> population data from the ONS for 2020 (67,081,000)</w:t>
      </w:r>
      <w:r>
        <w:t>.</w:t>
      </w:r>
      <w:sdt>
        <w:sdtPr>
          <w:rPr>
            <w:color w:val="000000"/>
            <w:vertAlign w:val="superscript"/>
          </w:rPr>
          <w:tag w:val="MENDELEY_CITATION_v3_eyJjaXRhdGlvbklEIjoiTUVOREVMRVlfQ0lUQVRJT05fNjE4MTI4NjQtNzFmNi00NDM1LWIwOGQtZGFiODc5NWEwYTUzIiwiY2l0YXRpb25JdGVtcyI6W3siaWQiOiJhZmQzNDAwYi1lN2Q1LTMxYTQtYmY4Yy00ZWE3MjNkMjNmNzMiLCJpdGVtRGF0YSI6eyJ0eXBlIjoid2VicGFnZSIsImlkIjoiYWZkMzQwMGItZTdkNS0zMWE0LWJmOGMtNGVhNzIzZDIzZjczIiwidGl0bGUiOiJQb3B1bGF0aW9uIGVzdGltYXRlcyAtIE9mZmljZSBmb3IgTmF0aW9uYWwgU3RhdGlzdGljcyIsImF1dGhvciI6W3siZmFtaWx5IjoiT05TIiwiZ2l2ZW4iOiIiLCJwYXJzZS1uYW1lcyI6ZmFsc2UsImRyb3BwaW5nLXBhcnRpY2xlIjoiIiwibm9uLWRyb3BwaW5nLXBhcnRpY2xlIjoiIn1dLCJhY2Nlc3NlZCI6eyJkYXRlLXBhcnRzIjpbWzIwMjEsOCwxOF1dfSwiVVJMIjoiaHR0cHM6Ly93d3cub25zLmdvdi51ay9wZW9wbGVwb3B1bGF0aW9uYW5kY29tbXVuaXR5L3BvcHVsYXRpb25hbmRtaWdyYXRpb24vcG9wdWxhdGlvbmVzdGltYXRlcyIsImlzc3VlZCI6eyJkYXRlLXBhcnRzIjpbWzIwMjEsNiwyNV1dfX0sImlzVGVtcG9yYXJ5IjpmYWxzZX1dLCJwcm9wZXJ0aWVzIjp7Im5vdGVJbmRleCI6MH0sImlzRWRpdGVkIjpmYWxzZSwibWFudWFsT3ZlcnJpZGUiOnsiaXNNYW51YWxseU92ZXJyaWRkZW4iOnRydWUsImNpdGVwcm9jVGV4dCI6IjxzdXA+MzA8L3N1cD4iLCJtYW51YWxPdmVycmlkZVRleHQiOiIzMDI5In19"/>
          <w:id w:val="-1719351259"/>
          <w:placeholder>
            <w:docPart w:val="E8F428B0FB2690498F659DDA1C024B09"/>
          </w:placeholder>
        </w:sdtPr>
        <w:sdtContent>
          <w:r w:rsidRPr="00782F96">
            <w:rPr>
              <w:color w:val="000000"/>
              <w:vertAlign w:val="superscript"/>
            </w:rPr>
            <w:t>30</w:t>
          </w:r>
        </w:sdtContent>
      </w:sdt>
      <w:r>
        <w:t xml:space="preserve"> T</w:t>
      </w:r>
      <w:r w:rsidRPr="001B155B">
        <w:t>his implies a mortality rate of 1</w:t>
      </w:r>
      <w:r>
        <w:t>,</w:t>
      </w:r>
      <w:r w:rsidRPr="001B155B">
        <w:t xml:space="preserve">858 per million. Pre-2020 deaths from influenza are taken from the 2018-19 total mortality figures for </w:t>
      </w:r>
      <w:r w:rsidRPr="001B155B">
        <w:lastRenderedPageBreak/>
        <w:t>England &amp; Wales from the ONS</w:t>
      </w:r>
      <w:sdt>
        <w:sdtPr>
          <w:rPr>
            <w:color w:val="000000"/>
            <w:vertAlign w:val="superscript"/>
          </w:rPr>
          <w:tag w:val="MENDELEY_CITATION_v3_eyJjaXRhdGlvbklEIjoiTUVOREVMRVlfQ0lUQVRJT05fMWQwMjUyNDYtOGEyNy00NDY0LWFiM2MtY2I5MDkwYjI0NjA2IiwiY2l0YXRpb25JdGVtcyI6W3siaWQiOiI3YmMwNGY2Zi03ODc1LTNmZmUtYTFlNC05ODg0ZDhmNjQ2NzEiLCJpdGVtRGF0YSI6eyJ0eXBlIjoid2VicGFnZSIsImlkIjoiN2JjMDRmNmYtNzg3NS0zZmZlLWExZTQtOTg4NGQ4ZjY0NjcxIiwidGl0bGUiOiJJbmZsdWVuemEgZGVhdGhzIGluIDIwMTgsIDIwMTkgYW5kIDIwMjAgLSBPZmZpY2UgZm9yIE5hdGlvbmFsIFN0YXRpc3RpY3MiLCJhdXRob3IiOlt7ImZhbWlseSI6Ik9OUyIsImdpdmVuIjoiIiwicGFyc2UtbmFtZXMiOmZhbHNlLCJkcm9wcGluZy1wYXJ0aWNsZSI6IiIsIm5vbi1kcm9wcGluZy1wYXJ0aWNsZSI6IiJ9XSwiYWNjZXNzZWQiOnsiZGF0ZS1wYXJ0cyI6W1syMDIxLDgsMThdXX0sIlVSTCI6Imh0dHBzOi8vd3d3Lm9ucy5nb3YudWsvYWJvdXR1cy90cmFuc3BhcmVuY3lhbmRnb3Zlcm5hbmNlL2ZyZWVkb21vZmluZm9ybWF0aW9uZm9pL2luZmx1ZW56YWRlYXRoc2luMjAxODIwMTlhbmQyMDIwIiwiaXNzdWVkIjp7ImRhdGUtcGFydHMiOltbMjAyMSwyLDI0XV19fSwiaXNUZW1wb3JhcnkiOmZhbHNlfV0sInByb3BlcnRpZXMiOnsibm90ZUluZGV4IjowfSwiaXNFZGl0ZWQiOmZhbHNlLCJtYW51YWxPdmVycmlkZSI6eyJpc01hbnVhbGx5T3ZlcnJpZGRlbiI6dHJ1ZSwiY2l0ZXByb2NUZXh0IjoiPHN1cD4zMTwvc3VwPiIsIm1hbnVhbE92ZXJyaWRlVGV4dCI6IjMxMzAifX0="/>
          <w:id w:val="-914171893"/>
          <w:placeholder>
            <w:docPart w:val="E8F428B0FB2690498F659DDA1C024B09"/>
          </w:placeholder>
        </w:sdtPr>
        <w:sdtContent>
          <w:r w:rsidRPr="00782F96">
            <w:rPr>
              <w:color w:val="000000"/>
              <w:vertAlign w:val="superscript"/>
            </w:rPr>
            <w:t>31</w:t>
          </w:r>
        </w:sdtContent>
      </w:sdt>
      <w:r>
        <w:rPr>
          <w:rStyle w:val="Hyperlink"/>
          <w:u w:val="none"/>
        </w:rPr>
        <w:t xml:space="preserve"> </w:t>
      </w:r>
      <w:r w:rsidRPr="001B155B">
        <w:t>together with the mid-2018 population figures for England &amp; Wales</w:t>
      </w:r>
      <w:r>
        <w:t>.</w:t>
      </w:r>
      <w:sdt>
        <w:sdtPr>
          <w:rPr>
            <w:color w:val="000000"/>
            <w:vertAlign w:val="superscript"/>
          </w:rPr>
          <w:tag w:val="MENDELEY_CITATION_v3_eyJjaXRhdGlvbklEIjoiTUVOREVMRVlfQ0lUQVRJT05fNzBmZmQ2ZTUtZjc1Yi00MWEwLWJhMjEtYmJiMGRlMWVlYTM0IiwiY2l0YXRpb25JdGVtcyI6W3siaWQiOiJhMmY1ZDI3MS05ZTdmLTNmOTEtODNlMS1jM2VmNzViMmE0MDMiLCJpdGVtRGF0YSI6eyJ0eXBlIjoid2VicGFnZSIsImlkIjoiYTJmNWQyNzEtOWU3Zi0zZjkxLTgzZTEtYzNlZjc1YjJhNDAzIiwidGl0bGUiOiJQb3B1bGF0aW9uIGVzdGltYXRlcyBmb3IgdGhlIFVLLCBFbmdsYW5kIGFuZCBXYWxlcywgU2NvdGxhbmQgYW5kIE5vcnRoZXJuIElyZWxhbmQgLSBPZmZpY2UgZm9yIE5hdGlvbmFsIFN0YXRpc3RpY3MiLCJhdXRob3IiOlt7ImZhbWlseSI6Ik9OUyIsImdpdmVuIjoiIiwicGFyc2UtbmFtZXMiOmZhbHNlLCJkcm9wcGluZy1wYXJ0aWNsZSI6IiIsIm5vbi1kcm9wcGluZy1wYXJ0aWNsZSI6IiJ9XSwiYWNjZXNzZWQiOnsiZGF0ZS1wYXJ0cyI6W1syMDIxLDgsMThdXX0sIlVSTCI6Imh0dHBzOi8vd3d3Lm9ucy5nb3YudWsvcGVvcGxlcG9wdWxhdGlvbmFuZGNvbW11bml0eS9wb3B1bGF0aW9uYW5kbWlncmF0aW9uL3BvcHVsYXRpb25lc3RpbWF0ZXMvYnVsbGV0aW5zL2FubnVhbG1pZHllYXJwb3B1bGF0aW9uZXN0aW1hdGVzL21pZDIwMTgiLCJpc3N1ZWQiOnsiZGF0ZS1wYXJ0cyI6W1syMDE5LDYsMjldXX19LCJpc1RlbXBvcmFyeSI6ZmFsc2V9XSwicHJvcGVydGllcyI6eyJub3RlSW5kZXgiOjB9LCJpc0VkaXRlZCI6ZmFsc2UsIm1hbnVhbE92ZXJyaWRlIjp7ImlzTWFudWFsbHlPdmVycmlkZGVuIjp0cnVlLCJjaXRlcHJvY1RleHQiOiI8c3VwPjMyPC9zdXA+IiwibWFudWFsT3ZlcnJpZGVUZXh0IjoiMzIzMSJ9fQ=="/>
          <w:id w:val="-847787894"/>
          <w:placeholder>
            <w:docPart w:val="E8F428B0FB2690498F659DDA1C024B09"/>
          </w:placeholder>
        </w:sdtPr>
        <w:sdtContent>
          <w:r w:rsidRPr="00782F96">
            <w:rPr>
              <w:color w:val="000000"/>
              <w:vertAlign w:val="superscript"/>
            </w:rPr>
            <w:t>32</w:t>
          </w:r>
        </w:sdtContent>
      </w:sdt>
      <w:r w:rsidRPr="001B155B">
        <w:t xml:space="preserve"> </w:t>
      </w:r>
    </w:p>
    <w:p w14:paraId="2AF62B36" w14:textId="77777777" w:rsidR="00964B9F" w:rsidRDefault="00964B9F" w:rsidP="00964B9F">
      <w:pPr>
        <w:rPr>
          <w:b/>
        </w:rPr>
      </w:pPr>
    </w:p>
    <w:p w14:paraId="40E48AC3" w14:textId="77777777" w:rsidR="00964B9F" w:rsidRDefault="00964B9F" w:rsidP="00964B9F">
      <w:pPr>
        <w:rPr>
          <w:b/>
        </w:rPr>
      </w:pPr>
    </w:p>
    <w:p w14:paraId="1AAC3402" w14:textId="77777777" w:rsidR="00964B9F" w:rsidRPr="001B155B" w:rsidRDefault="00964B9F" w:rsidP="00964B9F">
      <w:pPr>
        <w:rPr>
          <w:b/>
        </w:rPr>
      </w:pPr>
      <w:r>
        <w:rPr>
          <w:b/>
        </w:rPr>
        <w:t>Supplementary Material B</w:t>
      </w:r>
    </w:p>
    <w:p w14:paraId="5B53EA0C" w14:textId="77777777" w:rsidR="00964B9F" w:rsidRPr="001B155B" w:rsidRDefault="00964B9F" w:rsidP="00964B9F">
      <w:pPr>
        <w:jc w:val="both"/>
      </w:pPr>
    </w:p>
    <w:p w14:paraId="3D46A67A" w14:textId="77777777" w:rsidR="00964B9F" w:rsidRPr="001B155B" w:rsidRDefault="00964B9F" w:rsidP="00964B9F">
      <w:pPr>
        <w:jc w:val="both"/>
        <w:rPr>
          <w:b/>
        </w:rPr>
      </w:pPr>
      <w:r w:rsidRPr="001B155B">
        <w:rPr>
          <w:b/>
        </w:rPr>
        <w:t>Modelling of mortality risk dynamics</w:t>
      </w:r>
    </w:p>
    <w:p w14:paraId="5A6D612C" w14:textId="77777777" w:rsidR="00964B9F" w:rsidRPr="001B155B" w:rsidRDefault="00964B9F" w:rsidP="00964B9F">
      <w:r w:rsidRPr="001B155B">
        <w:t xml:space="preserve">The model in (1) – (2) assumes that mortality rates after the main waves of the pandemic are the outcomes of a sequence of bounded Pareto distributions, where the inverse of the tail index of these distributions decays exponentially over time. The parameters </w:t>
      </w:r>
      <m:oMath>
        <m:sSub>
          <m:sSubPr>
            <m:ctrlPr>
              <w:rPr>
                <w:rFonts w:ascii="Cambria Math" w:hAnsi="Cambria Math"/>
                <w:i/>
              </w:rPr>
            </m:ctrlPr>
          </m:sSubPr>
          <m:e>
            <m:r>
              <w:rPr>
                <w:rFonts w:ascii="Cambria Math" w:hAnsi="Cambria Math"/>
              </w:rPr>
              <m:t>d</m:t>
            </m:r>
          </m:e>
          <m:sub>
            <m:r>
              <w:rPr>
                <w:rFonts w:ascii="Cambria Math" w:hAnsi="Cambria Math"/>
              </w:rPr>
              <m:t>l</m:t>
            </m:r>
          </m:sub>
        </m:sSub>
        <m:r>
          <w:rPr>
            <w:rFonts w:ascii="Cambria Math" w:hAnsi="Cambria Math"/>
          </w:rPr>
          <m:t>&gt;0</m:t>
        </m:r>
      </m:oMath>
      <w:r w:rsidRPr="001B155B">
        <w:t xml:space="preserve"> and </w:t>
      </w:r>
      <m:oMath>
        <m:sSub>
          <m:sSubPr>
            <m:ctrlPr>
              <w:rPr>
                <w:rFonts w:ascii="Cambria Math" w:hAnsi="Cambria Math"/>
                <w:i/>
              </w:rPr>
            </m:ctrlPr>
          </m:sSubPr>
          <m:e>
            <m:r>
              <w:rPr>
                <w:rFonts w:ascii="Cambria Math" w:hAnsi="Cambria Math"/>
              </w:rPr>
              <m:t>d</m:t>
            </m:r>
          </m:e>
          <m:sub>
            <m:r>
              <w:rPr>
                <w:rFonts w:ascii="Cambria Math" w:hAnsi="Cambria Math"/>
              </w:rPr>
              <m:t>u</m:t>
            </m:r>
          </m:sub>
        </m:sSub>
        <m:r>
          <w:rPr>
            <w:rFonts w:ascii="Cambria Math" w:hAnsi="Cambria Math"/>
          </w:rPr>
          <m:t>&gt;</m:t>
        </m:r>
        <m:sSub>
          <m:sSubPr>
            <m:ctrlPr>
              <w:rPr>
                <w:rFonts w:ascii="Cambria Math" w:hAnsi="Cambria Math"/>
                <w:i/>
              </w:rPr>
            </m:ctrlPr>
          </m:sSubPr>
          <m:e>
            <m:r>
              <w:rPr>
                <w:rFonts w:ascii="Cambria Math" w:hAnsi="Cambria Math"/>
              </w:rPr>
              <m:t>d</m:t>
            </m:r>
          </m:e>
          <m:sub>
            <m:r>
              <w:rPr>
                <w:rFonts w:ascii="Cambria Math" w:hAnsi="Cambria Math"/>
              </w:rPr>
              <m:t>l</m:t>
            </m:r>
          </m:sub>
        </m:sSub>
      </m:oMath>
      <w:r w:rsidRPr="001B155B">
        <w:t xml:space="preserve"> scale the range of mortality rates that the model predicts. We fit the model to the data for each geographical unit and conditional on its experience of the pandemic. Hence, we choose the bounds to reflect the realised</w:t>
      </w:r>
      <w:r>
        <w:t xml:space="preserve"> </w:t>
      </w:r>
      <w:r w:rsidRPr="001B155B">
        <w:t xml:space="preserve">range of mortality rates for the geographical unit over the period modelled. Conditional on </w:t>
      </w:r>
      <m:oMath>
        <m:sSub>
          <m:sSubPr>
            <m:ctrlPr>
              <w:rPr>
                <w:rFonts w:ascii="Cambria Math" w:hAnsi="Cambria Math"/>
                <w:i/>
              </w:rPr>
            </m:ctrlPr>
          </m:sSubPr>
          <m:e>
            <m:r>
              <w:rPr>
                <w:rFonts w:ascii="Cambria Math" w:hAnsi="Cambria Math"/>
              </w:rPr>
              <m:t>d</m:t>
            </m:r>
          </m:e>
          <m:sub>
            <m:r>
              <w:rPr>
                <w:rFonts w:ascii="Cambria Math" w:hAnsi="Cambria Math"/>
              </w:rPr>
              <m:t>l</m:t>
            </m:r>
          </m:sub>
        </m:sSub>
      </m:oMath>
      <w:r w:rsidRPr="001B155B">
        <w:t xml:space="preserve"> and </w:t>
      </w:r>
      <m:oMath>
        <m:sSub>
          <m:sSubPr>
            <m:ctrlPr>
              <w:rPr>
                <w:rFonts w:ascii="Cambria Math" w:hAnsi="Cambria Math"/>
                <w:i/>
              </w:rPr>
            </m:ctrlPr>
          </m:sSubPr>
          <m:e>
            <m:r>
              <w:rPr>
                <w:rFonts w:ascii="Cambria Math" w:hAnsi="Cambria Math"/>
              </w:rPr>
              <m:t>d</m:t>
            </m:r>
          </m:e>
          <m:sub>
            <m:r>
              <w:rPr>
                <w:rFonts w:ascii="Cambria Math" w:hAnsi="Cambria Math"/>
              </w:rPr>
              <m:t>u</m:t>
            </m:r>
          </m:sub>
        </m:sSub>
      </m:oMath>
      <w:r w:rsidRPr="001B155B">
        <w:t xml:space="preserve">, the two parameters </w:t>
      </w:r>
      <m:oMath>
        <m:sSub>
          <m:sSubPr>
            <m:ctrlPr>
              <w:rPr>
                <w:rFonts w:ascii="Cambria Math" w:hAnsi="Cambria Math"/>
                <w:i/>
              </w:rPr>
            </m:ctrlPr>
          </m:sSubPr>
          <m:e>
            <m:r>
              <w:rPr>
                <w:rFonts w:ascii="Cambria Math" w:hAnsi="Cambria Math"/>
              </w:rPr>
              <m:t>η</m:t>
            </m:r>
          </m:e>
          <m:sub>
            <m:r>
              <w:rPr>
                <w:rFonts w:ascii="Cambria Math" w:hAnsi="Cambria Math"/>
              </w:rPr>
              <m:t>0</m:t>
            </m:r>
          </m:sub>
        </m:sSub>
      </m:oMath>
      <w:r w:rsidRPr="001B155B">
        <w:t xml:space="preserve"> and </w:t>
      </w:r>
      <m:oMath>
        <m:r>
          <w:rPr>
            <w:rFonts w:ascii="Cambria Math" w:hAnsi="Cambria Math"/>
          </w:rPr>
          <m:t>λ</m:t>
        </m:r>
      </m:oMath>
      <w:r w:rsidRPr="001B155B">
        <w:t xml:space="preserve"> then determine the dynamics of mortality and disease outbreak risk via controlling the level and time evolution of probabilities of outcomes associated with the tail of the Pareto distributions. </w:t>
      </w:r>
    </w:p>
    <w:p w14:paraId="3135C06F" w14:textId="77777777" w:rsidR="00964B9F" w:rsidRPr="001B155B" w:rsidRDefault="00964B9F" w:rsidP="00964B9F">
      <w:pPr>
        <w:jc w:val="both"/>
      </w:pPr>
    </w:p>
    <w:p w14:paraId="762427EE" w14:textId="77777777" w:rsidR="00964B9F" w:rsidRPr="001B155B" w:rsidRDefault="00964B9F" w:rsidP="00964B9F">
      <w:pPr>
        <w:jc w:val="both"/>
      </w:pPr>
      <w:r w:rsidRPr="001B155B">
        <w:t xml:space="preserve">We obtain </w:t>
      </w:r>
      <m:oMath>
        <m:r>
          <w:rPr>
            <w:rFonts w:ascii="Cambria Math" w:hAnsi="Cambria Math"/>
          </w:rPr>
          <m:t>λ</m:t>
        </m:r>
      </m:oMath>
      <w:r w:rsidRPr="001B155B">
        <w:t xml:space="preserve"> and </w:t>
      </w:r>
      <m:oMath>
        <m:sSub>
          <m:sSubPr>
            <m:ctrlPr>
              <w:rPr>
                <w:rFonts w:ascii="Cambria Math" w:hAnsi="Cambria Math"/>
                <w:i/>
              </w:rPr>
            </m:ctrlPr>
          </m:sSubPr>
          <m:e>
            <m:r>
              <w:rPr>
                <w:rFonts w:ascii="Cambria Math" w:hAnsi="Cambria Math"/>
              </w:rPr>
              <m:t>η</m:t>
            </m:r>
          </m:e>
          <m:sub>
            <m:r>
              <w:rPr>
                <w:rFonts w:ascii="Cambria Math" w:hAnsi="Cambria Math"/>
              </w:rPr>
              <m:t>0</m:t>
            </m:r>
          </m:sub>
        </m:sSub>
      </m:oMath>
      <w:r w:rsidRPr="001B155B">
        <w:t xml:space="preserve"> by maximising the likelihood</w:t>
      </w:r>
      <w:r>
        <w:t xml:space="preserve"> function</w:t>
      </w:r>
      <w:r w:rsidRPr="001B155B">
        <w:t>:</w:t>
      </w:r>
    </w:p>
    <w:p w14:paraId="641CCBD9" w14:textId="77777777" w:rsidR="00964B9F" w:rsidRPr="001B155B" w:rsidRDefault="00964B9F" w:rsidP="00964B9F">
      <w:pPr>
        <w:jc w:val="center"/>
      </w:pPr>
      <m:oMath>
        <m:r>
          <w:rPr>
            <w:rFonts w:ascii="Cambria Math" w:hAnsi="Cambria Math"/>
          </w:rPr>
          <m:t>L</m:t>
        </m:r>
        <m:d>
          <m:dPr>
            <m:ctrlPr>
              <w:rPr>
                <w:rFonts w:ascii="Cambria Math" w:hAnsi="Cambria Math"/>
                <w:i/>
              </w:rPr>
            </m:ctrlPr>
          </m:dPr>
          <m:e>
            <m:r>
              <w:rPr>
                <w:rFonts w:ascii="Cambria Math" w:hAnsi="Cambria Math"/>
              </w:rPr>
              <m:t>λ</m:t>
            </m:r>
            <m:r>
              <m:rPr>
                <m:sty m:val="p"/>
              </m:rPr>
              <w:rPr>
                <w:rFonts w:ascii="Cambria Math" w:hAnsi="Cambria Math"/>
              </w:rPr>
              <m:t xml:space="preserve">, </m:t>
            </m:r>
            <m:sSub>
              <m:sSubPr>
                <m:ctrlPr>
                  <w:rPr>
                    <w:rFonts w:ascii="Cambria Math" w:hAnsi="Cambria Math"/>
                    <w:i/>
                  </w:rPr>
                </m:ctrlPr>
              </m:sSubPr>
              <m:e>
                <m:r>
                  <w:rPr>
                    <w:rFonts w:ascii="Cambria Math" w:hAnsi="Cambria Math"/>
                  </w:rPr>
                  <m:t>η</m:t>
                </m:r>
              </m:e>
              <m:sub>
                <m:r>
                  <w:rPr>
                    <w:rFonts w:ascii="Cambria Math" w:hAnsi="Cambria Math"/>
                  </w:rPr>
                  <m:t>0</m:t>
                </m:r>
              </m:sub>
            </m:sSub>
          </m:e>
        </m:d>
        <m:r>
          <w:rPr>
            <w:rFonts w:ascii="Cambria Math" w:hAnsi="Cambria Math"/>
          </w:rPr>
          <m:t>=</m:t>
        </m:r>
        <m:nary>
          <m:naryPr>
            <m:chr m:val="∏"/>
            <m:limLoc m:val="undOvr"/>
            <m:ctrlPr>
              <w:rPr>
                <w:rFonts w:ascii="Cambria Math" w:hAnsi="Cambria Math"/>
                <w:i/>
              </w:rPr>
            </m:ctrlPr>
          </m:naryPr>
          <m:sub>
            <m:r>
              <w:rPr>
                <w:rFonts w:ascii="Cambria Math" w:hAnsi="Cambria Math"/>
              </w:rPr>
              <m:t>t=0</m:t>
            </m:r>
          </m:sub>
          <m:sup>
            <m:r>
              <w:rPr>
                <w:rFonts w:ascii="Cambria Math" w:hAnsi="Cambria Math"/>
              </w:rPr>
              <m:t>N</m:t>
            </m:r>
          </m:sup>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η</m:t>
                            </m:r>
                          </m:e>
                          <m:sub>
                            <m:r>
                              <w:rPr>
                                <w:rFonts w:ascii="Cambria Math" w:hAnsi="Cambria Math"/>
                              </w:rPr>
                              <m:t>0</m:t>
                            </m:r>
                          </m:sub>
                        </m:sSub>
                        <m:sSup>
                          <m:sSupPr>
                            <m:ctrlPr>
                              <w:rPr>
                                <w:rFonts w:ascii="Cambria Math" w:hAnsi="Cambria Math"/>
                                <w:i/>
                              </w:rPr>
                            </m:ctrlPr>
                          </m:sSupPr>
                          <m:e>
                            <m:r>
                              <w:rPr>
                                <w:rFonts w:ascii="Cambria Math" w:hAnsi="Cambria Math"/>
                              </w:rPr>
                              <m:t>e</m:t>
                            </m:r>
                          </m:e>
                          <m:sup>
                            <m:r>
                              <w:rPr>
                                <w:rFonts w:ascii="Cambria Math" w:hAnsi="Cambria Math"/>
                              </w:rPr>
                              <m:t>-λt</m:t>
                            </m:r>
                          </m:sup>
                        </m:sSup>
                      </m:e>
                    </m:d>
                  </m:e>
                  <m:sup>
                    <m:r>
                      <w:rPr>
                        <w:rFonts w:ascii="Cambria Math" w:hAnsi="Cambria Math"/>
                      </w:rPr>
                      <m:t>-1</m:t>
                    </m:r>
                  </m:sup>
                </m:sSup>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l</m:t>
                            </m:r>
                          </m:sub>
                        </m:sSub>
                      </m:e>
                    </m:d>
                  </m:e>
                  <m:sup>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η</m:t>
                                </m:r>
                              </m:e>
                              <m:sub>
                                <m:r>
                                  <w:rPr>
                                    <w:rFonts w:ascii="Cambria Math" w:hAnsi="Cambria Math"/>
                                  </w:rPr>
                                  <m:t>0</m:t>
                                </m:r>
                              </m:sub>
                            </m:sSub>
                            <m:sSup>
                              <m:sSupPr>
                                <m:ctrlPr>
                                  <w:rPr>
                                    <w:rFonts w:ascii="Cambria Math" w:hAnsi="Cambria Math"/>
                                    <w:i/>
                                  </w:rPr>
                                </m:ctrlPr>
                              </m:sSupPr>
                              <m:e>
                                <m:r>
                                  <w:rPr>
                                    <w:rFonts w:ascii="Cambria Math" w:hAnsi="Cambria Math"/>
                                  </w:rPr>
                                  <m:t>e</m:t>
                                </m:r>
                              </m:e>
                              <m:sup>
                                <m:r>
                                  <w:rPr>
                                    <w:rFonts w:ascii="Cambria Math" w:hAnsi="Cambria Math"/>
                                  </w:rPr>
                                  <m:t>-λt</m:t>
                                </m:r>
                              </m:sup>
                            </m:sSup>
                          </m:e>
                        </m:d>
                      </m:e>
                      <m:sup>
                        <m:r>
                          <w:rPr>
                            <w:rFonts w:ascii="Cambria Math" w:hAnsi="Cambria Math"/>
                          </w:rPr>
                          <m:t>-1</m:t>
                        </m:r>
                      </m:sup>
                    </m:sSup>
                  </m:sup>
                </m:sSup>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d</m:t>
                                </m:r>
                              </m:e>
                            </m:acc>
                          </m:e>
                          <m:sub>
                            <m:r>
                              <w:rPr>
                                <w:rFonts w:ascii="Cambria Math" w:hAnsi="Cambria Math"/>
                              </w:rPr>
                              <m:t>t</m:t>
                            </m:r>
                          </m:sub>
                        </m:sSub>
                      </m:e>
                    </m:d>
                  </m:e>
                  <m:sup>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η</m:t>
                                </m:r>
                              </m:e>
                              <m:sub>
                                <m:r>
                                  <w:rPr>
                                    <w:rFonts w:ascii="Cambria Math" w:hAnsi="Cambria Math"/>
                                  </w:rPr>
                                  <m:t>0</m:t>
                                </m:r>
                              </m:sub>
                            </m:sSub>
                            <m:sSup>
                              <m:sSupPr>
                                <m:ctrlPr>
                                  <w:rPr>
                                    <w:rFonts w:ascii="Cambria Math" w:hAnsi="Cambria Math"/>
                                    <w:i/>
                                  </w:rPr>
                                </m:ctrlPr>
                              </m:sSupPr>
                              <m:e>
                                <m:r>
                                  <w:rPr>
                                    <w:rFonts w:ascii="Cambria Math" w:hAnsi="Cambria Math"/>
                                  </w:rPr>
                                  <m:t>e</m:t>
                                </m:r>
                              </m:e>
                              <m:sup>
                                <m:r>
                                  <w:rPr>
                                    <w:rFonts w:ascii="Cambria Math" w:hAnsi="Cambria Math"/>
                                  </w:rPr>
                                  <m:t>-λt</m:t>
                                </m:r>
                              </m:sup>
                            </m:sSup>
                          </m:e>
                        </m:d>
                      </m:e>
                      <m:sup>
                        <m:r>
                          <w:rPr>
                            <w:rFonts w:ascii="Cambria Math" w:hAnsi="Cambria Math"/>
                          </w:rPr>
                          <m:t>-1</m:t>
                        </m:r>
                      </m:sup>
                    </m:sSup>
                    <m:r>
                      <w:rPr>
                        <w:rFonts w:ascii="Cambria Math" w:hAnsi="Cambria Math"/>
                      </w:rPr>
                      <m:t>-1</m:t>
                    </m:r>
                  </m:sup>
                </m:sSup>
              </m:num>
              <m:den>
                <m:r>
                  <w:rPr>
                    <w:rFonts w:ascii="Cambria Math" w:hAnsi="Cambria Math"/>
                  </w:rPr>
                  <m:t>1-</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l</m:t>
                                </m:r>
                              </m:sub>
                            </m:sSub>
                          </m:num>
                          <m:den>
                            <m:sSub>
                              <m:sSubPr>
                                <m:ctrlPr>
                                  <w:rPr>
                                    <w:rFonts w:ascii="Cambria Math" w:hAnsi="Cambria Math"/>
                                    <w:i/>
                                  </w:rPr>
                                </m:ctrlPr>
                              </m:sSubPr>
                              <m:e>
                                <m:r>
                                  <w:rPr>
                                    <w:rFonts w:ascii="Cambria Math" w:hAnsi="Cambria Math"/>
                                  </w:rPr>
                                  <m:t>d</m:t>
                                </m:r>
                              </m:e>
                              <m:sub>
                                <m:r>
                                  <w:rPr>
                                    <w:rFonts w:ascii="Cambria Math" w:hAnsi="Cambria Math"/>
                                  </w:rPr>
                                  <m:t>u</m:t>
                                </m:r>
                              </m:sub>
                            </m:sSub>
                          </m:den>
                        </m:f>
                      </m:e>
                    </m:d>
                  </m:e>
                  <m:sup>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η</m:t>
                                </m:r>
                              </m:e>
                              <m:sub>
                                <m:r>
                                  <w:rPr>
                                    <w:rFonts w:ascii="Cambria Math" w:hAnsi="Cambria Math"/>
                                  </w:rPr>
                                  <m:t>0</m:t>
                                </m:r>
                              </m:sub>
                            </m:sSub>
                            <m:sSup>
                              <m:sSupPr>
                                <m:ctrlPr>
                                  <w:rPr>
                                    <w:rFonts w:ascii="Cambria Math" w:hAnsi="Cambria Math"/>
                                    <w:i/>
                                  </w:rPr>
                                </m:ctrlPr>
                              </m:sSupPr>
                              <m:e>
                                <m:r>
                                  <w:rPr>
                                    <w:rFonts w:ascii="Cambria Math" w:hAnsi="Cambria Math"/>
                                  </w:rPr>
                                  <m:t>e</m:t>
                                </m:r>
                              </m:e>
                              <m:sup>
                                <m:r>
                                  <w:rPr>
                                    <w:rFonts w:ascii="Cambria Math" w:hAnsi="Cambria Math"/>
                                  </w:rPr>
                                  <m:t>-λt</m:t>
                                </m:r>
                              </m:sup>
                            </m:sSup>
                          </m:e>
                        </m:d>
                      </m:e>
                      <m:sup>
                        <m:r>
                          <w:rPr>
                            <w:rFonts w:ascii="Cambria Math" w:hAnsi="Cambria Math"/>
                          </w:rPr>
                          <m:t>-1</m:t>
                        </m:r>
                      </m:sup>
                    </m:sSup>
                  </m:sup>
                </m:sSup>
              </m:den>
            </m:f>
          </m:e>
        </m:nary>
      </m:oMath>
      <w:r w:rsidRPr="001B155B">
        <w:t>,       (3)</w:t>
      </w:r>
    </w:p>
    <w:p w14:paraId="3FC51D5F" w14:textId="77777777" w:rsidR="00964B9F" w:rsidRDefault="00964B9F" w:rsidP="00964B9F">
      <w:r w:rsidRPr="001B155B">
        <w:t xml:space="preserve">given a sample of mortality rates </w:t>
      </w:r>
      <m:oMath>
        <m:sSubSup>
          <m:sSubSupPr>
            <m:ctrlPr>
              <w:rPr>
                <w:rFonts w:ascii="Cambria Math" w:hAnsi="Cambria Math"/>
                <w:i/>
              </w:rPr>
            </m:ctrlPr>
          </m:sSubSupPr>
          <m:e>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d</m:t>
                        </m:r>
                      </m:e>
                    </m:acc>
                  </m:e>
                  <m:sub>
                    <m:r>
                      <w:rPr>
                        <w:rFonts w:ascii="Cambria Math" w:hAnsi="Cambria Math"/>
                      </w:rPr>
                      <m:t>t</m:t>
                    </m:r>
                  </m:sub>
                </m:sSub>
              </m:e>
            </m:d>
          </m:e>
          <m:sub>
            <m:r>
              <w:rPr>
                <w:rFonts w:ascii="Cambria Math" w:hAnsi="Cambria Math"/>
              </w:rPr>
              <m:t>t=0</m:t>
            </m:r>
          </m:sub>
          <m:sup>
            <m:r>
              <w:rPr>
                <w:rFonts w:ascii="Cambria Math" w:hAnsi="Cambria Math"/>
              </w:rPr>
              <m:t>N</m:t>
            </m:r>
          </m:sup>
        </m:sSubSup>
      </m:oMath>
      <w:r w:rsidRPr="001B155B">
        <w:t xml:space="preserve">. </w:t>
      </w:r>
      <w:r w:rsidRPr="001B155B">
        <w:rPr>
          <w:i/>
        </w:rPr>
        <w:t xml:space="preserve"> </w:t>
      </w:r>
      <w:r w:rsidRPr="001B155B">
        <w:rPr>
          <w:iCs/>
        </w:rPr>
        <w:t>To maximise the log likelihood function, we use MATLAB’s fmincon routine, using a sequential quadratic programming algorithm. Derivatives are approximated by central numerical derivatives, and the relevant termination criteria are set to 1e</w:t>
      </w:r>
      <w:r w:rsidRPr="00DC3DD5">
        <w:rPr>
          <w:iCs/>
          <w:vertAlign w:val="superscript"/>
        </w:rPr>
        <w:t>-12</w:t>
      </w:r>
      <w:r w:rsidRPr="001B155B">
        <w:rPr>
          <w:iCs/>
        </w:rPr>
        <w:t>. To account for potential nonconvexities and the presence of local maxima, we begin the maximisation from 10</w:t>
      </w:r>
      <w:r>
        <w:rPr>
          <w:iCs/>
        </w:rPr>
        <w:t>0</w:t>
      </w:r>
      <w:r w:rsidRPr="001B155B">
        <w:rPr>
          <w:iCs/>
        </w:rPr>
        <w:t>0 random seed values.</w:t>
      </w:r>
      <w:r>
        <w:t xml:space="preserve"> </w:t>
      </w:r>
      <w:r w:rsidRPr="001B155B">
        <w:t xml:space="preserve">The estimated parameters are summarised in Table </w:t>
      </w:r>
      <w:r>
        <w:t>S1</w:t>
      </w:r>
      <w:r w:rsidRPr="001B155B">
        <w:t>.</w:t>
      </w:r>
    </w:p>
    <w:p w14:paraId="0804A1AD" w14:textId="77777777" w:rsidR="00964B9F" w:rsidRPr="001B155B" w:rsidRDefault="00964B9F" w:rsidP="00964B9F">
      <w:pPr>
        <w:jc w:val="both"/>
      </w:pPr>
    </w:p>
    <w:p w14:paraId="34BB2D5C" w14:textId="77777777" w:rsidR="00964B9F" w:rsidRPr="001B155B" w:rsidRDefault="00964B9F" w:rsidP="00964B9F">
      <w:pPr>
        <w:pStyle w:val="Caption"/>
        <w:keepNext/>
      </w:pPr>
      <w:r w:rsidRPr="001B155B">
        <w:t xml:space="preserve">Table </w:t>
      </w:r>
      <w:r>
        <w:t>S1</w:t>
      </w:r>
      <w:r w:rsidRPr="001B155B">
        <w:t>: Maximum likelihood estimates of base model</w:t>
      </w:r>
    </w:p>
    <w:tbl>
      <w:tblPr>
        <w:tblStyle w:val="TableGrid"/>
        <w:tblW w:w="7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276"/>
        <w:gridCol w:w="1559"/>
        <w:gridCol w:w="1134"/>
        <w:gridCol w:w="1276"/>
      </w:tblGrid>
      <w:tr w:rsidR="00964B9F" w:rsidRPr="001B155B" w14:paraId="1D63F668" w14:textId="77777777" w:rsidTr="00A24340">
        <w:trPr>
          <w:trHeight w:val="304"/>
        </w:trPr>
        <w:tc>
          <w:tcPr>
            <w:tcW w:w="2518" w:type="dxa"/>
            <w:tcBorders>
              <w:bottom w:val="double" w:sz="4" w:space="0" w:color="auto"/>
            </w:tcBorders>
            <w:noWrap/>
            <w:hideMark/>
          </w:tcPr>
          <w:p w14:paraId="0BC7EF27" w14:textId="77777777" w:rsidR="00964B9F" w:rsidRPr="005C705B" w:rsidRDefault="00964B9F" w:rsidP="00A24340">
            <w:pPr>
              <w:jc w:val="both"/>
              <w:rPr>
                <w:b/>
                <w:bCs/>
              </w:rPr>
            </w:pPr>
          </w:p>
        </w:tc>
        <w:tc>
          <w:tcPr>
            <w:tcW w:w="1276" w:type="dxa"/>
            <w:tcBorders>
              <w:bottom w:val="double" w:sz="4" w:space="0" w:color="auto"/>
            </w:tcBorders>
            <w:noWrap/>
            <w:hideMark/>
          </w:tcPr>
          <w:p w14:paraId="102E5EA6" w14:textId="77777777" w:rsidR="00964B9F" w:rsidRPr="005C705B" w:rsidRDefault="00964B9F" w:rsidP="00A24340">
            <w:pPr>
              <w:jc w:val="center"/>
              <w:rPr>
                <w:b/>
                <w:bCs/>
              </w:rPr>
            </w:pPr>
            <w:r w:rsidRPr="005C705B">
              <w:rPr>
                <w:b/>
                <w:bCs/>
              </w:rPr>
              <w:t>λ</w:t>
            </w:r>
          </w:p>
        </w:tc>
        <w:tc>
          <w:tcPr>
            <w:tcW w:w="1559" w:type="dxa"/>
            <w:tcBorders>
              <w:bottom w:val="double" w:sz="4" w:space="0" w:color="auto"/>
            </w:tcBorders>
            <w:noWrap/>
            <w:hideMark/>
          </w:tcPr>
          <w:p w14:paraId="5DF1B19D" w14:textId="77777777" w:rsidR="00964B9F" w:rsidRPr="005C705B" w:rsidRDefault="00964B9F" w:rsidP="00A24340">
            <w:pPr>
              <w:jc w:val="center"/>
              <w:rPr>
                <w:b/>
                <w:bCs/>
              </w:rPr>
            </w:pPr>
            <m:oMathPara>
              <m:oMath>
                <m:sSub>
                  <m:sSubPr>
                    <m:ctrlPr>
                      <w:rPr>
                        <w:rFonts w:ascii="Cambria Math" w:hAnsi="Cambria Math"/>
                        <w:b/>
                        <w:bCs/>
                        <w:i/>
                      </w:rPr>
                    </m:ctrlPr>
                  </m:sSubPr>
                  <m:e>
                    <m:r>
                      <m:rPr>
                        <m:sty m:val="bi"/>
                      </m:rPr>
                      <w:rPr>
                        <w:rFonts w:ascii="Cambria Math" w:hAnsi="Cambria Math"/>
                      </w:rPr>
                      <m:t>η</m:t>
                    </m:r>
                  </m:e>
                  <m:sub>
                    <m:r>
                      <m:rPr>
                        <m:sty m:val="bi"/>
                      </m:rPr>
                      <w:rPr>
                        <w:rFonts w:ascii="Cambria Math" w:hAnsi="Cambria Math"/>
                      </w:rPr>
                      <m:t>0</m:t>
                    </m:r>
                  </m:sub>
                </m:sSub>
              </m:oMath>
            </m:oMathPara>
          </w:p>
        </w:tc>
        <w:tc>
          <w:tcPr>
            <w:tcW w:w="1134" w:type="dxa"/>
            <w:tcBorders>
              <w:bottom w:val="double" w:sz="4" w:space="0" w:color="auto"/>
            </w:tcBorders>
            <w:noWrap/>
            <w:hideMark/>
          </w:tcPr>
          <w:p w14:paraId="1C37AD6D" w14:textId="77777777" w:rsidR="00964B9F" w:rsidRPr="005C705B" w:rsidRDefault="00964B9F" w:rsidP="00A24340">
            <w:pPr>
              <w:jc w:val="center"/>
              <w:rPr>
                <w:b/>
                <w:bCs/>
                <w:vertAlign w:val="subscript"/>
              </w:rPr>
            </w:pPr>
            <w:r w:rsidRPr="005C705B">
              <w:rPr>
                <w:b/>
                <w:bCs/>
              </w:rPr>
              <w:t>d</w:t>
            </w:r>
            <w:r w:rsidRPr="005C705B">
              <w:rPr>
                <w:b/>
                <w:bCs/>
                <w:vertAlign w:val="subscript"/>
              </w:rPr>
              <w:t>l</w:t>
            </w:r>
          </w:p>
        </w:tc>
        <w:tc>
          <w:tcPr>
            <w:tcW w:w="1276" w:type="dxa"/>
            <w:tcBorders>
              <w:bottom w:val="double" w:sz="4" w:space="0" w:color="auto"/>
            </w:tcBorders>
            <w:noWrap/>
            <w:hideMark/>
          </w:tcPr>
          <w:p w14:paraId="1F04FCD3" w14:textId="77777777" w:rsidR="00964B9F" w:rsidRPr="005C705B" w:rsidRDefault="00964B9F" w:rsidP="00A24340">
            <w:pPr>
              <w:jc w:val="center"/>
              <w:rPr>
                <w:b/>
                <w:bCs/>
                <w:vertAlign w:val="subscript"/>
              </w:rPr>
            </w:pPr>
            <w:r w:rsidRPr="005C705B">
              <w:rPr>
                <w:b/>
                <w:bCs/>
              </w:rPr>
              <w:t>d</w:t>
            </w:r>
            <w:r w:rsidRPr="005C705B">
              <w:rPr>
                <w:b/>
                <w:bCs/>
                <w:vertAlign w:val="subscript"/>
              </w:rPr>
              <w:t>u</w:t>
            </w:r>
          </w:p>
        </w:tc>
      </w:tr>
      <w:tr w:rsidR="00964B9F" w:rsidRPr="001B155B" w14:paraId="2876BB84" w14:textId="77777777" w:rsidTr="00A24340">
        <w:trPr>
          <w:trHeight w:val="304"/>
        </w:trPr>
        <w:tc>
          <w:tcPr>
            <w:tcW w:w="2518" w:type="dxa"/>
            <w:tcBorders>
              <w:top w:val="double" w:sz="4" w:space="0" w:color="auto"/>
            </w:tcBorders>
            <w:noWrap/>
            <w:hideMark/>
          </w:tcPr>
          <w:p w14:paraId="1EF0BFC3" w14:textId="77777777" w:rsidR="00964B9F" w:rsidRPr="005C705B" w:rsidRDefault="00964B9F" w:rsidP="00A24340">
            <w:pPr>
              <w:jc w:val="both"/>
              <w:rPr>
                <w:b/>
                <w:bCs/>
              </w:rPr>
            </w:pPr>
            <w:r w:rsidRPr="005C705B">
              <w:rPr>
                <w:b/>
                <w:bCs/>
              </w:rPr>
              <w:t>City average</w:t>
            </w:r>
          </w:p>
        </w:tc>
        <w:tc>
          <w:tcPr>
            <w:tcW w:w="1276" w:type="dxa"/>
            <w:tcBorders>
              <w:top w:val="double" w:sz="4" w:space="0" w:color="auto"/>
            </w:tcBorders>
            <w:noWrap/>
            <w:hideMark/>
          </w:tcPr>
          <w:p w14:paraId="14F9565D" w14:textId="77777777" w:rsidR="00964B9F" w:rsidRPr="001B155B" w:rsidRDefault="00964B9F" w:rsidP="00A24340">
            <w:pPr>
              <w:jc w:val="center"/>
            </w:pPr>
            <w:r w:rsidRPr="001B155B">
              <w:t>0.151</w:t>
            </w:r>
          </w:p>
        </w:tc>
        <w:tc>
          <w:tcPr>
            <w:tcW w:w="1559" w:type="dxa"/>
            <w:tcBorders>
              <w:top w:val="double" w:sz="4" w:space="0" w:color="auto"/>
            </w:tcBorders>
            <w:noWrap/>
            <w:hideMark/>
          </w:tcPr>
          <w:p w14:paraId="3C72DBF1" w14:textId="77777777" w:rsidR="00964B9F" w:rsidRPr="001B155B" w:rsidRDefault="00964B9F" w:rsidP="00A24340">
            <w:pPr>
              <w:jc w:val="center"/>
            </w:pPr>
            <w:r w:rsidRPr="001B155B">
              <w:t>76.867</w:t>
            </w:r>
          </w:p>
        </w:tc>
        <w:tc>
          <w:tcPr>
            <w:tcW w:w="1134" w:type="dxa"/>
            <w:tcBorders>
              <w:top w:val="double" w:sz="4" w:space="0" w:color="auto"/>
            </w:tcBorders>
            <w:noWrap/>
            <w:hideMark/>
          </w:tcPr>
          <w:p w14:paraId="1D6C8232" w14:textId="77777777" w:rsidR="00964B9F" w:rsidRPr="001B155B" w:rsidRDefault="00964B9F" w:rsidP="00A24340">
            <w:pPr>
              <w:jc w:val="center"/>
            </w:pPr>
            <w:r w:rsidRPr="001B155B">
              <w:t>24</w:t>
            </w:r>
          </w:p>
        </w:tc>
        <w:tc>
          <w:tcPr>
            <w:tcW w:w="1276" w:type="dxa"/>
            <w:tcBorders>
              <w:top w:val="double" w:sz="4" w:space="0" w:color="auto"/>
            </w:tcBorders>
            <w:noWrap/>
            <w:hideMark/>
          </w:tcPr>
          <w:p w14:paraId="66CB833D" w14:textId="77777777" w:rsidR="00964B9F" w:rsidRPr="001B155B" w:rsidRDefault="00964B9F" w:rsidP="00A24340">
            <w:pPr>
              <w:jc w:val="center"/>
            </w:pPr>
            <w:r w:rsidRPr="001B155B">
              <w:t>3059</w:t>
            </w:r>
          </w:p>
        </w:tc>
      </w:tr>
      <w:tr w:rsidR="00964B9F" w:rsidRPr="001B155B" w14:paraId="046DB4D8" w14:textId="77777777" w:rsidTr="00A24340">
        <w:trPr>
          <w:trHeight w:val="304"/>
        </w:trPr>
        <w:tc>
          <w:tcPr>
            <w:tcW w:w="2518" w:type="dxa"/>
            <w:noWrap/>
            <w:hideMark/>
          </w:tcPr>
          <w:p w14:paraId="6E047032" w14:textId="77777777" w:rsidR="00964B9F" w:rsidRPr="001B155B" w:rsidRDefault="00964B9F" w:rsidP="00A24340">
            <w:pPr>
              <w:ind w:left="330"/>
            </w:pPr>
            <w:r w:rsidRPr="001B155B">
              <w:t>Belfast</w:t>
            </w:r>
          </w:p>
        </w:tc>
        <w:tc>
          <w:tcPr>
            <w:tcW w:w="1276" w:type="dxa"/>
            <w:noWrap/>
            <w:hideMark/>
          </w:tcPr>
          <w:p w14:paraId="3B5125AD" w14:textId="77777777" w:rsidR="00964B9F" w:rsidRPr="001B155B" w:rsidRDefault="00964B9F" w:rsidP="00A24340">
            <w:pPr>
              <w:jc w:val="center"/>
            </w:pPr>
            <w:r w:rsidRPr="001B155B">
              <w:t>0.119</w:t>
            </w:r>
          </w:p>
        </w:tc>
        <w:tc>
          <w:tcPr>
            <w:tcW w:w="1559" w:type="dxa"/>
            <w:noWrap/>
            <w:hideMark/>
          </w:tcPr>
          <w:p w14:paraId="331F2CE6" w14:textId="77777777" w:rsidR="00964B9F" w:rsidRPr="001B155B" w:rsidRDefault="00964B9F" w:rsidP="00A24340">
            <w:pPr>
              <w:jc w:val="center"/>
            </w:pPr>
            <w:r w:rsidRPr="001B155B">
              <w:t>24.859</w:t>
            </w:r>
          </w:p>
        </w:tc>
        <w:tc>
          <w:tcPr>
            <w:tcW w:w="1134" w:type="dxa"/>
            <w:noWrap/>
            <w:hideMark/>
          </w:tcPr>
          <w:p w14:paraId="4E0A3F3B" w14:textId="77777777" w:rsidR="00964B9F" w:rsidRPr="001B155B" w:rsidRDefault="00964B9F" w:rsidP="00A24340">
            <w:pPr>
              <w:jc w:val="center"/>
            </w:pPr>
            <w:r w:rsidRPr="001B155B">
              <w:t>22</w:t>
            </w:r>
          </w:p>
        </w:tc>
        <w:tc>
          <w:tcPr>
            <w:tcW w:w="1276" w:type="dxa"/>
            <w:noWrap/>
            <w:hideMark/>
          </w:tcPr>
          <w:p w14:paraId="7A28A5CD" w14:textId="77777777" w:rsidR="00964B9F" w:rsidRPr="001B155B" w:rsidRDefault="00964B9F" w:rsidP="00A24340">
            <w:pPr>
              <w:jc w:val="center"/>
            </w:pPr>
            <w:r w:rsidRPr="001B155B">
              <w:t>3644</w:t>
            </w:r>
          </w:p>
        </w:tc>
      </w:tr>
      <w:tr w:rsidR="00964B9F" w:rsidRPr="001B155B" w14:paraId="4F3BEB65" w14:textId="77777777" w:rsidTr="00A24340">
        <w:trPr>
          <w:trHeight w:val="304"/>
        </w:trPr>
        <w:tc>
          <w:tcPr>
            <w:tcW w:w="2518" w:type="dxa"/>
            <w:noWrap/>
            <w:hideMark/>
          </w:tcPr>
          <w:p w14:paraId="7FBF703F" w14:textId="77777777" w:rsidR="00964B9F" w:rsidRPr="001B155B" w:rsidRDefault="00964B9F" w:rsidP="00A24340">
            <w:pPr>
              <w:ind w:left="330"/>
            </w:pPr>
            <w:r w:rsidRPr="001B155B">
              <w:t>Birmingham</w:t>
            </w:r>
          </w:p>
        </w:tc>
        <w:tc>
          <w:tcPr>
            <w:tcW w:w="1276" w:type="dxa"/>
            <w:noWrap/>
            <w:hideMark/>
          </w:tcPr>
          <w:p w14:paraId="6E42206A" w14:textId="77777777" w:rsidR="00964B9F" w:rsidRPr="001B155B" w:rsidRDefault="00964B9F" w:rsidP="00A24340">
            <w:pPr>
              <w:jc w:val="center"/>
            </w:pPr>
            <w:r w:rsidRPr="001B155B">
              <w:t>0.144</w:t>
            </w:r>
          </w:p>
        </w:tc>
        <w:tc>
          <w:tcPr>
            <w:tcW w:w="1559" w:type="dxa"/>
            <w:noWrap/>
            <w:hideMark/>
          </w:tcPr>
          <w:p w14:paraId="79E26257" w14:textId="77777777" w:rsidR="00964B9F" w:rsidRPr="001B155B" w:rsidRDefault="00964B9F" w:rsidP="00A24340">
            <w:pPr>
              <w:jc w:val="center"/>
            </w:pPr>
            <w:r w:rsidRPr="001B155B">
              <w:t>58.442</w:t>
            </w:r>
          </w:p>
        </w:tc>
        <w:tc>
          <w:tcPr>
            <w:tcW w:w="1134" w:type="dxa"/>
            <w:noWrap/>
            <w:hideMark/>
          </w:tcPr>
          <w:p w14:paraId="7CE389BB" w14:textId="77777777" w:rsidR="00964B9F" w:rsidRPr="001B155B" w:rsidRDefault="00964B9F" w:rsidP="00A24340">
            <w:pPr>
              <w:jc w:val="center"/>
            </w:pPr>
            <w:r w:rsidRPr="001B155B">
              <w:t>30</w:t>
            </w:r>
          </w:p>
        </w:tc>
        <w:tc>
          <w:tcPr>
            <w:tcW w:w="1276" w:type="dxa"/>
            <w:noWrap/>
            <w:hideMark/>
          </w:tcPr>
          <w:p w14:paraId="4027BAF4" w14:textId="77777777" w:rsidR="00964B9F" w:rsidRPr="001B155B" w:rsidRDefault="00964B9F" w:rsidP="00A24340">
            <w:pPr>
              <w:jc w:val="center"/>
            </w:pPr>
            <w:r w:rsidRPr="001B155B">
              <w:t>2497</w:t>
            </w:r>
          </w:p>
        </w:tc>
      </w:tr>
      <w:tr w:rsidR="00964B9F" w:rsidRPr="001B155B" w14:paraId="373E7D0B" w14:textId="77777777" w:rsidTr="00A24340">
        <w:trPr>
          <w:trHeight w:val="304"/>
        </w:trPr>
        <w:tc>
          <w:tcPr>
            <w:tcW w:w="2518" w:type="dxa"/>
            <w:noWrap/>
            <w:hideMark/>
          </w:tcPr>
          <w:p w14:paraId="48C269D7" w14:textId="77777777" w:rsidR="00964B9F" w:rsidRPr="001B155B" w:rsidRDefault="00964B9F" w:rsidP="00A24340">
            <w:pPr>
              <w:ind w:left="330"/>
            </w:pPr>
            <w:r w:rsidRPr="001B155B">
              <w:t>Cardiff</w:t>
            </w:r>
          </w:p>
        </w:tc>
        <w:tc>
          <w:tcPr>
            <w:tcW w:w="1276" w:type="dxa"/>
            <w:noWrap/>
            <w:hideMark/>
          </w:tcPr>
          <w:p w14:paraId="65634960" w14:textId="77777777" w:rsidR="00964B9F" w:rsidRPr="001B155B" w:rsidRDefault="00964B9F" w:rsidP="00A24340">
            <w:pPr>
              <w:jc w:val="center"/>
            </w:pPr>
            <w:r w:rsidRPr="001B155B">
              <w:t>0.184</w:t>
            </w:r>
          </w:p>
        </w:tc>
        <w:tc>
          <w:tcPr>
            <w:tcW w:w="1559" w:type="dxa"/>
            <w:noWrap/>
            <w:hideMark/>
          </w:tcPr>
          <w:p w14:paraId="2D02D3C6" w14:textId="77777777" w:rsidR="00964B9F" w:rsidRPr="001B155B" w:rsidRDefault="00964B9F" w:rsidP="00A24340">
            <w:pPr>
              <w:jc w:val="center"/>
            </w:pPr>
            <w:r w:rsidRPr="001B155B">
              <w:t>360.214</w:t>
            </w:r>
          </w:p>
        </w:tc>
        <w:tc>
          <w:tcPr>
            <w:tcW w:w="1134" w:type="dxa"/>
            <w:noWrap/>
            <w:hideMark/>
          </w:tcPr>
          <w:p w14:paraId="60831BFC" w14:textId="77777777" w:rsidR="00964B9F" w:rsidRPr="001B155B" w:rsidRDefault="00964B9F" w:rsidP="00A24340">
            <w:pPr>
              <w:jc w:val="center"/>
            </w:pPr>
            <w:r w:rsidRPr="001B155B">
              <w:t>13</w:t>
            </w:r>
          </w:p>
        </w:tc>
        <w:tc>
          <w:tcPr>
            <w:tcW w:w="1276" w:type="dxa"/>
            <w:noWrap/>
            <w:hideMark/>
          </w:tcPr>
          <w:p w14:paraId="20D57036" w14:textId="77777777" w:rsidR="00964B9F" w:rsidRPr="001B155B" w:rsidRDefault="00964B9F" w:rsidP="00A24340">
            <w:pPr>
              <w:jc w:val="center"/>
            </w:pPr>
            <w:r w:rsidRPr="001B155B">
              <w:t>2671</w:t>
            </w:r>
          </w:p>
        </w:tc>
      </w:tr>
      <w:tr w:rsidR="00964B9F" w:rsidRPr="001B155B" w14:paraId="6BD061CE" w14:textId="77777777" w:rsidTr="00A24340">
        <w:trPr>
          <w:trHeight w:val="304"/>
        </w:trPr>
        <w:tc>
          <w:tcPr>
            <w:tcW w:w="2518" w:type="dxa"/>
            <w:noWrap/>
            <w:hideMark/>
          </w:tcPr>
          <w:p w14:paraId="734FD606" w14:textId="77777777" w:rsidR="00964B9F" w:rsidRPr="001B155B" w:rsidRDefault="00964B9F" w:rsidP="00A24340">
            <w:pPr>
              <w:ind w:left="330"/>
            </w:pPr>
            <w:r w:rsidRPr="001B155B">
              <w:t>Glasgow</w:t>
            </w:r>
          </w:p>
        </w:tc>
        <w:tc>
          <w:tcPr>
            <w:tcW w:w="1276" w:type="dxa"/>
            <w:noWrap/>
            <w:hideMark/>
          </w:tcPr>
          <w:p w14:paraId="58D2ABE0" w14:textId="77777777" w:rsidR="00964B9F" w:rsidRPr="001B155B" w:rsidRDefault="00964B9F" w:rsidP="00A24340">
            <w:pPr>
              <w:jc w:val="center"/>
            </w:pPr>
            <w:r w:rsidRPr="001B155B">
              <w:t>0.166</w:t>
            </w:r>
          </w:p>
        </w:tc>
        <w:tc>
          <w:tcPr>
            <w:tcW w:w="1559" w:type="dxa"/>
            <w:noWrap/>
            <w:hideMark/>
          </w:tcPr>
          <w:p w14:paraId="2518886B" w14:textId="77777777" w:rsidR="00964B9F" w:rsidRPr="001B155B" w:rsidRDefault="00964B9F" w:rsidP="00A24340">
            <w:pPr>
              <w:jc w:val="center"/>
            </w:pPr>
            <w:r w:rsidRPr="001B155B">
              <w:t>74.119</w:t>
            </w:r>
          </w:p>
        </w:tc>
        <w:tc>
          <w:tcPr>
            <w:tcW w:w="1134" w:type="dxa"/>
            <w:noWrap/>
            <w:hideMark/>
          </w:tcPr>
          <w:p w14:paraId="393634C2" w14:textId="77777777" w:rsidR="00964B9F" w:rsidRPr="001B155B" w:rsidRDefault="00964B9F" w:rsidP="00A24340">
            <w:pPr>
              <w:jc w:val="center"/>
            </w:pPr>
            <w:r w:rsidRPr="001B155B">
              <w:t>33</w:t>
            </w:r>
          </w:p>
        </w:tc>
        <w:tc>
          <w:tcPr>
            <w:tcW w:w="1276" w:type="dxa"/>
            <w:noWrap/>
            <w:hideMark/>
          </w:tcPr>
          <w:p w14:paraId="6F92BFAE" w14:textId="77777777" w:rsidR="00964B9F" w:rsidRPr="001B155B" w:rsidRDefault="00964B9F" w:rsidP="00A24340">
            <w:pPr>
              <w:jc w:val="center"/>
            </w:pPr>
            <w:r w:rsidRPr="001B155B">
              <w:t>1812</w:t>
            </w:r>
          </w:p>
        </w:tc>
      </w:tr>
      <w:tr w:rsidR="00964B9F" w:rsidRPr="001B155B" w14:paraId="5FCD257D" w14:textId="77777777" w:rsidTr="00A24340">
        <w:trPr>
          <w:trHeight w:val="304"/>
        </w:trPr>
        <w:tc>
          <w:tcPr>
            <w:tcW w:w="2518" w:type="dxa"/>
            <w:noWrap/>
            <w:hideMark/>
          </w:tcPr>
          <w:p w14:paraId="344515BF" w14:textId="77777777" w:rsidR="00964B9F" w:rsidRPr="001B155B" w:rsidRDefault="00964B9F" w:rsidP="00A24340">
            <w:pPr>
              <w:ind w:left="330"/>
            </w:pPr>
            <w:r w:rsidRPr="001B155B">
              <w:t>Liverpool</w:t>
            </w:r>
          </w:p>
        </w:tc>
        <w:tc>
          <w:tcPr>
            <w:tcW w:w="1276" w:type="dxa"/>
            <w:noWrap/>
            <w:hideMark/>
          </w:tcPr>
          <w:p w14:paraId="5960083E" w14:textId="77777777" w:rsidR="00964B9F" w:rsidRPr="001B155B" w:rsidRDefault="00964B9F" w:rsidP="00A24340">
            <w:pPr>
              <w:jc w:val="center"/>
            </w:pPr>
            <w:r w:rsidRPr="001B155B">
              <w:t>0.166</w:t>
            </w:r>
          </w:p>
        </w:tc>
        <w:tc>
          <w:tcPr>
            <w:tcW w:w="1559" w:type="dxa"/>
            <w:noWrap/>
            <w:hideMark/>
          </w:tcPr>
          <w:p w14:paraId="542913C8" w14:textId="77777777" w:rsidR="00964B9F" w:rsidRPr="001B155B" w:rsidRDefault="00964B9F" w:rsidP="00A24340">
            <w:pPr>
              <w:jc w:val="center"/>
            </w:pPr>
            <w:r w:rsidRPr="001B155B">
              <w:t>126.778</w:t>
            </w:r>
          </w:p>
        </w:tc>
        <w:tc>
          <w:tcPr>
            <w:tcW w:w="1134" w:type="dxa"/>
            <w:noWrap/>
            <w:hideMark/>
          </w:tcPr>
          <w:p w14:paraId="46E8B0A7" w14:textId="77777777" w:rsidR="00964B9F" w:rsidRPr="001B155B" w:rsidRDefault="00964B9F" w:rsidP="00A24340">
            <w:pPr>
              <w:jc w:val="center"/>
            </w:pPr>
            <w:r w:rsidRPr="001B155B">
              <w:t>23</w:t>
            </w:r>
          </w:p>
        </w:tc>
        <w:tc>
          <w:tcPr>
            <w:tcW w:w="1276" w:type="dxa"/>
            <w:noWrap/>
            <w:hideMark/>
          </w:tcPr>
          <w:p w14:paraId="67CDDE11" w14:textId="77777777" w:rsidR="00964B9F" w:rsidRPr="001B155B" w:rsidRDefault="00964B9F" w:rsidP="00A24340">
            <w:pPr>
              <w:jc w:val="center"/>
            </w:pPr>
            <w:r w:rsidRPr="001B155B">
              <w:t>1775</w:t>
            </w:r>
          </w:p>
        </w:tc>
      </w:tr>
      <w:tr w:rsidR="00964B9F" w:rsidRPr="001B155B" w14:paraId="063FA928" w14:textId="77777777" w:rsidTr="00A24340">
        <w:trPr>
          <w:trHeight w:val="304"/>
        </w:trPr>
        <w:tc>
          <w:tcPr>
            <w:tcW w:w="2518" w:type="dxa"/>
            <w:noWrap/>
            <w:hideMark/>
          </w:tcPr>
          <w:p w14:paraId="5C241B27" w14:textId="77777777" w:rsidR="00964B9F" w:rsidRPr="001B155B" w:rsidRDefault="00964B9F" w:rsidP="00A24340">
            <w:pPr>
              <w:ind w:left="330"/>
            </w:pPr>
            <w:r w:rsidRPr="001B155B">
              <w:t>London</w:t>
            </w:r>
          </w:p>
        </w:tc>
        <w:tc>
          <w:tcPr>
            <w:tcW w:w="1276" w:type="dxa"/>
            <w:noWrap/>
            <w:hideMark/>
          </w:tcPr>
          <w:p w14:paraId="703292D6" w14:textId="77777777" w:rsidR="00964B9F" w:rsidRPr="001B155B" w:rsidRDefault="00964B9F" w:rsidP="00A24340">
            <w:pPr>
              <w:jc w:val="center"/>
            </w:pPr>
            <w:r w:rsidRPr="001B155B">
              <w:t>0.11</w:t>
            </w:r>
          </w:p>
        </w:tc>
        <w:tc>
          <w:tcPr>
            <w:tcW w:w="1559" w:type="dxa"/>
            <w:noWrap/>
            <w:hideMark/>
          </w:tcPr>
          <w:p w14:paraId="5F381C9E" w14:textId="77777777" w:rsidR="00964B9F" w:rsidRPr="001B155B" w:rsidRDefault="00964B9F" w:rsidP="00A24340">
            <w:pPr>
              <w:jc w:val="center"/>
            </w:pPr>
            <w:r w:rsidRPr="001B155B">
              <w:t>26.352</w:t>
            </w:r>
          </w:p>
        </w:tc>
        <w:tc>
          <w:tcPr>
            <w:tcW w:w="1134" w:type="dxa"/>
            <w:noWrap/>
            <w:hideMark/>
          </w:tcPr>
          <w:p w14:paraId="06AEC36D" w14:textId="77777777" w:rsidR="00964B9F" w:rsidRPr="001B155B" w:rsidRDefault="00964B9F" w:rsidP="00A24340">
            <w:pPr>
              <w:jc w:val="center"/>
            </w:pPr>
            <w:r w:rsidRPr="001B155B">
              <w:t>23</w:t>
            </w:r>
          </w:p>
        </w:tc>
        <w:tc>
          <w:tcPr>
            <w:tcW w:w="1276" w:type="dxa"/>
            <w:noWrap/>
            <w:hideMark/>
          </w:tcPr>
          <w:p w14:paraId="798BE0E5" w14:textId="77777777" w:rsidR="00964B9F" w:rsidRPr="001B155B" w:rsidRDefault="00964B9F" w:rsidP="00A24340">
            <w:pPr>
              <w:jc w:val="center"/>
            </w:pPr>
            <w:r w:rsidRPr="001B155B">
              <w:t>4458</w:t>
            </w:r>
          </w:p>
        </w:tc>
      </w:tr>
      <w:tr w:rsidR="00964B9F" w:rsidRPr="001B155B" w14:paraId="13221D07" w14:textId="77777777" w:rsidTr="00A24340">
        <w:trPr>
          <w:trHeight w:val="304"/>
        </w:trPr>
        <w:tc>
          <w:tcPr>
            <w:tcW w:w="2518" w:type="dxa"/>
            <w:noWrap/>
            <w:hideMark/>
          </w:tcPr>
          <w:p w14:paraId="53490FAA" w14:textId="77777777" w:rsidR="00964B9F" w:rsidRPr="001B155B" w:rsidRDefault="00964B9F" w:rsidP="00A24340">
            <w:pPr>
              <w:ind w:left="330"/>
            </w:pPr>
            <w:r w:rsidRPr="001B155B">
              <w:t>Manchester</w:t>
            </w:r>
          </w:p>
        </w:tc>
        <w:tc>
          <w:tcPr>
            <w:tcW w:w="1276" w:type="dxa"/>
            <w:noWrap/>
            <w:hideMark/>
          </w:tcPr>
          <w:p w14:paraId="34EAC613" w14:textId="77777777" w:rsidR="00964B9F" w:rsidRPr="001B155B" w:rsidRDefault="00964B9F" w:rsidP="00A24340">
            <w:pPr>
              <w:jc w:val="center"/>
            </w:pPr>
            <w:r w:rsidRPr="001B155B">
              <w:t>0.18</w:t>
            </w:r>
          </w:p>
        </w:tc>
        <w:tc>
          <w:tcPr>
            <w:tcW w:w="1559" w:type="dxa"/>
            <w:noWrap/>
            <w:hideMark/>
          </w:tcPr>
          <w:p w14:paraId="2DBD8E29" w14:textId="77777777" w:rsidR="00964B9F" w:rsidRPr="001B155B" w:rsidRDefault="00964B9F" w:rsidP="00A24340">
            <w:pPr>
              <w:jc w:val="center"/>
            </w:pPr>
            <w:r w:rsidRPr="001B155B">
              <w:t>208.861</w:t>
            </w:r>
          </w:p>
        </w:tc>
        <w:tc>
          <w:tcPr>
            <w:tcW w:w="1134" w:type="dxa"/>
            <w:noWrap/>
            <w:hideMark/>
          </w:tcPr>
          <w:p w14:paraId="5C038AC4" w14:textId="77777777" w:rsidR="00964B9F" w:rsidRPr="001B155B" w:rsidRDefault="00964B9F" w:rsidP="00A24340">
            <w:pPr>
              <w:jc w:val="center"/>
            </w:pPr>
            <w:r w:rsidRPr="001B155B">
              <w:t>23</w:t>
            </w:r>
          </w:p>
        </w:tc>
        <w:tc>
          <w:tcPr>
            <w:tcW w:w="1276" w:type="dxa"/>
            <w:noWrap/>
            <w:hideMark/>
          </w:tcPr>
          <w:p w14:paraId="0EEF732C" w14:textId="77777777" w:rsidR="00964B9F" w:rsidRPr="001B155B" w:rsidRDefault="00964B9F" w:rsidP="00A24340">
            <w:pPr>
              <w:jc w:val="center"/>
            </w:pPr>
            <w:r w:rsidRPr="001B155B">
              <w:t>3067</w:t>
            </w:r>
          </w:p>
        </w:tc>
      </w:tr>
      <w:tr w:rsidR="00964B9F" w:rsidRPr="001B155B" w14:paraId="22E28B8D" w14:textId="77777777" w:rsidTr="00A24340">
        <w:trPr>
          <w:trHeight w:val="304"/>
        </w:trPr>
        <w:tc>
          <w:tcPr>
            <w:tcW w:w="2518" w:type="dxa"/>
            <w:noWrap/>
            <w:hideMark/>
          </w:tcPr>
          <w:p w14:paraId="1EC0584E" w14:textId="77777777" w:rsidR="00964B9F" w:rsidRPr="001B155B" w:rsidRDefault="00964B9F" w:rsidP="00A24340">
            <w:pPr>
              <w:ind w:left="330"/>
            </w:pPr>
            <w:r w:rsidRPr="001B155B">
              <w:t>Sheffield</w:t>
            </w:r>
          </w:p>
        </w:tc>
        <w:tc>
          <w:tcPr>
            <w:tcW w:w="1276" w:type="dxa"/>
            <w:noWrap/>
            <w:hideMark/>
          </w:tcPr>
          <w:p w14:paraId="54087C1B" w14:textId="77777777" w:rsidR="00964B9F" w:rsidRPr="001B155B" w:rsidRDefault="00964B9F" w:rsidP="00A24340">
            <w:pPr>
              <w:jc w:val="center"/>
            </w:pPr>
            <w:r w:rsidRPr="001B155B">
              <w:t>0.169</w:t>
            </w:r>
          </w:p>
        </w:tc>
        <w:tc>
          <w:tcPr>
            <w:tcW w:w="1559" w:type="dxa"/>
            <w:noWrap/>
            <w:hideMark/>
          </w:tcPr>
          <w:p w14:paraId="648DF47E" w14:textId="77777777" w:rsidR="00964B9F" w:rsidRPr="001B155B" w:rsidRDefault="00964B9F" w:rsidP="00A24340">
            <w:pPr>
              <w:jc w:val="center"/>
            </w:pPr>
            <w:r w:rsidRPr="001B155B">
              <w:t>202.69</w:t>
            </w:r>
          </w:p>
        </w:tc>
        <w:tc>
          <w:tcPr>
            <w:tcW w:w="1134" w:type="dxa"/>
            <w:noWrap/>
            <w:hideMark/>
          </w:tcPr>
          <w:p w14:paraId="34E97A10" w14:textId="77777777" w:rsidR="00964B9F" w:rsidRPr="001B155B" w:rsidRDefault="00964B9F" w:rsidP="00A24340">
            <w:pPr>
              <w:jc w:val="center"/>
            </w:pPr>
            <w:r w:rsidRPr="001B155B">
              <w:t>12</w:t>
            </w:r>
          </w:p>
        </w:tc>
        <w:tc>
          <w:tcPr>
            <w:tcW w:w="1276" w:type="dxa"/>
            <w:noWrap/>
            <w:hideMark/>
          </w:tcPr>
          <w:p w14:paraId="7BFC8E0D" w14:textId="77777777" w:rsidR="00964B9F" w:rsidRPr="001B155B" w:rsidRDefault="00964B9F" w:rsidP="00A24340">
            <w:pPr>
              <w:jc w:val="center"/>
            </w:pPr>
            <w:r w:rsidRPr="001B155B">
              <w:t>4550</w:t>
            </w:r>
          </w:p>
        </w:tc>
      </w:tr>
      <w:tr w:rsidR="00964B9F" w:rsidRPr="001B155B" w14:paraId="06F6C2B0" w14:textId="77777777" w:rsidTr="00A24340">
        <w:trPr>
          <w:trHeight w:val="304"/>
        </w:trPr>
        <w:tc>
          <w:tcPr>
            <w:tcW w:w="2518" w:type="dxa"/>
            <w:noWrap/>
            <w:hideMark/>
          </w:tcPr>
          <w:p w14:paraId="68105964" w14:textId="77777777" w:rsidR="00964B9F" w:rsidRPr="005C705B" w:rsidRDefault="00964B9F" w:rsidP="00A24340">
            <w:pPr>
              <w:jc w:val="both"/>
              <w:rPr>
                <w:b/>
                <w:bCs/>
              </w:rPr>
            </w:pPr>
            <w:r w:rsidRPr="005C705B">
              <w:rPr>
                <w:b/>
                <w:bCs/>
              </w:rPr>
              <w:t>US</w:t>
            </w:r>
          </w:p>
        </w:tc>
        <w:tc>
          <w:tcPr>
            <w:tcW w:w="1276" w:type="dxa"/>
            <w:noWrap/>
            <w:hideMark/>
          </w:tcPr>
          <w:p w14:paraId="564241DF" w14:textId="77777777" w:rsidR="00964B9F" w:rsidRPr="001B155B" w:rsidRDefault="00964B9F" w:rsidP="00A24340">
            <w:pPr>
              <w:jc w:val="center"/>
            </w:pPr>
            <w:r w:rsidRPr="001B155B">
              <w:t>0.278</w:t>
            </w:r>
          </w:p>
        </w:tc>
        <w:tc>
          <w:tcPr>
            <w:tcW w:w="1559" w:type="dxa"/>
            <w:noWrap/>
            <w:hideMark/>
          </w:tcPr>
          <w:p w14:paraId="46E5DB1B" w14:textId="77777777" w:rsidR="00964B9F" w:rsidRPr="001B155B" w:rsidRDefault="00964B9F" w:rsidP="00A24340">
            <w:pPr>
              <w:jc w:val="center"/>
            </w:pPr>
            <w:r w:rsidRPr="001B155B">
              <w:t>802.709</w:t>
            </w:r>
          </w:p>
        </w:tc>
        <w:tc>
          <w:tcPr>
            <w:tcW w:w="1134" w:type="dxa"/>
            <w:noWrap/>
            <w:hideMark/>
          </w:tcPr>
          <w:p w14:paraId="7B138581" w14:textId="77777777" w:rsidR="00964B9F" w:rsidRPr="001B155B" w:rsidRDefault="00964B9F" w:rsidP="00A24340">
            <w:pPr>
              <w:jc w:val="center"/>
            </w:pPr>
            <w:r w:rsidRPr="001B155B">
              <w:t>31</w:t>
            </w:r>
          </w:p>
        </w:tc>
        <w:tc>
          <w:tcPr>
            <w:tcW w:w="1276" w:type="dxa"/>
            <w:noWrap/>
            <w:hideMark/>
          </w:tcPr>
          <w:p w14:paraId="36F598E1" w14:textId="77777777" w:rsidR="00964B9F" w:rsidRPr="001B155B" w:rsidRDefault="00964B9F" w:rsidP="00A24340">
            <w:pPr>
              <w:jc w:val="center"/>
            </w:pPr>
            <w:r w:rsidRPr="001B155B">
              <w:t>3018</w:t>
            </w:r>
          </w:p>
        </w:tc>
      </w:tr>
      <w:tr w:rsidR="00964B9F" w:rsidRPr="001B155B" w14:paraId="4C23E97D" w14:textId="77777777" w:rsidTr="00A24340">
        <w:trPr>
          <w:trHeight w:val="304"/>
        </w:trPr>
        <w:tc>
          <w:tcPr>
            <w:tcW w:w="2518" w:type="dxa"/>
            <w:noWrap/>
            <w:hideMark/>
          </w:tcPr>
          <w:p w14:paraId="43979056" w14:textId="77777777" w:rsidR="00964B9F" w:rsidRPr="005C705B" w:rsidRDefault="00964B9F" w:rsidP="00A24340">
            <w:pPr>
              <w:jc w:val="both"/>
              <w:rPr>
                <w:b/>
                <w:bCs/>
              </w:rPr>
            </w:pPr>
            <w:r w:rsidRPr="005C705B">
              <w:rPr>
                <w:b/>
                <w:bCs/>
              </w:rPr>
              <w:t>England &amp; Wales</w:t>
            </w:r>
          </w:p>
        </w:tc>
        <w:tc>
          <w:tcPr>
            <w:tcW w:w="1276" w:type="dxa"/>
            <w:noWrap/>
            <w:hideMark/>
          </w:tcPr>
          <w:p w14:paraId="28890823" w14:textId="77777777" w:rsidR="00964B9F" w:rsidRPr="001B155B" w:rsidRDefault="00964B9F" w:rsidP="00A24340">
            <w:pPr>
              <w:jc w:val="center"/>
            </w:pPr>
            <w:r w:rsidRPr="001B155B">
              <w:t>0.111</w:t>
            </w:r>
          </w:p>
        </w:tc>
        <w:tc>
          <w:tcPr>
            <w:tcW w:w="1559" w:type="dxa"/>
            <w:noWrap/>
            <w:hideMark/>
          </w:tcPr>
          <w:p w14:paraId="2C09F8D6" w14:textId="77777777" w:rsidR="00964B9F" w:rsidRPr="001B155B" w:rsidRDefault="00964B9F" w:rsidP="00A24340">
            <w:pPr>
              <w:jc w:val="center"/>
            </w:pPr>
            <w:r w:rsidRPr="001B155B">
              <w:t>7.684</w:t>
            </w:r>
          </w:p>
        </w:tc>
        <w:tc>
          <w:tcPr>
            <w:tcW w:w="1134" w:type="dxa"/>
            <w:noWrap/>
            <w:hideMark/>
          </w:tcPr>
          <w:p w14:paraId="159C0695" w14:textId="77777777" w:rsidR="00964B9F" w:rsidRPr="001B155B" w:rsidRDefault="00964B9F" w:rsidP="00A24340">
            <w:pPr>
              <w:jc w:val="center"/>
            </w:pPr>
            <w:r w:rsidRPr="001B155B">
              <w:t>113</w:t>
            </w:r>
          </w:p>
        </w:tc>
        <w:tc>
          <w:tcPr>
            <w:tcW w:w="1276" w:type="dxa"/>
            <w:noWrap/>
            <w:hideMark/>
          </w:tcPr>
          <w:p w14:paraId="1DB537A1" w14:textId="77777777" w:rsidR="00964B9F" w:rsidRPr="001B155B" w:rsidRDefault="00964B9F" w:rsidP="00A24340">
            <w:pPr>
              <w:jc w:val="center"/>
            </w:pPr>
            <w:r w:rsidRPr="001B155B">
              <w:t>574</w:t>
            </w:r>
          </w:p>
        </w:tc>
      </w:tr>
    </w:tbl>
    <w:p w14:paraId="18C13DA0" w14:textId="77777777" w:rsidR="00964B9F" w:rsidRDefault="00964B9F" w:rsidP="00964B9F">
      <w:pPr>
        <w:pStyle w:val="FootnoteText"/>
      </w:pPr>
    </w:p>
    <w:p w14:paraId="4865D51A" w14:textId="77777777" w:rsidR="00964B9F" w:rsidRPr="001B155B" w:rsidRDefault="00964B9F" w:rsidP="00964B9F">
      <w:pPr>
        <w:pStyle w:val="FootnoteText"/>
      </w:pPr>
    </w:p>
    <w:p w14:paraId="05AD2635" w14:textId="77777777" w:rsidR="00964B9F" w:rsidRPr="001B155B" w:rsidRDefault="00964B9F" w:rsidP="00964B9F">
      <w:pPr>
        <w:pStyle w:val="FootnoteText"/>
      </w:pPr>
      <w:r w:rsidRPr="001B155B">
        <w:t xml:space="preserve">The model in (1) – (2) allows mortality risk to vary with time step </w:t>
      </w:r>
      <m:oMath>
        <m:r>
          <w:rPr>
            <w:rFonts w:ascii="Cambria Math" w:hAnsi="Cambria Math"/>
          </w:rPr>
          <m:t>t</m:t>
        </m:r>
      </m:oMath>
      <w:r w:rsidRPr="001B155B">
        <w:t xml:space="preserve"> after the main pandemic waves, as it</w:t>
      </w:r>
      <w:r>
        <w:t xml:space="preserve"> </w:t>
      </w:r>
      <w:r w:rsidRPr="001B155B">
        <w:t>declin</w:t>
      </w:r>
      <w:r>
        <w:t>es</w:t>
      </w:r>
      <w:r w:rsidRPr="001B155B">
        <w:t xml:space="preserve"> towards </w:t>
      </w:r>
      <w:r>
        <w:t>background mortality</w:t>
      </w:r>
      <w:r w:rsidRPr="001B155B">
        <w:t>. The mode</w:t>
      </w:r>
      <w:r>
        <w:t>l</w:t>
      </w:r>
      <w:r w:rsidRPr="001B155B">
        <w:t>ling is motivated by the empirical observations d</w:t>
      </w:r>
      <w:r>
        <w:t>iscussed</w:t>
      </w:r>
      <w:r w:rsidRPr="001B155B">
        <w:t xml:space="preserve"> </w:t>
      </w:r>
      <w:r>
        <w:t>under</w:t>
      </w:r>
      <w:r w:rsidRPr="001B155B">
        <w:t xml:space="preserve"> Figure 1: the period after the pandemic has higher variation in mortality, and thus a higher mortality risk, than </w:t>
      </w:r>
      <w:r>
        <w:t xml:space="preserve">background mortality (i.e. during </w:t>
      </w:r>
      <w:r w:rsidRPr="001B155B">
        <w:t>the period before the pandemic and the period a few decades after the pandemic</w:t>
      </w:r>
      <w:r>
        <w:t>)</w:t>
      </w:r>
      <w:r w:rsidRPr="001B155B">
        <w:t>. These observations imply that mortality risk just after the main pandemic waves should start from a higher level</w:t>
      </w:r>
      <w:r>
        <w:t>, converging to background mortality</w:t>
      </w:r>
      <w:r w:rsidRPr="001B155B">
        <w:t xml:space="preserve">. Under the assumption that risk is decreasing over time, the model in (1) – (2) describes the level and rate of decline as a function of the parameters </w:t>
      </w:r>
      <m:oMath>
        <m:sSub>
          <m:sSubPr>
            <m:ctrlPr>
              <w:rPr>
                <w:rFonts w:ascii="Cambria Math" w:hAnsi="Cambria Math"/>
                <w:i/>
              </w:rPr>
            </m:ctrlPr>
          </m:sSubPr>
          <m:e>
            <m:r>
              <w:rPr>
                <w:rFonts w:ascii="Cambria Math" w:hAnsi="Cambria Math"/>
              </w:rPr>
              <m:t>η</m:t>
            </m:r>
          </m:e>
          <m:sub>
            <m:r>
              <w:rPr>
                <w:rFonts w:ascii="Cambria Math" w:hAnsi="Cambria Math"/>
              </w:rPr>
              <m:t>0</m:t>
            </m:r>
          </m:sub>
        </m:sSub>
      </m:oMath>
      <w:r w:rsidRPr="001B155B">
        <w:t xml:space="preserve"> and </w:t>
      </w:r>
      <m:oMath>
        <m:r>
          <w:rPr>
            <w:rFonts w:ascii="Cambria Math" w:hAnsi="Cambria Math"/>
          </w:rPr>
          <m:t>λ</m:t>
        </m:r>
      </m:oMath>
      <w:r w:rsidRPr="001B155B">
        <w:t xml:space="preserve">, which determine the sequence </w:t>
      </w:r>
      <m:oMath>
        <m:sSubSup>
          <m:sSubSupPr>
            <m:ctrlPr>
              <w:rPr>
                <w:rFonts w:ascii="Cambria Math" w:hAnsi="Cambria Math"/>
                <w:i/>
              </w:rPr>
            </m:ctrlPr>
          </m:sSubSupPr>
          <m:e>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t</m:t>
                    </m:r>
                  </m:sub>
                </m:sSub>
              </m:e>
            </m:d>
          </m:e>
          <m:sub>
            <m:r>
              <w:rPr>
                <w:rFonts w:ascii="Cambria Math" w:hAnsi="Cambria Math"/>
              </w:rPr>
              <m:t>t=0</m:t>
            </m:r>
          </m:sub>
          <m:sup>
            <m:r>
              <w:rPr>
                <w:rFonts w:ascii="Cambria Math" w:hAnsi="Cambria Math"/>
              </w:rPr>
              <m:t>N</m:t>
            </m:r>
          </m:sup>
        </m:sSubSup>
      </m:oMath>
      <w:r w:rsidRPr="001B155B">
        <w:t xml:space="preserve">. Although the model constrains the inverse of the tail index to decay exponentially, it does not impose such a restriction on </w:t>
      </w:r>
      <w:r w:rsidRPr="00DC3DD5">
        <w:rPr>
          <w:i/>
          <w:iCs/>
        </w:rPr>
        <w:t>probabilities</w:t>
      </w:r>
      <w:r w:rsidRPr="001B155B">
        <w:t xml:space="preserve"> associated with the tails. As determined by (1), the probabilities of different mortality rates are a monotonic function of the tail index and thus decrease over time. However, the inverse of a convex function does not have a predetermined convexity. Hence, </w:t>
      </w:r>
      <m:oMath>
        <m:r>
          <w:rPr>
            <w:rFonts w:ascii="Cambria Math" w:hAnsi="Cambria Math"/>
          </w:rPr>
          <m:t>λ&gt;0</m:t>
        </m:r>
      </m:oMath>
      <w:r w:rsidRPr="001B155B">
        <w:t xml:space="preserve"> implies that tail probabilities decline over time, but not that their rate of decline is exponential. This feature is evident in the results.  </w:t>
      </w:r>
    </w:p>
    <w:p w14:paraId="5E9F77F9" w14:textId="77777777" w:rsidR="00964B9F" w:rsidRPr="001B155B" w:rsidRDefault="00964B9F" w:rsidP="00964B9F">
      <w:pPr>
        <w:pStyle w:val="FootnoteText"/>
      </w:pPr>
    </w:p>
    <w:p w14:paraId="26CA788E" w14:textId="77777777" w:rsidR="00964B9F" w:rsidRPr="001B155B" w:rsidRDefault="00964B9F" w:rsidP="00964B9F">
      <w:pPr>
        <w:pStyle w:val="FootnoteText"/>
      </w:pPr>
      <w:r>
        <w:t>T</w:t>
      </w:r>
      <w:r w:rsidRPr="001B155B">
        <w:t xml:space="preserve">he choice of the bounds, </w:t>
      </w:r>
      <m:oMath>
        <m:sSub>
          <m:sSubPr>
            <m:ctrlPr>
              <w:rPr>
                <w:rFonts w:ascii="Cambria Math" w:hAnsi="Cambria Math"/>
                <w:i/>
              </w:rPr>
            </m:ctrlPr>
          </m:sSubPr>
          <m:e>
            <m:r>
              <w:rPr>
                <w:rFonts w:ascii="Cambria Math" w:hAnsi="Cambria Math"/>
              </w:rPr>
              <m:t>d</m:t>
            </m:r>
          </m:e>
          <m:sub>
            <m:r>
              <w:rPr>
                <w:rFonts w:ascii="Cambria Math" w:hAnsi="Cambria Math"/>
              </w:rPr>
              <m:t>l</m:t>
            </m:r>
          </m:sub>
        </m:sSub>
      </m:oMath>
      <w:r w:rsidRPr="001B155B">
        <w:t xml:space="preserve"> and </w:t>
      </w:r>
      <m:oMath>
        <m:sSub>
          <m:sSubPr>
            <m:ctrlPr>
              <w:rPr>
                <w:rFonts w:ascii="Cambria Math" w:hAnsi="Cambria Math"/>
                <w:i/>
              </w:rPr>
            </m:ctrlPr>
          </m:sSubPr>
          <m:e>
            <m:r>
              <w:rPr>
                <w:rFonts w:ascii="Cambria Math" w:hAnsi="Cambria Math"/>
              </w:rPr>
              <m:t>d</m:t>
            </m:r>
          </m:e>
          <m:sub>
            <m:r>
              <w:rPr>
                <w:rFonts w:ascii="Cambria Math" w:hAnsi="Cambria Math"/>
              </w:rPr>
              <m:t>u</m:t>
            </m:r>
          </m:sub>
        </m:sSub>
        <m:r>
          <w:rPr>
            <w:rFonts w:ascii="Cambria Math" w:hAnsi="Cambria Math"/>
          </w:rPr>
          <m:t xml:space="preserve">, </m:t>
        </m:r>
      </m:oMath>
      <w:r w:rsidRPr="001B155B">
        <w:t>scale</w:t>
      </w:r>
      <w:r>
        <w:t>s</w:t>
      </w:r>
      <w:r w:rsidRPr="001B155B">
        <w:t xml:space="preserve"> the range of mortality rates. In the baseline application, </w:t>
      </w:r>
      <m:oMath>
        <m:sSub>
          <m:sSubPr>
            <m:ctrlPr>
              <w:rPr>
                <w:rFonts w:ascii="Cambria Math" w:hAnsi="Cambria Math"/>
                <w:i/>
              </w:rPr>
            </m:ctrlPr>
          </m:sSubPr>
          <m:e>
            <m:r>
              <w:rPr>
                <w:rFonts w:ascii="Cambria Math" w:hAnsi="Cambria Math"/>
              </w:rPr>
              <m:t>d</m:t>
            </m:r>
          </m:e>
          <m:sub>
            <m:r>
              <w:rPr>
                <w:rFonts w:ascii="Cambria Math" w:hAnsi="Cambria Math"/>
              </w:rPr>
              <m:t>u</m:t>
            </m:r>
          </m:sub>
        </m:sSub>
      </m:oMath>
      <w:r w:rsidRPr="001B155B">
        <w:t xml:space="preserve"> for each city is set to the mortality rate of 1918 for that city, and </w:t>
      </w:r>
      <m:oMath>
        <m:sSub>
          <m:sSubPr>
            <m:ctrlPr>
              <w:rPr>
                <w:rFonts w:ascii="Cambria Math" w:hAnsi="Cambria Math"/>
                <w:i/>
              </w:rPr>
            </m:ctrlPr>
          </m:sSubPr>
          <m:e>
            <m:r>
              <w:rPr>
                <w:rFonts w:ascii="Cambria Math" w:hAnsi="Cambria Math"/>
              </w:rPr>
              <m:t>d</m:t>
            </m:r>
          </m:e>
          <m:sub>
            <m:r>
              <w:rPr>
                <w:rFonts w:ascii="Cambria Math" w:hAnsi="Cambria Math"/>
              </w:rPr>
              <m:t>l</m:t>
            </m:r>
          </m:sub>
        </m:sSub>
      </m:oMath>
      <w:r w:rsidRPr="001B155B">
        <w:t xml:space="preserve"> to lowest mortality experienced in the long</w:t>
      </w:r>
      <w:r>
        <w:t xml:space="preserve"> </w:t>
      </w:r>
      <w:r w:rsidRPr="001B155B">
        <w:t>run in each city</w:t>
      </w:r>
      <w:r>
        <w:t>, or the average across cities for the model fitted to the average</w:t>
      </w:r>
      <w:r w:rsidRPr="001B155B">
        <w:t>. For the US following the 1918</w:t>
      </w:r>
      <w:r>
        <w:t>-</w:t>
      </w:r>
      <w:r w:rsidRPr="001B155B">
        <w:t xml:space="preserve">19 pandemic, </w:t>
      </w:r>
      <m:oMath>
        <m:sSub>
          <m:sSubPr>
            <m:ctrlPr>
              <w:rPr>
                <w:rFonts w:ascii="Cambria Math" w:hAnsi="Cambria Math"/>
                <w:i/>
              </w:rPr>
            </m:ctrlPr>
          </m:sSubPr>
          <m:e>
            <m:r>
              <w:rPr>
                <w:rFonts w:ascii="Cambria Math" w:hAnsi="Cambria Math"/>
              </w:rPr>
              <m:t>d</m:t>
            </m:r>
          </m:e>
          <m:sub>
            <m:r>
              <w:rPr>
                <w:rFonts w:ascii="Cambria Math" w:hAnsi="Cambria Math"/>
              </w:rPr>
              <m:t>l</m:t>
            </m:r>
          </m:sub>
        </m:sSub>
      </m:oMath>
      <w:r w:rsidRPr="001B155B">
        <w:t xml:space="preserve"> and </w:t>
      </w:r>
      <m:oMath>
        <m:sSub>
          <m:sSubPr>
            <m:ctrlPr>
              <w:rPr>
                <w:rFonts w:ascii="Cambria Math" w:hAnsi="Cambria Math"/>
                <w:i/>
              </w:rPr>
            </m:ctrlPr>
          </m:sSubPr>
          <m:e>
            <m:r>
              <w:rPr>
                <w:rFonts w:ascii="Cambria Math" w:hAnsi="Cambria Math"/>
              </w:rPr>
              <m:t>d</m:t>
            </m:r>
          </m:e>
          <m:sub>
            <m:r>
              <w:rPr>
                <w:rFonts w:ascii="Cambria Math" w:hAnsi="Cambria Math"/>
              </w:rPr>
              <m:t>u</m:t>
            </m:r>
          </m:sub>
        </m:sSub>
        <m:r>
          <w:rPr>
            <w:rFonts w:ascii="Cambria Math" w:hAnsi="Cambria Math"/>
          </w:rPr>
          <m:t xml:space="preserve"> </m:t>
        </m:r>
      </m:oMath>
      <w:r w:rsidRPr="001B155B">
        <w:t>are the lowest post</w:t>
      </w:r>
      <w:r>
        <w:t>-</w:t>
      </w:r>
      <w:r w:rsidRPr="001B155B">
        <w:t>1918 and the 1918 mortality rates</w:t>
      </w:r>
      <w:r>
        <w:t xml:space="preserve"> observed in the US time series; </w:t>
      </w:r>
      <w:r w:rsidRPr="001B155B">
        <w:t>for the 1890</w:t>
      </w:r>
      <w:r>
        <w:t>-</w:t>
      </w:r>
      <w:r w:rsidRPr="001B155B">
        <w:t>91 post-pandemic mortality rate dynamics</w:t>
      </w:r>
      <w:r>
        <w:t>,</w:t>
      </w:r>
      <w:r w:rsidRPr="001B155B">
        <w:t xml:space="preserve"> these parameters refer to the lowest between 1891 and 191</w:t>
      </w:r>
      <w:r>
        <w:t>7</w:t>
      </w:r>
      <w:r w:rsidRPr="001B155B">
        <w:t xml:space="preserve">, and the 1891 mortality rates in the respective time series for England and Wales. These parameters are also summarised in Table </w:t>
      </w:r>
      <w:r>
        <w:t>S</w:t>
      </w:r>
      <w:r w:rsidRPr="001B155B">
        <w:t xml:space="preserve">1.  </w:t>
      </w:r>
    </w:p>
    <w:p w14:paraId="407FA50B" w14:textId="77777777" w:rsidR="00964B9F" w:rsidRPr="001B155B" w:rsidRDefault="00964B9F" w:rsidP="00964B9F">
      <w:pPr>
        <w:pStyle w:val="FootnoteText"/>
      </w:pPr>
    </w:p>
    <w:p w14:paraId="7BEB7F71" w14:textId="77777777" w:rsidR="00964B9F" w:rsidRDefault="00964B9F" w:rsidP="00964B9F">
      <w:pPr>
        <w:pStyle w:val="FootnoteText"/>
      </w:pPr>
      <w:r w:rsidRPr="001B155B">
        <w:t xml:space="preserve">The advantage of letting </w:t>
      </w:r>
      <m:oMath>
        <m:sSub>
          <m:sSubPr>
            <m:ctrlPr>
              <w:rPr>
                <w:rFonts w:ascii="Cambria Math" w:hAnsi="Cambria Math"/>
                <w:i/>
              </w:rPr>
            </m:ctrlPr>
          </m:sSubPr>
          <m:e>
            <m:r>
              <w:rPr>
                <w:rFonts w:ascii="Cambria Math" w:hAnsi="Cambria Math"/>
              </w:rPr>
              <m:t>d</m:t>
            </m:r>
          </m:e>
          <m:sub>
            <m:r>
              <w:rPr>
                <w:rFonts w:ascii="Cambria Math" w:hAnsi="Cambria Math"/>
              </w:rPr>
              <m:t>l</m:t>
            </m:r>
          </m:sub>
        </m:sSub>
      </m:oMath>
      <w:r w:rsidRPr="001B155B">
        <w:t xml:space="preserve"> and </w:t>
      </w:r>
      <m:oMath>
        <m:sSub>
          <m:sSubPr>
            <m:ctrlPr>
              <w:rPr>
                <w:rFonts w:ascii="Cambria Math" w:hAnsi="Cambria Math"/>
                <w:i/>
              </w:rPr>
            </m:ctrlPr>
          </m:sSubPr>
          <m:e>
            <m:r>
              <w:rPr>
                <w:rFonts w:ascii="Cambria Math" w:hAnsi="Cambria Math"/>
              </w:rPr>
              <m:t>d</m:t>
            </m:r>
          </m:e>
          <m:sub>
            <m:r>
              <w:rPr>
                <w:rFonts w:ascii="Cambria Math" w:hAnsi="Cambria Math"/>
              </w:rPr>
              <m:t>u</m:t>
            </m:r>
          </m:sub>
        </m:sSub>
        <m:r>
          <w:rPr>
            <w:rFonts w:ascii="Cambria Math" w:hAnsi="Cambria Math"/>
          </w:rPr>
          <m:t xml:space="preserve"> </m:t>
        </m:r>
      </m:oMath>
      <w:r w:rsidRPr="001B155B">
        <w:t>be specific to the geographical unit studied is that we allow for differences in the experience of the pandemic and in conditions that influence</w:t>
      </w:r>
      <w:r>
        <w:t xml:space="preserve"> background</w:t>
      </w:r>
      <w:r w:rsidRPr="001B155B">
        <w:t xml:space="preserve"> infectious disease mortality to have a bearing on risk dynamics. By allowing for such latent variation (see</w:t>
      </w:r>
      <w:r>
        <w:t>,</w:t>
      </w:r>
      <w:r w:rsidRPr="001B155B">
        <w:t xml:space="preserve"> e.g. Table </w:t>
      </w:r>
      <w:r>
        <w:t>S2</w:t>
      </w:r>
      <w:r w:rsidRPr="001B155B">
        <w:t xml:space="preserve"> in Supplementary Material </w:t>
      </w:r>
      <w:r>
        <w:t xml:space="preserve">C </w:t>
      </w:r>
      <w:r w:rsidRPr="001B155B">
        <w:t>for variation in population and density across the cities in the UK), our finding of a general pattern of mortality and disease outbreak risk dynamics is stronger. In Figure S</w:t>
      </w:r>
      <w:r>
        <w:t>1</w:t>
      </w:r>
      <w:r w:rsidRPr="001B155B">
        <w:t>-S</w:t>
      </w:r>
      <w:r>
        <w:t>2</w:t>
      </w:r>
      <w:r w:rsidRPr="001B155B">
        <w:t xml:space="preserve">, we also present results </w:t>
      </w:r>
      <w:r>
        <w:t xml:space="preserve">for a model of the </w:t>
      </w:r>
      <w:r w:rsidRPr="001B155B">
        <w:t xml:space="preserve">different cities </w:t>
      </w:r>
      <w:r>
        <w:t>in which we set</w:t>
      </w:r>
      <w:r w:rsidRPr="001B155B">
        <w:t xml:space="preserve"> </w:t>
      </w:r>
      <m:oMath>
        <m:sSub>
          <m:sSubPr>
            <m:ctrlPr>
              <w:rPr>
                <w:rFonts w:ascii="Cambria Math" w:hAnsi="Cambria Math"/>
                <w:i/>
              </w:rPr>
            </m:ctrlPr>
          </m:sSubPr>
          <m:e>
            <m:r>
              <w:rPr>
                <w:rFonts w:ascii="Cambria Math" w:hAnsi="Cambria Math"/>
              </w:rPr>
              <m:t>d</m:t>
            </m:r>
          </m:e>
          <m:sub>
            <m:r>
              <w:rPr>
                <w:rFonts w:ascii="Cambria Math" w:hAnsi="Cambria Math"/>
              </w:rPr>
              <m:t>l</m:t>
            </m:r>
          </m:sub>
        </m:sSub>
      </m:oMath>
      <w:r w:rsidRPr="001B155B">
        <w:t xml:space="preserve"> and </w:t>
      </w:r>
      <m:oMath>
        <m:sSub>
          <m:sSubPr>
            <m:ctrlPr>
              <w:rPr>
                <w:rFonts w:ascii="Cambria Math" w:hAnsi="Cambria Math"/>
                <w:i/>
              </w:rPr>
            </m:ctrlPr>
          </m:sSubPr>
          <m:e>
            <m:r>
              <w:rPr>
                <w:rFonts w:ascii="Cambria Math" w:hAnsi="Cambria Math"/>
              </w:rPr>
              <m:t>d</m:t>
            </m:r>
          </m:e>
          <m:sub>
            <m:r>
              <w:rPr>
                <w:rFonts w:ascii="Cambria Math" w:hAnsi="Cambria Math"/>
              </w:rPr>
              <m:t>u</m:t>
            </m:r>
          </m:sub>
        </m:sSub>
        <m:r>
          <w:rPr>
            <w:rFonts w:ascii="Cambria Math" w:hAnsi="Cambria Math"/>
          </w:rPr>
          <m:t xml:space="preserve"> </m:t>
        </m:r>
      </m:oMath>
      <w:r w:rsidRPr="001B155B">
        <w:t>to be common across all cities, specifically to the lowest and highest mortality rate observed across them. As can be seen, the overall pattern is very similar across cities</w:t>
      </w:r>
      <w:r>
        <w:t xml:space="preserve"> (</w:t>
      </w:r>
      <w:r w:rsidRPr="001B155B">
        <w:t xml:space="preserve">compared with the results in Figures 2 and 3, </w:t>
      </w:r>
      <w:r>
        <w:t>even greater similarity is observed)</w:t>
      </w:r>
      <w:r w:rsidRPr="001B155B">
        <w:t>. However, the finding of generality as based on Figure S</w:t>
      </w:r>
      <w:r>
        <w:t>2</w:t>
      </w:r>
      <w:r w:rsidRPr="001B155B">
        <w:t xml:space="preserve"> on its own is likely biased because of omitted variation between the cities, </w:t>
      </w:r>
      <w:r>
        <w:t xml:space="preserve">which can </w:t>
      </w:r>
      <w:r w:rsidRPr="001B155B">
        <w:t xml:space="preserve">lead to excess similarity. </w:t>
      </w:r>
      <w:r>
        <w:t>In contrast</w:t>
      </w:r>
      <w:r w:rsidRPr="001B155B">
        <w:t xml:space="preserve">, the results in Figures 2 and 3 </w:t>
      </w:r>
      <w:r>
        <w:t xml:space="preserve">reassure us </w:t>
      </w:r>
      <w:r w:rsidRPr="001B155B">
        <w:t>that the general pattern remains similar even after controlling for variation between cities.</w:t>
      </w:r>
    </w:p>
    <w:p w14:paraId="14851A33" w14:textId="77777777" w:rsidR="00964B9F" w:rsidRDefault="00964B9F" w:rsidP="00964B9F">
      <w:pPr>
        <w:pStyle w:val="FootnoteText"/>
      </w:pPr>
    </w:p>
    <w:p w14:paraId="514ACBA7" w14:textId="77777777" w:rsidR="00964B9F" w:rsidRPr="001B155B" w:rsidRDefault="00964B9F" w:rsidP="00964B9F">
      <w:pPr>
        <w:pStyle w:val="Caption"/>
        <w:keepNext/>
      </w:pPr>
      <w:r w:rsidRPr="001B155B">
        <w:lastRenderedPageBreak/>
        <w:t xml:space="preserve">Figure </w:t>
      </w:r>
      <w:r>
        <w:t>S1</w:t>
      </w:r>
      <w:r w:rsidRPr="001B155B">
        <w:t>: Model predicted influenza mortality rates following the 1918-19 pandemic (model with common bounds)</w:t>
      </w:r>
    </w:p>
    <w:p w14:paraId="3D739731" w14:textId="77777777" w:rsidR="00964B9F" w:rsidRPr="001B155B" w:rsidRDefault="00964B9F" w:rsidP="00964B9F">
      <w:pPr>
        <w:rPr>
          <w:b/>
          <w:bCs/>
          <w:i/>
          <w:sz w:val="14"/>
          <w:szCs w:val="14"/>
        </w:rPr>
      </w:pPr>
      <w:r w:rsidRPr="001B155B">
        <w:rPr>
          <w:b/>
          <w:bCs/>
          <w:i/>
          <w:noProof/>
          <w:sz w:val="14"/>
          <w:szCs w:val="14"/>
          <w:lang w:val="en-US"/>
        </w:rPr>
        <w:drawing>
          <wp:inline distT="0" distB="0" distL="0" distR="0" wp14:anchorId="59CD0263" wp14:editId="28E17199">
            <wp:extent cx="5270499" cy="2767888"/>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stretch>
                      <a:fillRect/>
                    </a:stretch>
                  </pic:blipFill>
                  <pic:spPr>
                    <a:xfrm>
                      <a:off x="0" y="0"/>
                      <a:ext cx="5270499" cy="2767888"/>
                    </a:xfrm>
                    <a:prstGeom prst="rect">
                      <a:avLst/>
                    </a:prstGeom>
                  </pic:spPr>
                </pic:pic>
              </a:graphicData>
            </a:graphic>
          </wp:inline>
        </w:drawing>
      </w:r>
    </w:p>
    <w:p w14:paraId="167BFE42" w14:textId="77777777" w:rsidR="00964B9F" w:rsidRPr="001B155B" w:rsidRDefault="00964B9F" w:rsidP="00964B9F">
      <w:pPr>
        <w:rPr>
          <w:b/>
          <w:bCs/>
          <w:sz w:val="14"/>
          <w:szCs w:val="14"/>
        </w:rPr>
      </w:pPr>
      <w:r w:rsidRPr="001B155B">
        <w:rPr>
          <w:b/>
          <w:bCs/>
          <w:sz w:val="14"/>
          <w:szCs w:val="14"/>
        </w:rPr>
        <w:t xml:space="preserve">Simulated median (solid black line), interquartile range (dark shading) and 80% prediction interval (light shading) </w:t>
      </w:r>
      <w:r>
        <w:rPr>
          <w:b/>
          <w:bCs/>
          <w:sz w:val="14"/>
          <w:szCs w:val="14"/>
        </w:rPr>
        <w:t xml:space="preserve">are </w:t>
      </w:r>
      <w:r w:rsidRPr="001B155B">
        <w:rPr>
          <w:b/>
          <w:bCs/>
          <w:sz w:val="14"/>
          <w:szCs w:val="14"/>
        </w:rPr>
        <w:t xml:space="preserve">based on 1m random draws. Simulated outcomes are based on the model fitted using the average across cities. Upper and lower bounds are common and set to be the highest and lowest mortality rates within the sample of cities respectively. Data </w:t>
      </w:r>
      <w:r>
        <w:rPr>
          <w:b/>
          <w:bCs/>
          <w:sz w:val="14"/>
          <w:szCs w:val="14"/>
        </w:rPr>
        <w:t xml:space="preserve">are </w:t>
      </w:r>
      <w:r w:rsidRPr="001B155B">
        <w:rPr>
          <w:b/>
          <w:bCs/>
          <w:sz w:val="14"/>
          <w:szCs w:val="14"/>
        </w:rPr>
        <w:t xml:space="preserve">overplotted in red. Data for UK cities are taken from Medical Officer for Health reports.     </w:t>
      </w:r>
    </w:p>
    <w:p w14:paraId="2DD5DA15" w14:textId="77777777" w:rsidR="00964B9F" w:rsidRPr="001B155B" w:rsidRDefault="00964B9F" w:rsidP="00964B9F">
      <w:pPr>
        <w:rPr>
          <w:b/>
          <w:bCs/>
          <w:sz w:val="14"/>
          <w:szCs w:val="14"/>
        </w:rPr>
      </w:pPr>
    </w:p>
    <w:p w14:paraId="001C22A3" w14:textId="77777777" w:rsidR="00964B9F" w:rsidRDefault="00964B9F" w:rsidP="00964B9F">
      <w:pPr>
        <w:pStyle w:val="Caption"/>
        <w:keepNext/>
      </w:pPr>
    </w:p>
    <w:p w14:paraId="526973DF" w14:textId="77777777" w:rsidR="00964B9F" w:rsidRPr="001B155B" w:rsidRDefault="00964B9F" w:rsidP="00964B9F">
      <w:pPr>
        <w:pStyle w:val="Caption"/>
        <w:keepNext/>
      </w:pPr>
      <w:r w:rsidRPr="001B155B">
        <w:t xml:space="preserve">Figure </w:t>
      </w:r>
      <w:r>
        <w:t>S2</w:t>
      </w:r>
      <w:r w:rsidRPr="001B155B">
        <w:t>: Outbreak risk following the 1918-19 pandemic (model with common bounds)</w:t>
      </w:r>
    </w:p>
    <w:p w14:paraId="328F15BE" w14:textId="77777777" w:rsidR="00964B9F" w:rsidRPr="001B155B" w:rsidRDefault="00964B9F" w:rsidP="00964B9F">
      <w:pPr>
        <w:rPr>
          <w:b/>
          <w:bCs/>
          <w:i/>
          <w:sz w:val="14"/>
          <w:szCs w:val="14"/>
        </w:rPr>
      </w:pPr>
      <w:r w:rsidRPr="001B155B">
        <w:rPr>
          <w:b/>
          <w:bCs/>
          <w:i/>
          <w:noProof/>
          <w:sz w:val="14"/>
          <w:szCs w:val="14"/>
          <w:lang w:val="en-US"/>
        </w:rPr>
        <w:drawing>
          <wp:inline distT="0" distB="0" distL="0" distR="0" wp14:anchorId="6BCFC80E" wp14:editId="1D3ABA3F">
            <wp:extent cx="5270500" cy="2775796"/>
            <wp:effectExtent l="0" t="0" r="635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a:stretch>
                      <a:fillRect/>
                    </a:stretch>
                  </pic:blipFill>
                  <pic:spPr>
                    <a:xfrm>
                      <a:off x="0" y="0"/>
                      <a:ext cx="5270500" cy="2775796"/>
                    </a:xfrm>
                    <a:prstGeom prst="rect">
                      <a:avLst/>
                    </a:prstGeom>
                  </pic:spPr>
                </pic:pic>
              </a:graphicData>
            </a:graphic>
          </wp:inline>
        </w:drawing>
      </w:r>
    </w:p>
    <w:p w14:paraId="3641F92F" w14:textId="77777777" w:rsidR="00964B9F" w:rsidRPr="001B155B" w:rsidRDefault="00964B9F" w:rsidP="00964B9F">
      <w:pPr>
        <w:rPr>
          <w:b/>
          <w:bCs/>
          <w:sz w:val="14"/>
          <w:szCs w:val="14"/>
        </w:rPr>
      </w:pPr>
      <w:r w:rsidRPr="001B155B">
        <w:rPr>
          <w:b/>
          <w:bCs/>
          <w:sz w:val="14"/>
          <w:szCs w:val="14"/>
        </w:rPr>
        <w:t>Outbreak probabilities computed from models fitted to each city. Upper and lower bounds are common and set to be the highest and lowest mortality rates within the sample of cities respectively.</w:t>
      </w:r>
    </w:p>
    <w:p w14:paraId="1C014DC7" w14:textId="77777777" w:rsidR="00964B9F" w:rsidRPr="001B155B" w:rsidRDefault="00964B9F" w:rsidP="00964B9F">
      <w:pPr>
        <w:rPr>
          <w:b/>
          <w:bCs/>
          <w:sz w:val="14"/>
          <w:szCs w:val="14"/>
        </w:rPr>
      </w:pPr>
    </w:p>
    <w:p w14:paraId="79118CA1" w14:textId="77777777" w:rsidR="00964B9F" w:rsidRPr="001B155B" w:rsidRDefault="00964B9F" w:rsidP="00964B9F">
      <w:pPr>
        <w:pStyle w:val="FootnoteText"/>
      </w:pPr>
    </w:p>
    <w:p w14:paraId="314CE550" w14:textId="77777777" w:rsidR="00964B9F" w:rsidRPr="001B155B" w:rsidRDefault="00964B9F" w:rsidP="00964B9F">
      <w:pPr>
        <w:pStyle w:val="FootnoteText"/>
      </w:pPr>
    </w:p>
    <w:p w14:paraId="6E060C65" w14:textId="77777777" w:rsidR="00964B9F" w:rsidRPr="001B155B" w:rsidRDefault="00964B9F" w:rsidP="00964B9F">
      <w:r>
        <w:t>Technically,</w:t>
      </w:r>
      <w:r w:rsidRPr="001B155B">
        <w:t xml:space="preserve"> </w:t>
      </w:r>
      <m:oMath>
        <m:sSub>
          <m:sSubPr>
            <m:ctrlPr>
              <w:rPr>
                <w:rFonts w:ascii="Cambria Math" w:hAnsi="Cambria Math"/>
                <w:i/>
              </w:rPr>
            </m:ctrlPr>
          </m:sSubPr>
          <m:e>
            <m:r>
              <w:rPr>
                <w:rFonts w:ascii="Cambria Math" w:hAnsi="Cambria Math"/>
              </w:rPr>
              <m:t>d</m:t>
            </m:r>
          </m:e>
          <m:sub>
            <m:r>
              <w:rPr>
                <w:rFonts w:ascii="Cambria Math" w:hAnsi="Cambria Math"/>
              </w:rPr>
              <m:t>l</m:t>
            </m:r>
          </m:sub>
        </m:sSub>
      </m:oMath>
      <w:r w:rsidRPr="001B155B">
        <w:t xml:space="preserve"> and </w:t>
      </w:r>
      <m:oMath>
        <m:sSub>
          <m:sSubPr>
            <m:ctrlPr>
              <w:rPr>
                <w:rFonts w:ascii="Cambria Math" w:hAnsi="Cambria Math"/>
                <w:i/>
              </w:rPr>
            </m:ctrlPr>
          </m:sSubPr>
          <m:e>
            <m:r>
              <w:rPr>
                <w:rFonts w:ascii="Cambria Math" w:hAnsi="Cambria Math"/>
              </w:rPr>
              <m:t>d</m:t>
            </m:r>
          </m:e>
          <m:sub>
            <m:r>
              <w:rPr>
                <w:rFonts w:ascii="Cambria Math" w:hAnsi="Cambria Math"/>
              </w:rPr>
              <m:t>u</m:t>
            </m:r>
          </m:sub>
        </m:sSub>
      </m:oMath>
      <w:r w:rsidRPr="001B155B">
        <w:t xml:space="preserve"> can be estimated jointly with </w:t>
      </w:r>
      <m:oMath>
        <m:sSub>
          <m:sSubPr>
            <m:ctrlPr>
              <w:rPr>
                <w:rFonts w:ascii="Cambria Math" w:hAnsi="Cambria Math"/>
                <w:i/>
              </w:rPr>
            </m:ctrlPr>
          </m:sSubPr>
          <m:e>
            <m:r>
              <w:rPr>
                <w:rFonts w:ascii="Cambria Math" w:hAnsi="Cambria Math"/>
              </w:rPr>
              <m:t>η</m:t>
            </m:r>
          </m:e>
          <m:sub>
            <m:r>
              <w:rPr>
                <w:rFonts w:ascii="Cambria Math" w:hAnsi="Cambria Math"/>
              </w:rPr>
              <m:t>0</m:t>
            </m:r>
          </m:sub>
        </m:sSub>
      </m:oMath>
      <w:r w:rsidRPr="001B155B">
        <w:t xml:space="preserve"> and </w:t>
      </w:r>
      <m:oMath>
        <m:r>
          <w:rPr>
            <w:rFonts w:ascii="Cambria Math" w:hAnsi="Cambria Math"/>
          </w:rPr>
          <m:t>λ</m:t>
        </m:r>
      </m:oMath>
      <w:r>
        <w:t xml:space="preserve"> using the time series following the main pandemic waves (i.e., without exploiting the information on the mortality effect of the main pandemic waves).</w:t>
      </w:r>
      <w:r w:rsidRPr="001B155B">
        <w:t xml:space="preserve"> In this case, (3) is maximised by choosing all four parameters, following the same optimisation methods as for th</w:t>
      </w:r>
      <w:r>
        <w:t>e</w:t>
      </w:r>
      <w:r w:rsidRPr="001B155B">
        <w:t xml:space="preserve"> model</w:t>
      </w:r>
      <w:r>
        <w:t xml:space="preserve"> in (1) – (2)</w:t>
      </w:r>
      <w:r w:rsidRPr="001B155B">
        <w:t>.</w:t>
      </w:r>
      <w:r w:rsidRPr="001B155B">
        <w:rPr>
          <w:b/>
          <w:i/>
        </w:rPr>
        <w:t xml:space="preserve"> </w:t>
      </w:r>
      <w:r w:rsidRPr="001B155B">
        <w:t>Figures S</w:t>
      </w:r>
      <w:r>
        <w:t>3</w:t>
      </w:r>
      <w:r w:rsidRPr="001B155B">
        <w:t xml:space="preserve"> and S</w:t>
      </w:r>
      <w:r>
        <w:t>4</w:t>
      </w:r>
      <w:r w:rsidRPr="001B155B">
        <w:t xml:space="preserve"> Figures 2 and 3 </w:t>
      </w:r>
      <w:r w:rsidRPr="001B155B">
        <w:lastRenderedPageBreak/>
        <w:t xml:space="preserve">under this approach. As can be seen, the model predicted mortality is close to the actual path of mortality, while disease outbreak probabilities for large outbreaks are effectively zero. </w:t>
      </w:r>
      <w:r>
        <w:t>Although</w:t>
      </w:r>
      <w:r w:rsidRPr="001B155B">
        <w:t xml:space="preserve"> fitting the model in (1) – (2)</w:t>
      </w:r>
      <w:r>
        <w:t xml:space="preserve"> by</w:t>
      </w:r>
      <w:r w:rsidRPr="001B155B">
        <w:t xml:space="preserve"> </w:t>
      </w:r>
      <w:r>
        <w:t xml:space="preserve">estimating all </w:t>
      </w:r>
      <w:r w:rsidRPr="001B155B">
        <w:t>four parameters</w:t>
      </w:r>
      <w:r>
        <w:t xml:space="preserve"> from the time series of data following the main pandemic waves</w:t>
      </w:r>
      <w:r w:rsidRPr="001B155B">
        <w:t xml:space="preserve"> may be useful for some applications (e.g. if the interest is in summarising historical experience), conceptually, this is</w:t>
      </w:r>
      <w:r>
        <w:t xml:space="preserve"> no longer</w:t>
      </w:r>
      <w:r w:rsidRPr="001B155B">
        <w:t xml:space="preserve"> a model of mortality and disease-outbreak </w:t>
      </w:r>
      <w:r w:rsidRPr="00D93BAD">
        <w:rPr>
          <w:i/>
        </w:rPr>
        <w:t>risk</w:t>
      </w:r>
      <w:r w:rsidRPr="001B155B">
        <w:t xml:space="preserve"> dynamics</w:t>
      </w:r>
      <w:r>
        <w:t>, i.e. of the time evolution of the probability of disease outbreaks</w:t>
      </w:r>
      <w:r w:rsidRPr="001B155B">
        <w:t xml:space="preserve">. In this case, </w:t>
      </w:r>
      <m:oMath>
        <m:sSub>
          <m:sSubPr>
            <m:ctrlPr>
              <w:rPr>
                <w:rFonts w:ascii="Cambria Math" w:hAnsi="Cambria Math"/>
                <w:i/>
              </w:rPr>
            </m:ctrlPr>
          </m:sSubPr>
          <m:e>
            <m:r>
              <w:rPr>
                <w:rFonts w:ascii="Cambria Math" w:hAnsi="Cambria Math"/>
              </w:rPr>
              <m:t>d</m:t>
            </m:r>
          </m:e>
          <m:sub>
            <m:r>
              <w:rPr>
                <w:rFonts w:ascii="Cambria Math" w:hAnsi="Cambria Math"/>
              </w:rPr>
              <m:t>l</m:t>
            </m:r>
          </m:sub>
        </m:sSub>
      </m:oMath>
      <w:r w:rsidRPr="001B155B">
        <w:t xml:space="preserve"> and </w:t>
      </w:r>
      <m:oMath>
        <m:sSub>
          <m:sSubPr>
            <m:ctrlPr>
              <w:rPr>
                <w:rFonts w:ascii="Cambria Math" w:hAnsi="Cambria Math"/>
                <w:i/>
              </w:rPr>
            </m:ctrlPr>
          </m:sSubPr>
          <m:e>
            <m:r>
              <w:rPr>
                <w:rFonts w:ascii="Cambria Math" w:hAnsi="Cambria Math"/>
              </w:rPr>
              <m:t>d</m:t>
            </m:r>
          </m:e>
          <m:sub>
            <m:r>
              <w:rPr>
                <w:rFonts w:ascii="Cambria Math" w:hAnsi="Cambria Math"/>
              </w:rPr>
              <m:t>u</m:t>
            </m:r>
          </m:sub>
        </m:sSub>
      </m:oMath>
      <w:r w:rsidRPr="001B155B">
        <w:t xml:space="preserve"> are interpreted as parameters chosen to maximise the fit of the process to the data, and thus are chosen by the optimisation routine to be in effect the maximum and minimum mortality observed between 1920 and 1950. In turn</w:t>
      </w:r>
      <w:r>
        <w:t>,</w:t>
      </w:r>
      <w:r w:rsidRPr="001B155B">
        <w:t xml:space="preserve"> this rules out</w:t>
      </w:r>
      <w:r>
        <w:t xml:space="preserve"> the possibility of</w:t>
      </w:r>
      <w:r w:rsidRPr="001B155B">
        <w:t xml:space="preserve"> disease outbreaks that are higher than those observed </w:t>
      </w:r>
      <w:r w:rsidRPr="001B155B">
        <w:rPr>
          <w:i/>
        </w:rPr>
        <w:t>ex post</w:t>
      </w:r>
      <w:r w:rsidRPr="001B155B">
        <w:t xml:space="preserve">, even if theoretically they could have happened. An analysis of risk dynamics must account for the possibility of higher mortality than that that was actually observed. </w:t>
      </w:r>
      <w:r>
        <w:t>O</w:t>
      </w:r>
      <w:r w:rsidRPr="001B155B">
        <w:t xml:space="preserve">ur </w:t>
      </w:r>
      <w:r>
        <w:t>modelling</w:t>
      </w:r>
      <w:r w:rsidRPr="001B155B">
        <w:t xml:space="preserve"> approach views bounds as </w:t>
      </w:r>
      <w:r w:rsidRPr="001B155B">
        <w:rPr>
          <w:i/>
        </w:rPr>
        <w:t>possible</w:t>
      </w:r>
      <w:r w:rsidRPr="001B155B">
        <w:t xml:space="preserve"> even if unrealised mortality rates, given the experience of the pandemic, which </w:t>
      </w:r>
      <w:r>
        <w:t>determines</w:t>
      </w:r>
      <w:r w:rsidRPr="001B155B">
        <w:t xml:space="preserve"> </w:t>
      </w:r>
      <w:r>
        <w:t>the</w:t>
      </w:r>
      <w:r w:rsidRPr="001B155B">
        <w:t xml:space="preserve"> upper bound, and given the expectation about steady state mortality that is unaffected by the pandemic, which determines the lower bound.</w:t>
      </w:r>
    </w:p>
    <w:p w14:paraId="791672D4" w14:textId="77777777" w:rsidR="00964B9F" w:rsidRDefault="00964B9F" w:rsidP="00964B9F">
      <w:pPr>
        <w:pStyle w:val="FootnoteText"/>
      </w:pPr>
    </w:p>
    <w:p w14:paraId="6D401DD5" w14:textId="77777777" w:rsidR="00964B9F" w:rsidRPr="001B155B" w:rsidRDefault="00964B9F" w:rsidP="00964B9F">
      <w:pPr>
        <w:pStyle w:val="Caption"/>
        <w:keepNext/>
      </w:pPr>
      <w:r w:rsidRPr="001B155B">
        <w:t xml:space="preserve">Figure </w:t>
      </w:r>
      <w:r>
        <w:t>S3</w:t>
      </w:r>
      <w:r w:rsidRPr="001B155B">
        <w:t>: Model predicted influenza mortality rates following the 1918-19 pandemic (model with estimated bounds)</w:t>
      </w:r>
    </w:p>
    <w:p w14:paraId="4FC56718" w14:textId="77777777" w:rsidR="00964B9F" w:rsidRPr="001B155B" w:rsidRDefault="00964B9F" w:rsidP="00964B9F">
      <w:pPr>
        <w:rPr>
          <w:b/>
          <w:bCs/>
          <w:i/>
          <w:sz w:val="14"/>
          <w:szCs w:val="14"/>
        </w:rPr>
      </w:pPr>
      <w:r w:rsidRPr="001B155B">
        <w:rPr>
          <w:b/>
          <w:bCs/>
          <w:i/>
          <w:noProof/>
          <w:sz w:val="14"/>
          <w:szCs w:val="14"/>
          <w:lang w:val="en-US"/>
        </w:rPr>
        <w:drawing>
          <wp:inline distT="0" distB="0" distL="0" distR="0" wp14:anchorId="7107D1C9" wp14:editId="5407F01F">
            <wp:extent cx="5270500" cy="2767888"/>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9"/>
                    <a:stretch>
                      <a:fillRect/>
                    </a:stretch>
                  </pic:blipFill>
                  <pic:spPr>
                    <a:xfrm>
                      <a:off x="0" y="0"/>
                      <a:ext cx="5270500" cy="2767888"/>
                    </a:xfrm>
                    <a:prstGeom prst="rect">
                      <a:avLst/>
                    </a:prstGeom>
                  </pic:spPr>
                </pic:pic>
              </a:graphicData>
            </a:graphic>
          </wp:inline>
        </w:drawing>
      </w:r>
    </w:p>
    <w:p w14:paraId="6310E127" w14:textId="77777777" w:rsidR="00964B9F" w:rsidRPr="001B155B" w:rsidRDefault="00964B9F" w:rsidP="00964B9F">
      <w:pPr>
        <w:rPr>
          <w:b/>
          <w:bCs/>
          <w:sz w:val="14"/>
          <w:szCs w:val="14"/>
        </w:rPr>
      </w:pPr>
      <w:r w:rsidRPr="001B155B">
        <w:rPr>
          <w:b/>
          <w:bCs/>
          <w:sz w:val="14"/>
          <w:szCs w:val="14"/>
        </w:rPr>
        <w:t xml:space="preserve">Simulated median (solid black line), interquartile range (dark shading) and 80% prediction interval (light shading) </w:t>
      </w:r>
      <w:r>
        <w:rPr>
          <w:b/>
          <w:bCs/>
          <w:sz w:val="14"/>
          <w:szCs w:val="14"/>
        </w:rPr>
        <w:t xml:space="preserve">are </w:t>
      </w:r>
      <w:r w:rsidRPr="001B155B">
        <w:rPr>
          <w:b/>
          <w:bCs/>
          <w:sz w:val="14"/>
          <w:szCs w:val="14"/>
        </w:rPr>
        <w:t xml:space="preserve">based on 1m random draws. Simulated outcomes are based on the model fitted using the average across cities. Upper and lower bounds are fitted to the data. Data </w:t>
      </w:r>
      <w:r>
        <w:rPr>
          <w:b/>
          <w:bCs/>
          <w:sz w:val="14"/>
          <w:szCs w:val="14"/>
        </w:rPr>
        <w:t xml:space="preserve">are </w:t>
      </w:r>
      <w:r w:rsidRPr="001B155B">
        <w:rPr>
          <w:b/>
          <w:bCs/>
          <w:sz w:val="14"/>
          <w:szCs w:val="14"/>
        </w:rPr>
        <w:t>overplotted in red. Data for UK cities are taken from Medical Officer for Health reports.</w:t>
      </w:r>
    </w:p>
    <w:p w14:paraId="199A826B" w14:textId="77777777" w:rsidR="00964B9F" w:rsidRPr="001B155B" w:rsidRDefault="00964B9F" w:rsidP="00964B9F">
      <w:pPr>
        <w:rPr>
          <w:b/>
          <w:bCs/>
          <w:sz w:val="14"/>
          <w:szCs w:val="14"/>
        </w:rPr>
      </w:pPr>
    </w:p>
    <w:p w14:paraId="5789EFE7" w14:textId="77777777" w:rsidR="00964B9F" w:rsidRPr="001B155B" w:rsidRDefault="00964B9F" w:rsidP="00964B9F">
      <w:pPr>
        <w:pStyle w:val="Caption"/>
        <w:keepNext/>
      </w:pPr>
      <w:r w:rsidRPr="001B155B">
        <w:lastRenderedPageBreak/>
        <w:t xml:space="preserve">Figure </w:t>
      </w:r>
      <w:r>
        <w:t>S4</w:t>
      </w:r>
      <w:r w:rsidRPr="001B155B">
        <w:t>: Outbreak risk following the 1918-19 pandemic (model with estimated bounds)</w:t>
      </w:r>
    </w:p>
    <w:p w14:paraId="61C55120" w14:textId="77777777" w:rsidR="00964B9F" w:rsidRPr="001B155B" w:rsidRDefault="00964B9F" w:rsidP="00964B9F">
      <w:pPr>
        <w:rPr>
          <w:b/>
          <w:bCs/>
          <w:i/>
          <w:sz w:val="14"/>
          <w:szCs w:val="14"/>
        </w:rPr>
      </w:pPr>
      <w:r w:rsidRPr="001B155B">
        <w:rPr>
          <w:b/>
          <w:bCs/>
          <w:i/>
          <w:noProof/>
          <w:sz w:val="14"/>
          <w:szCs w:val="14"/>
          <w:lang w:val="en-US"/>
        </w:rPr>
        <w:drawing>
          <wp:inline distT="0" distB="0" distL="0" distR="0" wp14:anchorId="4F93C8E0" wp14:editId="738E1DA0">
            <wp:extent cx="5272825" cy="2777021"/>
            <wp:effectExtent l="0" t="0" r="4445"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0"/>
                    <a:stretch>
                      <a:fillRect/>
                    </a:stretch>
                  </pic:blipFill>
                  <pic:spPr>
                    <a:xfrm>
                      <a:off x="0" y="0"/>
                      <a:ext cx="5272825" cy="2777021"/>
                    </a:xfrm>
                    <a:prstGeom prst="rect">
                      <a:avLst/>
                    </a:prstGeom>
                  </pic:spPr>
                </pic:pic>
              </a:graphicData>
            </a:graphic>
          </wp:inline>
        </w:drawing>
      </w:r>
    </w:p>
    <w:p w14:paraId="69C61B27" w14:textId="77777777" w:rsidR="00964B9F" w:rsidRPr="001B155B" w:rsidRDefault="00964B9F" w:rsidP="00964B9F">
      <w:pPr>
        <w:rPr>
          <w:b/>
          <w:bCs/>
          <w:sz w:val="14"/>
          <w:szCs w:val="14"/>
        </w:rPr>
      </w:pPr>
      <w:r w:rsidRPr="001B155B">
        <w:rPr>
          <w:b/>
          <w:bCs/>
          <w:sz w:val="14"/>
          <w:szCs w:val="14"/>
        </w:rPr>
        <w:t>Outbreak probabilities computed from models fitted to each city. Upper and lower bounds are fitted to the data (1920-1950) for each city.</w:t>
      </w:r>
    </w:p>
    <w:p w14:paraId="700CA1E6" w14:textId="77777777" w:rsidR="00964B9F" w:rsidRPr="001B155B" w:rsidRDefault="00964B9F" w:rsidP="00964B9F">
      <w:pPr>
        <w:pStyle w:val="FootnoteText"/>
      </w:pPr>
    </w:p>
    <w:p w14:paraId="2FABE2A0" w14:textId="77777777" w:rsidR="00964B9F" w:rsidRDefault="00964B9F" w:rsidP="00964B9F">
      <w:r w:rsidRPr="001B155B">
        <w:t xml:space="preserve">We next </w:t>
      </w:r>
      <w:r>
        <w:t xml:space="preserve">compare the approach of </w:t>
      </w:r>
      <w:r w:rsidRPr="001B155B">
        <w:t>specify</w:t>
      </w:r>
      <w:r>
        <w:t>ing</w:t>
      </w:r>
      <w:r w:rsidRPr="001B155B">
        <w:t xml:space="preserve"> the bounds </w:t>
      </w:r>
      <w:r>
        <w:t>of</w:t>
      </w:r>
      <w:r w:rsidRPr="001B155B">
        <w:t xml:space="preserve"> the Pareto distribution conditionally on the mortality range relevant to the geographical unit </w:t>
      </w:r>
      <w:r>
        <w:t xml:space="preserve">to </w:t>
      </w:r>
      <w:r w:rsidRPr="001B155B">
        <w:t xml:space="preserve">a more agnostic approach of setting </w:t>
      </w:r>
      <m:oMath>
        <m:sSub>
          <m:sSubPr>
            <m:ctrlPr>
              <w:rPr>
                <w:rFonts w:ascii="Cambria Math" w:hAnsi="Cambria Math"/>
                <w:i/>
              </w:rPr>
            </m:ctrlPr>
          </m:sSubPr>
          <m:e>
            <m:r>
              <w:rPr>
                <w:rFonts w:ascii="Cambria Math" w:hAnsi="Cambria Math"/>
              </w:rPr>
              <m:t>d</m:t>
            </m:r>
          </m:e>
          <m:sub>
            <m:r>
              <w:rPr>
                <w:rFonts w:ascii="Cambria Math" w:hAnsi="Cambria Math"/>
              </w:rPr>
              <m:t>u</m:t>
            </m:r>
          </m:sub>
        </m:sSub>
      </m:oMath>
      <w:r w:rsidRPr="001B155B">
        <w:t xml:space="preserve"> and </w:t>
      </w:r>
      <m:oMath>
        <m:sSub>
          <m:sSubPr>
            <m:ctrlPr>
              <w:rPr>
                <w:rFonts w:ascii="Cambria Math" w:hAnsi="Cambria Math"/>
                <w:i/>
              </w:rPr>
            </m:ctrlPr>
          </m:sSubPr>
          <m:e>
            <m:r>
              <w:rPr>
                <w:rFonts w:ascii="Cambria Math" w:hAnsi="Cambria Math"/>
              </w:rPr>
              <m:t>d</m:t>
            </m:r>
          </m:e>
          <m:sub>
            <m:r>
              <w:rPr>
                <w:rFonts w:ascii="Cambria Math" w:hAnsi="Cambria Math"/>
              </w:rPr>
              <m:t>l</m:t>
            </m:r>
          </m:sub>
        </m:sSub>
        <m:r>
          <w:rPr>
            <w:rFonts w:ascii="Cambria Math" w:hAnsi="Cambria Math"/>
          </w:rPr>
          <m:t xml:space="preserve"> </m:t>
        </m:r>
      </m:oMath>
      <w:r w:rsidRPr="001B155B">
        <w:t>to be determined by theoretical upper and lower bounds of mortality rates</w:t>
      </w:r>
      <w:r>
        <w:t>. Figures S5</w:t>
      </w:r>
      <w:r w:rsidRPr="001B155B">
        <w:t xml:space="preserve"> and </w:t>
      </w:r>
      <w:r>
        <w:t>S6</w:t>
      </w:r>
      <w:r w:rsidRPr="001B155B">
        <w:t xml:space="preserve"> in reproduce Figures 2 and 3 under </w:t>
      </w:r>
      <w:r>
        <w:t>the agnostic</w:t>
      </w:r>
      <w:r w:rsidRPr="001B155B">
        <w:t xml:space="preserve"> modelling approach. As can be seen, the patt</w:t>
      </w:r>
      <w:r>
        <w:t>ern in Figure S5</w:t>
      </w:r>
      <w:r w:rsidRPr="001B155B">
        <w:t xml:space="preserve"> is qualitatively similar with that in Figure 2, but the model predicted mortality rates can be unrealistically high with significant probabilities. Moreover, while in Figure </w:t>
      </w:r>
      <w:r>
        <w:t xml:space="preserve">S6 </w:t>
      </w:r>
      <w:r w:rsidRPr="001B155B">
        <w:t xml:space="preserve">we see that the probability of a disease outbreak remains high until the 1940s, the dynamic pattern is different from that in Figure 3, implying disease outbreak risk that is very high initially and </w:t>
      </w:r>
      <w:r>
        <w:t xml:space="preserve">declines </w:t>
      </w:r>
      <w:r w:rsidRPr="001B155B">
        <w:t xml:space="preserve">more rapidly. Overall, agnostic modelling of </w:t>
      </w:r>
      <m:oMath>
        <m:sSub>
          <m:sSubPr>
            <m:ctrlPr>
              <w:rPr>
                <w:rFonts w:ascii="Cambria Math" w:hAnsi="Cambria Math"/>
                <w:i/>
              </w:rPr>
            </m:ctrlPr>
          </m:sSubPr>
          <m:e>
            <m:r>
              <w:rPr>
                <w:rFonts w:ascii="Cambria Math" w:hAnsi="Cambria Math"/>
              </w:rPr>
              <m:t>d</m:t>
            </m:r>
          </m:e>
          <m:sub>
            <m:r>
              <w:rPr>
                <w:rFonts w:ascii="Cambria Math" w:hAnsi="Cambria Math"/>
              </w:rPr>
              <m:t>l</m:t>
            </m:r>
          </m:sub>
        </m:sSub>
      </m:oMath>
      <w:r w:rsidRPr="001B155B">
        <w:t xml:space="preserve"> and </w:t>
      </w:r>
      <m:oMath>
        <m:sSub>
          <m:sSubPr>
            <m:ctrlPr>
              <w:rPr>
                <w:rFonts w:ascii="Cambria Math" w:hAnsi="Cambria Math"/>
                <w:i/>
              </w:rPr>
            </m:ctrlPr>
          </m:sSubPr>
          <m:e>
            <m:r>
              <w:rPr>
                <w:rFonts w:ascii="Cambria Math" w:hAnsi="Cambria Math"/>
              </w:rPr>
              <m:t>d</m:t>
            </m:r>
          </m:e>
          <m:sub>
            <m:r>
              <w:rPr>
                <w:rFonts w:ascii="Cambria Math" w:hAnsi="Cambria Math"/>
              </w:rPr>
              <m:t>u</m:t>
            </m:r>
          </m:sub>
        </m:sSub>
      </m:oMath>
      <w:r w:rsidRPr="001B155B">
        <w:t xml:space="preserve"> confirms high and persistent mortality risk after the main pandemic waves, as well as similarity across geographical units, but, compared with the post-pandemic experience, it exaggerates it</w:t>
      </w:r>
      <w:r>
        <w:t xml:space="preserve"> relative to the actual experience</w:t>
      </w:r>
      <w:r w:rsidRPr="001B155B">
        <w:t xml:space="preserve">. On the other hand, exploiting the information pertinent to the pandemic in parameterising </w:t>
      </w:r>
      <m:oMath>
        <m:sSub>
          <m:sSubPr>
            <m:ctrlPr>
              <w:rPr>
                <w:rFonts w:ascii="Cambria Math" w:hAnsi="Cambria Math"/>
                <w:i/>
              </w:rPr>
            </m:ctrlPr>
          </m:sSubPr>
          <m:e>
            <m:r>
              <w:rPr>
                <w:rFonts w:ascii="Cambria Math" w:hAnsi="Cambria Math"/>
              </w:rPr>
              <m:t>d</m:t>
            </m:r>
          </m:e>
          <m:sub>
            <m:r>
              <w:rPr>
                <w:rFonts w:ascii="Cambria Math" w:hAnsi="Cambria Math"/>
              </w:rPr>
              <m:t>l</m:t>
            </m:r>
          </m:sub>
        </m:sSub>
      </m:oMath>
      <w:r w:rsidRPr="001B155B">
        <w:t xml:space="preserve"> and </w:t>
      </w:r>
      <m:oMath>
        <m:sSub>
          <m:sSubPr>
            <m:ctrlPr>
              <w:rPr>
                <w:rFonts w:ascii="Cambria Math" w:hAnsi="Cambria Math"/>
                <w:i/>
              </w:rPr>
            </m:ctrlPr>
          </m:sSubPr>
          <m:e>
            <m:r>
              <w:rPr>
                <w:rFonts w:ascii="Cambria Math" w:hAnsi="Cambria Math"/>
              </w:rPr>
              <m:t>d</m:t>
            </m:r>
          </m:e>
          <m:sub>
            <m:r>
              <w:rPr>
                <w:rFonts w:ascii="Cambria Math" w:hAnsi="Cambria Math"/>
              </w:rPr>
              <m:t>u</m:t>
            </m:r>
          </m:sub>
        </m:sSub>
      </m:oMath>
      <w:r w:rsidRPr="001B155B">
        <w:t xml:space="preserve"> leads to more accurate mortality risk predictions.</w:t>
      </w:r>
    </w:p>
    <w:p w14:paraId="7021E784" w14:textId="77777777" w:rsidR="00964B9F" w:rsidRPr="001B155B" w:rsidRDefault="00964B9F" w:rsidP="00964B9F"/>
    <w:p w14:paraId="5FBBB986" w14:textId="77777777" w:rsidR="00964B9F" w:rsidRPr="001B155B" w:rsidRDefault="00964B9F" w:rsidP="00964B9F">
      <w:pPr>
        <w:pStyle w:val="Caption"/>
        <w:keepNext/>
      </w:pPr>
      <w:r w:rsidRPr="001B155B">
        <w:lastRenderedPageBreak/>
        <w:t xml:space="preserve">Figure </w:t>
      </w:r>
      <w:r>
        <w:t>S5</w:t>
      </w:r>
      <w:r w:rsidRPr="001B155B">
        <w:t>: Model predicted influenza mortality rates following the 1918-19 pandemic (model with theoretical bounds)</w:t>
      </w:r>
    </w:p>
    <w:p w14:paraId="3FC92C36" w14:textId="77777777" w:rsidR="00964B9F" w:rsidRPr="001B155B" w:rsidRDefault="00964B9F" w:rsidP="00964B9F">
      <w:pPr>
        <w:rPr>
          <w:b/>
          <w:bCs/>
          <w:i/>
          <w:sz w:val="14"/>
          <w:szCs w:val="14"/>
        </w:rPr>
      </w:pPr>
      <w:r w:rsidRPr="001B155B">
        <w:rPr>
          <w:b/>
          <w:bCs/>
          <w:i/>
          <w:noProof/>
          <w:sz w:val="14"/>
          <w:szCs w:val="14"/>
          <w:lang w:val="en-US"/>
        </w:rPr>
        <w:drawing>
          <wp:inline distT="0" distB="0" distL="0" distR="0" wp14:anchorId="2E1384AD" wp14:editId="3DD5BCEF">
            <wp:extent cx="5270500" cy="2873894"/>
            <wp:effectExtent l="0" t="0" r="635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1"/>
                    <a:stretch>
                      <a:fillRect/>
                    </a:stretch>
                  </pic:blipFill>
                  <pic:spPr>
                    <a:xfrm>
                      <a:off x="0" y="0"/>
                      <a:ext cx="5270500" cy="2873894"/>
                    </a:xfrm>
                    <a:prstGeom prst="rect">
                      <a:avLst/>
                    </a:prstGeom>
                  </pic:spPr>
                </pic:pic>
              </a:graphicData>
            </a:graphic>
          </wp:inline>
        </w:drawing>
      </w:r>
    </w:p>
    <w:p w14:paraId="23B1E7FD" w14:textId="77777777" w:rsidR="00964B9F" w:rsidRPr="001B155B" w:rsidRDefault="00964B9F" w:rsidP="00964B9F">
      <w:pPr>
        <w:rPr>
          <w:b/>
          <w:bCs/>
          <w:sz w:val="14"/>
          <w:szCs w:val="14"/>
        </w:rPr>
      </w:pPr>
      <w:r w:rsidRPr="001B155B">
        <w:rPr>
          <w:b/>
          <w:bCs/>
          <w:sz w:val="14"/>
          <w:szCs w:val="14"/>
        </w:rPr>
        <w:t xml:space="preserve">Simulated median (solid black line), interquartile range (dark shading) and 80% prediction interval (light shading) </w:t>
      </w:r>
      <w:r>
        <w:rPr>
          <w:b/>
          <w:bCs/>
          <w:sz w:val="14"/>
          <w:szCs w:val="14"/>
        </w:rPr>
        <w:t xml:space="preserve">are </w:t>
      </w:r>
      <w:r w:rsidRPr="001B155B">
        <w:rPr>
          <w:b/>
          <w:bCs/>
          <w:sz w:val="14"/>
          <w:szCs w:val="14"/>
        </w:rPr>
        <w:t>based on 1m random draws. Simulated outcomes are based on the model fitted using the average across cities. Upper and lower bounds are set to 1,000,000 and 1 respectively. Data</w:t>
      </w:r>
      <w:r>
        <w:rPr>
          <w:b/>
          <w:bCs/>
          <w:sz w:val="14"/>
          <w:szCs w:val="14"/>
        </w:rPr>
        <w:t xml:space="preserve"> are</w:t>
      </w:r>
      <w:r w:rsidRPr="001B155B">
        <w:rPr>
          <w:b/>
          <w:bCs/>
          <w:sz w:val="14"/>
          <w:szCs w:val="14"/>
        </w:rPr>
        <w:t xml:space="preserve"> overplotted in red. Data for UK cities are taken from Medical Officer for Health reports.   </w:t>
      </w:r>
    </w:p>
    <w:p w14:paraId="7B1D9C9D" w14:textId="77777777" w:rsidR="00964B9F" w:rsidRPr="001B155B" w:rsidRDefault="00964B9F" w:rsidP="00964B9F">
      <w:pPr>
        <w:rPr>
          <w:b/>
          <w:bCs/>
          <w:sz w:val="14"/>
          <w:szCs w:val="14"/>
        </w:rPr>
      </w:pPr>
    </w:p>
    <w:p w14:paraId="3A0E2CB8" w14:textId="77777777" w:rsidR="00964B9F" w:rsidRPr="001B155B" w:rsidRDefault="00964B9F" w:rsidP="00964B9F">
      <w:pPr>
        <w:pStyle w:val="Caption"/>
        <w:keepNext/>
      </w:pPr>
      <w:r w:rsidRPr="001B155B">
        <w:t xml:space="preserve">Figure </w:t>
      </w:r>
      <w:r>
        <w:t>S6</w:t>
      </w:r>
      <w:r w:rsidRPr="001B155B">
        <w:t>: Outbreak risk following the 1918-19 pandemic (model with theoretical bounds)</w:t>
      </w:r>
    </w:p>
    <w:p w14:paraId="4CD66815" w14:textId="77777777" w:rsidR="00964B9F" w:rsidRPr="001B155B" w:rsidRDefault="00964B9F" w:rsidP="00964B9F">
      <w:pPr>
        <w:rPr>
          <w:b/>
          <w:bCs/>
          <w:i/>
          <w:sz w:val="14"/>
          <w:szCs w:val="14"/>
        </w:rPr>
      </w:pPr>
      <w:r w:rsidRPr="001B155B">
        <w:rPr>
          <w:b/>
          <w:bCs/>
          <w:i/>
          <w:noProof/>
          <w:sz w:val="14"/>
          <w:szCs w:val="14"/>
          <w:lang w:val="en-US"/>
        </w:rPr>
        <w:drawing>
          <wp:inline distT="0" distB="0" distL="0" distR="0" wp14:anchorId="4BBDFFBB" wp14:editId="530879C8">
            <wp:extent cx="5270500" cy="2775796"/>
            <wp:effectExtent l="0" t="0" r="635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2"/>
                    <a:stretch>
                      <a:fillRect/>
                    </a:stretch>
                  </pic:blipFill>
                  <pic:spPr>
                    <a:xfrm>
                      <a:off x="0" y="0"/>
                      <a:ext cx="5270500" cy="2775796"/>
                    </a:xfrm>
                    <a:prstGeom prst="rect">
                      <a:avLst/>
                    </a:prstGeom>
                  </pic:spPr>
                </pic:pic>
              </a:graphicData>
            </a:graphic>
          </wp:inline>
        </w:drawing>
      </w:r>
    </w:p>
    <w:p w14:paraId="5863D448" w14:textId="77777777" w:rsidR="00964B9F" w:rsidRPr="001B155B" w:rsidRDefault="00964B9F" w:rsidP="00964B9F">
      <w:pPr>
        <w:rPr>
          <w:b/>
          <w:bCs/>
          <w:sz w:val="14"/>
          <w:szCs w:val="14"/>
        </w:rPr>
      </w:pPr>
      <w:r w:rsidRPr="001B155B">
        <w:rPr>
          <w:b/>
          <w:bCs/>
          <w:sz w:val="14"/>
          <w:szCs w:val="14"/>
        </w:rPr>
        <w:t>Outbreak probabilities computed from models fitted to each city. Upper and lower bounds are set to 1,000,000 and 1 respectively.</w:t>
      </w:r>
    </w:p>
    <w:p w14:paraId="08D3A228" w14:textId="77777777" w:rsidR="00964B9F" w:rsidRPr="001B155B" w:rsidRDefault="00964B9F" w:rsidP="00964B9F">
      <w:pPr>
        <w:pStyle w:val="FootnoteText"/>
      </w:pPr>
    </w:p>
    <w:p w14:paraId="3A007D66" w14:textId="77777777" w:rsidR="00964B9F" w:rsidRPr="001B155B" w:rsidRDefault="00964B9F" w:rsidP="00964B9F">
      <w:r w:rsidRPr="001B155B">
        <w:t>Next, we discuss the assumption that mortality rates after the main pandemic waves are determined by</w:t>
      </w:r>
      <w:r>
        <w:t xml:space="preserve"> bounded Pareto distributions</w:t>
      </w:r>
      <w:r w:rsidRPr="001B155B">
        <w:t xml:space="preserve">. The </w:t>
      </w:r>
      <w:r>
        <w:t xml:space="preserve">bounded </w:t>
      </w:r>
      <w:r w:rsidRPr="001B155B">
        <w:t>Pareto distribution</w:t>
      </w:r>
      <w:r>
        <w:t xml:space="preserve"> has been used in modelling outbreak fatality risk</w:t>
      </w:r>
      <w:sdt>
        <w:sdtPr>
          <w:rPr>
            <w:color w:val="000000"/>
            <w:vertAlign w:val="superscript"/>
          </w:rPr>
          <w:tag w:val="MENDELEY_CITATION_v3_eyJjaXRhdGlvbklEIjoiTUVOREVMRVlfQ0lUQVRJT05fOTI0NjcwY2MtYmE3ZS00NmY3LTkwNmItY2ZkYmZlYzcxZDNlIiwiY2l0YXRpb25JdGVtcyI6W3siaWQiOiJlNTUxOTY3OS01NmYxLTM1NjctYTgwOC1hNjg3YTUzMDY3ZjEiLCJpdGVtRGF0YSI6eyJ0eXBlIjoiYXJ0aWNsZS1qb3VybmFsIiwiaWQiOiJlNTUxOTY3OS01NmYxLTM1NjctYTgwOC1hNjg3YTUzMDY3ZjEiLCJ0aXRsZSI6IlRhaWwgcmlzayBvZiBjb250YWdpb3VzIGRpc2Vhc2VzIiwiYXV0aG9yIjpbeyJmYW1pbHkiOiJDaXJpbGxvIiwiZ2l2ZW4iOiJQYXNxdWFsZSIsInBhcnNlLW5hbWVzIjpmYWxzZSwiZHJvcHBpbmctcGFydGljbGUiOiIiLCJub24tZHJvcHBpbmctcGFydGljbGUiOiIifSx7ImZhbWlseSI6IlRhbGViIiwiZ2l2ZW4iOiJOYXNzaW0gTmljaG9sYXMiLCJwYXJzZS1uYW1lcyI6ZmFsc2UsImRyb3BwaW5nLXBhcnRpY2xlIjoiIiwibm9uLWRyb3BwaW5nLXBhcnRpY2xlIjoiIn1dLCJjb250YWluZXItdGl0bGUiOiJOYXR1cmUgUGh5c2ljcyAyMDIwIDE2OjYiLCJhY2Nlc3NlZCI6eyJkYXRlLXBhcnRzIjpbWzIwMjEsOCwxOF1dfSwiRE9JIjoiMTAuMTAzOC9zNDE1NjctMDIwLTA5MjEteCIsIklTU04iOiIxNzQ1LTI0ODEiLCJVUkwiOiJodHRwczovL3d3dy5uYXR1cmUuY29tL2FydGljbGVzL3M0MTU2Ny0wMjAtMDkyMS14IiwiaXNzdWVkIjp7ImRhdGUtcGFydHMiOltbMjAyMCw1LDI1XV19LCJwYWdlIjoiNjA2LTYxMyIsImFic3RyYWN0IjoiVGhlIENPVklELTE5IHBhbmRlbWljIGhhcyBiZWVuIGEgc29iZXJpbmcgcmVtaW5kZXIgb2YgdGhlIGV4dGVuc2l2ZSBkYW1hZ2UgYnJvdWdodCBhYm91dCBieSBlcGlkZW1pY3MsIHBoZW5vbWVuYSB0aGF0IHBsYXkgYSB2aXZpZCByb2xlIGluIG91ciBjb2xsZWN0aXZlIG1lbW9yeSwgYW5kIHRoYXQgaGF2ZSBsb25nIGJlZW4gaWRlbnRpZmllZCBhcyBzaWduaWZpY2FudCBzb3VyY2VzIG9mIHJpc2sgZm9yIGh1bWFuaXR5LiBUaGUgdXNlIG9mIGluY3JlYXNpbmdseSBzb3BoaXN0aWNhdGVkIG1hdGhlbWF0aWNhbCBhbmQgY29tcHV0YXRpb25hbCBtb2RlbHMgZm9yIHRoZSBzcHJlYWRpbmcgYW5kIHRoZSBpbXBsaWNhdGlvbnMgb2YgZXBpZGVtaWNzIHNob3VsZCwgaW4gcHJpbmNpcGxlLCBwcm92aWRlIHBvbGljeS0gYW5kIGRlY2lzaW9uLW1ha2VycyB3aXRoIGEgZ3JlYXRlciBzaXR1YXRpb25hbCBhd2FyZW5lc3MgcmVnYXJkaW5nIHRoZWlyIHBvdGVudGlhbCByaXNrLiBZZXQgbW9zdCBvZiB0aG9zZSBtb2RlbHMgaWdub3JlIHRoZSB0YWlsIHJpc2sgb2YgY29udGFnaW91cyBkaXNlYXNlcywgdXNlIHBvaW50IGZvcmVjYXN0cywgYW5kIHRoZSByZWxpYWJpbGl0eSBvZiB0aGVpciBwYXJhbWV0ZXJzIGlzIHJhcmVseSBxdWVzdGlvbmVkIGFuZCBpbmNvcnBvcmF0ZWQgaW4gdGhlIHByb2plY3Rpb25zLiBXZSBhcmd1ZSB0aGF0IGEgbmF0dXJhbCBhbmQgZW1waXJpY2FsbHkgY29ycmVjdCBmcmFtZXdvcmsgZm9yIGFzc2Vzc2luZyAoYW5kIG1hbmFnaW5nKSB0aGUgcmVhbCByaXNrIG9mIHBhbmRlbWljcyBpcyBwcm92aWRlZCBieSBleHRyZW1lIHZhbHVlIHRoZW9yeSAoRVZUKSwgYW4gYXBwcm9hY2ggdGhhdCBoYXMgaGlzdG9yaWNhbGx5IGJlZW4gZGV2ZWxvcGVkIHRvIHRyZWF0IHBoZW5vbWVuYSBpbiB3aGljaCBleHRyZW1lcyAobWF4aW1hIG9yIG1pbmltYSkgYW5kIG5vdCBhdmVyYWdlcyBwbGF5IHRoZSByb2xlIG9mIHRoZSBwcm90YWdvbmlzdCwgYmVpbmcgdGhlIGZ1bmRhbWVudGFsIHNvdXJjZSBvZiByaXNrLiBCeSBhbmFseXNpbmcgZGF0YSBmb3IgcGFuZGVtaWMgb3V0YnJlYWtzIHNwYW5uaW5nIG92ZXIgdGhlIHBhc3QgMjUwMCB5ZWFycywgd2Ugc2hvdyB0aGF0IHRoZSByZWxhdGVkIGRpc3RyaWJ1dGlvbiBvZiBmYXRhbGl0aWVzIGlzIHN0cm9uZ2x5IGZhdC10YWlsZWQsIHN1Z2dlc3RpbmcgYSB0YWlsIHJpc2sgdGhhdCBpcyB1bmZvcnR1bmF0ZWx5IGxhcmdlbHkgaWdub3JlZCBpbiBjb21tb24gZXBpZGVtaW9sb2dpY2FsIG1vZGVscy4gV2UgdXNlIGEgZHVhbCBkaXN0cmlidXRpb24gbWV0aG9kLCBjb21iaW5lZCB3aXRoIEVWVCwgdG8gZXh0cmFjdCBpbmZvcm1hdGlvbiBmcm9tIHRoZSBkYXRhIHRoYXQgaXMgbm90IGltbWVkaWF0ZWx5IGF2YWlsYWJsZSB0byBpbnNwZWN0aW9uLiBUbyBjaGVjayB0aGUgcm9idXN0bmVzcyBvZiBvdXIgY29uY2x1c2lvbnMsIHdlIHN0cmVzcyBvdXIgZGF0YSB0byBhY2NvdW50IGZvciB0aGUgaW1wcmVjaXNpb24gaW4gaGlzdG9yaWNhbCByZXBvcnRpbmcuIFdlIGFyZ3VlIHRoYXQgb3VyIGZpbmRpbmdzIGhhdmUgc2lnbmlmaWNhbnQgaW1wbGljYXRpb25zLCBpbmNsdWRpbmcgb24gdGhlIGV4dGVudCB0byB3aGljaCBjb21wYXJ0bWVudGFsIGVwaWRlbWlvbG9naWNhbCBtb2RlbHMgYW5kIHNpbWlsYXIgYXBwcm9hY2hlcyBjYW4gYmUgcmVsaWVkIHVwb24gZm9yIG1ha2luZyBwb2xpY3kgZGVjaXNpb25zLiBUaGlzIFBlcnNwZWN0aXZlIGFyZ3VlcyB0aGF0IGFuIGFwcHJvYWNoIGNhbGxlZCBleHRyZW1lIHZhbHVlIHRoZW9yeSBpcyBhcHByb3ByaWF0ZSBmb3IgdW5kZXJzdGFuZGluZyB0aGUgc28tY2FsbGVkIHRhaWwgcmlzayBvZiBlcGlkZW1pYyBvdXRicmVha3MsIGluIHBhcnRpY3VsYXIgYnkgZGVtb25zdHJhdGluZyB0aGF0IHRoZSBkaXN0cmlidXRpb24gb2YgZmF0YWxpdGllcyBkdWUgdG8gZXBpZGVtaWMgb3V0YnJlYWtzIG92ZXIgdGhlIHBhc3QgMjUwMCB5ZWFycyBpcyBmYXQtdGFpbGVkIGFuZCBkb21pbmF0ZWQgYnkgZXh0cmVtZSBldmVudHMuIiwicHVibGlzaGVyIjoiTmF0dXJlIFB1Ymxpc2hpbmcgR3JvdXAiLCJpc3N1ZSI6IjYiLCJ2b2x1bWUiOiIxNiJ9LCJpc1RlbXBvcmFyeSI6ZmFsc2V9XSwicHJvcGVydGllcyI6eyJub3RlSW5kZXgiOjB9LCJpc0VkaXRlZCI6ZmFsc2UsIm1hbnVhbE92ZXJyaWRlIjp7ImlzTWFudWFsbHlPdmVycmlkZGVuIjp0cnVlLCJjaXRlcHJvY1RleHQiOiI8c3VwPjIxPC9zdXA+IiwibWFudWFsT3ZlcnJpZGVUZXh0IjoiMjEifX0="/>
          <w:id w:val="1982184307"/>
          <w:placeholder>
            <w:docPart w:val="E8F428B0FB2690498F659DDA1C024B09"/>
          </w:placeholder>
        </w:sdtPr>
        <w:sdtContent>
          <w:r w:rsidRPr="00782F96">
            <w:rPr>
              <w:color w:val="000000"/>
              <w:vertAlign w:val="superscript"/>
            </w:rPr>
            <w:t>21</w:t>
          </w:r>
        </w:sdtContent>
      </w:sdt>
      <w:r>
        <w:t xml:space="preserve"> and</w:t>
      </w:r>
      <w:r w:rsidRPr="001B155B">
        <w:t xml:space="preserve"> offers flexibility and tractability in capturing important properties of a distribution of mortality rates in the context of our analysis. </w:t>
      </w:r>
      <w:r w:rsidRPr="00A93029">
        <w:t xml:space="preserve">A model of the dynamics of mortality risk </w:t>
      </w:r>
      <w:r>
        <w:t>after the main</w:t>
      </w:r>
      <w:r w:rsidRPr="00A93029">
        <w:t xml:space="preserve"> pandemic waves needs to capture</w:t>
      </w:r>
      <w:r>
        <w:t xml:space="preserve"> mortality</w:t>
      </w:r>
      <w:r w:rsidRPr="00A93029">
        <w:t xml:space="preserve"> risk in a period spanning high mortality rates, immediately after the main waves of the pandemic, and low mortality rates a few decades after the pandemic when the effect of the pandemic has died </w:t>
      </w:r>
      <w:r w:rsidRPr="00A93029">
        <w:lastRenderedPageBreak/>
        <w:t>out.</w:t>
      </w:r>
      <w:r w:rsidRPr="001B155B">
        <w:t xml:space="preserve"> Hence it is important that the underlying mortality distribution in any given year can simultaneously account for a </w:t>
      </w:r>
      <w:r>
        <w:t>fat</w:t>
      </w:r>
      <w:r w:rsidRPr="001B155B">
        <w:t xml:space="preserve"> tail, and thus a potentially higher probability of disease outbreaks, and </w:t>
      </w:r>
      <w:r>
        <w:t xml:space="preserve">ensure that </w:t>
      </w:r>
      <w:r w:rsidRPr="001B155B">
        <w:t>the mass of the distribution remain</w:t>
      </w:r>
      <w:r>
        <w:t>s</w:t>
      </w:r>
      <w:r w:rsidRPr="001B155B">
        <w:t xml:space="preserve"> at the lower end of mortalit</w:t>
      </w:r>
      <w:r>
        <w:t>y</w:t>
      </w:r>
      <w:r w:rsidRPr="001B155B">
        <w:t xml:space="preserve">. Over time, the tail becomes less important, tending to </w:t>
      </w:r>
      <w:r>
        <w:t>background</w:t>
      </w:r>
      <w:r w:rsidRPr="001B155B">
        <w:t xml:space="preserve"> mortality, and the distribution converges to a very high concentration </w:t>
      </w:r>
      <w:r>
        <w:t>toward</w:t>
      </w:r>
      <w:r w:rsidRPr="001B155B">
        <w:t xml:space="preserve"> the lower bound of mortality rates. The </w:t>
      </w:r>
      <w:r>
        <w:t xml:space="preserve">bounded </w:t>
      </w:r>
      <w:r w:rsidRPr="001B155B">
        <w:t xml:space="preserve">Pareto distribution has the flexibility to account in a tractable manner for both characteristics: it has a </w:t>
      </w:r>
      <w:r>
        <w:t>fat</w:t>
      </w:r>
      <w:r w:rsidRPr="001B155B">
        <w:t xml:space="preserve"> tail while the most likely outcomes remain near the lower bound of mortality; and, conditional on the bounds, a transition in the tail probabilities is identified via changes in one parameter. </w:t>
      </w:r>
    </w:p>
    <w:p w14:paraId="3FD7739E" w14:textId="77777777" w:rsidR="00964B9F" w:rsidRPr="001B155B" w:rsidRDefault="00964B9F" w:rsidP="00964B9F"/>
    <w:p w14:paraId="477B4BC4" w14:textId="77777777" w:rsidR="00964B9F" w:rsidRPr="001B155B" w:rsidRDefault="00964B9F" w:rsidP="00964B9F">
      <w:r w:rsidRPr="001B155B">
        <w:t xml:space="preserve">To further illustrate key points of the relevance of the Pareto distribution, we describe and fit a model with an alternative one-parameter distribution </w:t>
      </w:r>
      <w:r>
        <w:t>that allows for high probabilities for outcomes associated with the tail</w:t>
      </w:r>
      <w:r w:rsidRPr="001B155B">
        <w:t>, the one-parameter Weibull-type distribution</w:t>
      </w:r>
      <w:r>
        <w:t>.</w:t>
      </w:r>
      <w:sdt>
        <w:sdtPr>
          <w:rPr>
            <w:color w:val="000000"/>
            <w:vertAlign w:val="superscript"/>
          </w:rPr>
          <w:tag w:val="MENDELEY_CITATION_v3_eyJjaXRhdGlvbklEIjoiTUVOREVMRVlfQ0lUQVRJT05fZDg3MTg5YTgtZTQ5NC00OGNjLTg0ZDYtNzhkNTg4OGYwMTNmIiwiY2l0YXRpb25JdGVtcyI6W3siaWQiOiJhODQ0YzBiNi0xZTQ4LTMxODEtYTZhMS0yN2QwZmMzMmRiNmMiLCJpdGVtRGF0YSI6eyJ0eXBlIjoiYXJ0aWNsZS1qb3VybmFsIiwiaWQiOiJhODQ0YzBiNi0xZTQ4LTMxODEtYTZhMS0yN2QwZmMzMmRiNmMiLCJ0aXRsZSI6Ik9uZS1QYXJhbWV0ZXIgV2VpYnVsbC1UeXBlIERpc3RyaWJ1dGlvbiwgSXRzIFJlbGF0aXZlIEVudHJvcHkgd2l0aCBSZXNwZWN0IHRvIFdlaWJ1bGwgYW5kIGEgRnJhY3Rpb25hbCBUd28tUGFyYW1ldGVyIEV4cG9uZW50aWFsIERpc3RyaWJ1dGlvbiIsImF1dGhvciI6W3siZmFtaWx5IjoiQWxleG9wb3Vsb3MiLCJnaXZlbiI6IkFyaXMiLCJwYXJzZS1uYW1lcyI6ZmFsc2UsImRyb3BwaW5nLXBhcnRpY2xlIjoiIiwibm9uLWRyb3BwaW5nLXBhcnRpY2xlIjoiIn1dLCJjb250YWluZXItdGl0bGUiOiJTdGF0cyIsImFjY2Vzc2VkIjp7ImRhdGUtcGFydHMiOltbMjAyMSw4LDE3XV19LCJET0kiOiIxMC4zMzkwL3N0YXRzMjAxMDAwNCIsIklTU04iOiIyNTcxLTkwNVgiLCJVUkwiOiJodHRwOi8vd3d3Lm1kcGkuY29tLzI1NzEtOTA1WC8yLzEvNCIsImlzc3VlZCI6eyJkYXRlLXBhcnRzIjpbWzIwMTksMSwyMV1dfSwicGFnZSI6IjM0LTU0IiwiYWJzdHJhY3QiOiI8cD5BIG5ldyBvbmUtcGFyYW1ldGVyIGRpc3RyaWJ1dGlvbiBpcyBwcmVzZW50ZWQgd2l0aCBzaW1pbGFyIG1hdGhlbWF0aWNhbCBjaGFyYWN0ZXJpc3RpY3MgdG8gdGhlIHR3byBwYXJhbWV0ZXIgY29udmVudGlvbmFsIFdlaWJ1bGwuIEl0IGhhcyBhbiBlc3RpbWF0b3IgdGhhdCBvbmx5IGRlcGVuZHMgb24gdGhlIHNhbXBsZSBtZWFuLiBUaGUgcmVsYXRpdmUgZW50cm9weSB3aXRoIHJlc3BlY3QgdG8gdGhlIFdlaWJ1bGwgZGlzdHJpYnV0aW9uIGlzIGRlcml2ZWQgaW4gb3JkZXIgdG8gZXhhbWluZSB0aGUgbGV2ZWwgb2Ygc2ltaWxhcml0eSBiZXR3ZWVuIHRoZW0uIFRoZSBwZXJmb3JtYW5jZSBvZiB0aGUgbmV3IGRpc3RyaWJ1dGlvbiBpcyBjb21wYXJlZCB0byB0aGUgV2VpYnVsbCBhbmQgaW4gc29tZSBjYXNlcyB0aGUgR2FtbWEgZGlzdHJpYnV0aW9uIHVzaW5nIHJlYWwgZGF0YS4gSW4gYWRkaXRpb24sIHRoZSBFeHBvbmVudGlhbCBkaXN0cmlidXRpb24gaXMgbW9kaWZpZWQgdG8gaW5jbHVkZSBhbiBleHRyYSBwYXJhbWV0ZXIgdmlhIGEgc2ltcGxlIHRyYW5zZm9ybWF0aW9uIHVzaW5nIGZyYWN0aW9uYWwgbWF0aGVtYXRpY3MuIEl0IHdpbGwgYmUgc2hvd24gdGhhdCB0aGUgbW9kaWZpZWQgdmVyc2lvbiBhbHNvIGV4aGliaXRzIFdlaWJ1bGwgY2hhcmFjdGVyaXN0aWNzIGZvciBwYXJ0aWN1bGFyIHZhbHVlcyBvZiB0aGUgc2Vjb25kIHBhcmFtZXRlci48L3A+IiwiaXNzdWUiOiIxIiwidm9sdW1lIjoiMiJ9LCJpc1RlbXBvcmFyeSI6ZmFsc2V9XSwicHJvcGVydGllcyI6eyJub3RlSW5kZXgiOjB9LCJpc0VkaXRlZCI6ZmFsc2UsIm1hbnVhbE92ZXJyaWRlIjp7ImlzTWFudWFsbHlPdmVycmlkZGVuIjp0cnVlLCJjaXRlcHJvY1RleHQiOiI8c3VwPjMzPC9zdXA+IiwibWFudWFsT3ZlcnJpZGVUZXh0IjoiMzMifX0="/>
          <w:id w:val="-522095992"/>
          <w:placeholder>
            <w:docPart w:val="E8F428B0FB2690498F659DDA1C024B09"/>
          </w:placeholder>
        </w:sdtPr>
        <w:sdtContent>
          <w:r w:rsidRPr="00782F96">
            <w:rPr>
              <w:color w:val="000000"/>
              <w:vertAlign w:val="superscript"/>
            </w:rPr>
            <w:t>33</w:t>
          </w:r>
        </w:sdtContent>
      </w:sdt>
      <w:r w:rsidRPr="001B155B">
        <w:t xml:space="preserve"> In this case, mortality rates are drawn from:</w:t>
      </w:r>
    </w:p>
    <w:p w14:paraId="60167019" w14:textId="77777777" w:rsidR="00964B9F" w:rsidRPr="001B155B" w:rsidRDefault="00964B9F" w:rsidP="00964B9F"/>
    <w:p w14:paraId="57D75D60" w14:textId="77777777" w:rsidR="00964B9F" w:rsidRPr="001B155B" w:rsidRDefault="00964B9F" w:rsidP="00964B9F">
      <w:pPr>
        <w:jc w:val="center"/>
      </w:pPr>
      <m:oMath>
        <m:sSub>
          <m:sSubPr>
            <m:ctrlPr>
              <w:rPr>
                <w:rFonts w:ascii="Cambria Math" w:hAnsi="Cambria Math"/>
                <w:i/>
              </w:rPr>
            </m:ctrlPr>
          </m:sSubPr>
          <m:e>
            <m:r>
              <w:rPr>
                <w:rFonts w:ascii="Cambria Math" w:hAnsi="Cambria Math"/>
              </w:rPr>
              <m:t>d</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t</m:t>
            </m:r>
          </m:sub>
        </m:sSub>
        <m:d>
          <m:dPr>
            <m:ctrlPr>
              <w:rPr>
                <w:rFonts w:ascii="Cambria Math"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t</m:t>
                </m:r>
              </m:sub>
            </m:sSub>
          </m:e>
        </m:d>
        <m:r>
          <w:rPr>
            <w:rFonts w:ascii="Cambria Math" w:hAnsi="Cambria Math"/>
          </w:rPr>
          <m:t>,</m:t>
        </m:r>
      </m:oMath>
      <w:r w:rsidRPr="001B155B">
        <w:t xml:space="preserve">      (4)</w:t>
      </w:r>
    </w:p>
    <w:p w14:paraId="7C261419" w14:textId="77777777" w:rsidR="00964B9F" w:rsidRPr="001B155B" w:rsidRDefault="00964B9F" w:rsidP="00964B9F">
      <w:pPr>
        <w:jc w:val="both"/>
      </w:pPr>
      <w:r w:rsidRPr="001B155B">
        <w:t xml:space="preserve">where </w:t>
      </w:r>
      <m:oMath>
        <m:sSub>
          <m:sSubPr>
            <m:ctrlPr>
              <w:rPr>
                <w:rFonts w:ascii="Cambria Math" w:hAnsi="Cambria Math"/>
                <w:i/>
              </w:rPr>
            </m:ctrlPr>
          </m:sSubPr>
          <m:e>
            <m:r>
              <w:rPr>
                <w:rFonts w:ascii="Cambria Math" w:hAnsi="Cambria Math"/>
              </w:rPr>
              <m:t>w</m:t>
            </m:r>
          </m:e>
          <m:sub>
            <m:r>
              <w:rPr>
                <w:rFonts w:ascii="Cambria Math" w:hAnsi="Cambria Math"/>
              </w:rPr>
              <m:t>t</m:t>
            </m:r>
          </m:sub>
        </m:sSub>
        <m:r>
          <w:rPr>
            <w:rFonts w:ascii="Cambria Math" w:hAnsi="Cambria Math"/>
          </w:rPr>
          <m:t>∈</m:t>
        </m:r>
        <m:d>
          <m:dPr>
            <m:begChr m:val="["/>
            <m:endChr m:val="]"/>
            <m:ctrlPr>
              <w:rPr>
                <w:rFonts w:ascii="Cambria Math" w:hAnsi="Cambria Math"/>
                <w:i/>
              </w:rPr>
            </m:ctrlPr>
          </m:dPr>
          <m:e>
            <m:r>
              <w:rPr>
                <w:rFonts w:ascii="Cambria Math" w:hAnsi="Cambria Math"/>
              </w:rPr>
              <m:t>0,1</m:t>
            </m:r>
          </m:e>
        </m:d>
      </m:oMath>
      <w:r w:rsidRPr="001B155B">
        <w:t xml:space="preserve">, noting that the tail contracts as </w:t>
      </w:r>
      <m:oMath>
        <m:sSub>
          <m:sSubPr>
            <m:ctrlPr>
              <w:rPr>
                <w:rFonts w:ascii="Cambria Math" w:hAnsi="Cambria Math"/>
                <w:i/>
              </w:rPr>
            </m:ctrlPr>
          </m:sSubPr>
          <m:e>
            <m:r>
              <w:rPr>
                <w:rFonts w:ascii="Cambria Math" w:hAnsi="Cambria Math"/>
              </w:rPr>
              <m:t>w</m:t>
            </m:r>
          </m:e>
          <m:sub>
            <m:r>
              <w:rPr>
                <w:rFonts w:ascii="Cambria Math" w:hAnsi="Cambria Math"/>
              </w:rPr>
              <m:t>t</m:t>
            </m:r>
          </m:sub>
        </m:sSub>
      </m:oMath>
      <w:r w:rsidRPr="001B155B">
        <w:t xml:space="preserve"> decreases. Assume that:</w:t>
      </w:r>
    </w:p>
    <w:p w14:paraId="5BDDF652" w14:textId="77777777" w:rsidR="00964B9F" w:rsidRPr="001B155B" w:rsidRDefault="00964B9F" w:rsidP="00964B9F">
      <w:pPr>
        <w:jc w:val="both"/>
      </w:pPr>
    </w:p>
    <w:p w14:paraId="6D3F8FB6" w14:textId="77777777" w:rsidR="00964B9F" w:rsidRPr="001B155B" w:rsidRDefault="00964B9F" w:rsidP="00964B9F">
      <w:pPr>
        <w:jc w:val="center"/>
      </w:pPr>
      <m:oMath>
        <m:sSub>
          <m:sSubPr>
            <m:ctrlPr>
              <w:rPr>
                <w:rFonts w:ascii="Cambria Math" w:hAnsi="Cambria Math"/>
                <w:i/>
              </w:rPr>
            </m:ctrlPr>
          </m:sSubPr>
          <m:e>
            <m:r>
              <w:rPr>
                <w:rFonts w:ascii="Cambria Math" w:hAnsi="Cambria Math"/>
              </w:rPr>
              <m:t>w</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0</m:t>
            </m:r>
          </m:sub>
        </m:sSub>
        <m:sSup>
          <m:sSupPr>
            <m:ctrlPr>
              <w:rPr>
                <w:rFonts w:ascii="Cambria Math" w:hAnsi="Cambria Math"/>
                <w:i/>
              </w:rPr>
            </m:ctrlPr>
          </m:sSupPr>
          <m:e>
            <m:r>
              <w:rPr>
                <w:rFonts w:ascii="Cambria Math" w:hAnsi="Cambria Math"/>
              </w:rPr>
              <m:t>e</m:t>
            </m:r>
          </m:e>
          <m:sup>
            <m:r>
              <w:rPr>
                <w:rFonts w:ascii="Cambria Math" w:hAnsi="Cambria Math"/>
              </w:rPr>
              <m:t>-λt</m:t>
            </m:r>
          </m:sup>
        </m:sSup>
      </m:oMath>
      <w:r w:rsidRPr="001B155B">
        <w:t>.   (5)</w:t>
      </w:r>
    </w:p>
    <w:p w14:paraId="3A7936D9" w14:textId="77777777" w:rsidR="00964B9F" w:rsidRPr="001B155B" w:rsidRDefault="00964B9F" w:rsidP="00964B9F">
      <w:r w:rsidRPr="001B155B">
        <w:t xml:space="preserve">Conditional on the time process in (5), and thus conditional on the sequence </w:t>
      </w:r>
      <m:oMath>
        <m:sSubSup>
          <m:sSubSupPr>
            <m:ctrlPr>
              <w:rPr>
                <w:rFonts w:ascii="Cambria Math" w:hAnsi="Cambria Math"/>
                <w:i/>
              </w:rPr>
            </m:ctrlPr>
          </m:sSubSupPr>
          <m:e>
            <m:d>
              <m:dPr>
                <m:ctrlPr>
                  <w:rPr>
                    <w:rFonts w:ascii="Cambria Math"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t</m:t>
                    </m:r>
                  </m:sub>
                </m:sSub>
              </m:e>
            </m:d>
          </m:e>
          <m:sub>
            <m:r>
              <w:rPr>
                <w:rFonts w:ascii="Cambria Math" w:hAnsi="Cambria Math"/>
              </w:rPr>
              <m:t>t=0</m:t>
            </m:r>
          </m:sub>
          <m:sup>
            <m:r>
              <w:rPr>
                <w:rFonts w:ascii="Cambria Math" w:hAnsi="Cambria Math"/>
              </w:rPr>
              <m:t>N</m:t>
            </m:r>
          </m:sup>
        </m:sSubSup>
      </m:oMath>
      <w:r w:rsidRPr="001B155B">
        <w:t xml:space="preserve">, </w:t>
      </w:r>
      <m:oMath>
        <m:sSub>
          <m:sSubPr>
            <m:ctrlPr>
              <w:rPr>
                <w:rFonts w:ascii="Cambria Math" w:hAnsi="Cambria Math"/>
                <w:i/>
              </w:rPr>
            </m:ctrlPr>
          </m:sSubPr>
          <m:e>
            <m:r>
              <w:rPr>
                <w:rFonts w:ascii="Cambria Math" w:hAnsi="Cambria Math"/>
              </w:rPr>
              <m:t>d</m:t>
            </m:r>
          </m:e>
          <m:sub>
            <m:r>
              <w:rPr>
                <w:rFonts w:ascii="Cambria Math" w:hAnsi="Cambria Math"/>
              </w:rPr>
              <m:t>t</m:t>
            </m:r>
          </m:sub>
        </m:sSub>
      </m:oMath>
      <w:r w:rsidRPr="001B155B">
        <w:t xml:space="preserve"> is independently distributed over time following (4). The likelihood is given by:</w:t>
      </w:r>
    </w:p>
    <w:p w14:paraId="5739F4E1" w14:textId="77777777" w:rsidR="00964B9F" w:rsidRPr="001B155B" w:rsidRDefault="00964B9F" w:rsidP="00964B9F">
      <w:pPr>
        <w:jc w:val="center"/>
      </w:pPr>
      <m:oMath>
        <m:r>
          <w:rPr>
            <w:rFonts w:ascii="Cambria Math" w:hAnsi="Cambria Math"/>
          </w:rPr>
          <m:t>L</m:t>
        </m:r>
        <m:d>
          <m:dPr>
            <m:ctrlPr>
              <w:rPr>
                <w:rFonts w:ascii="Cambria Math" w:hAnsi="Cambria Math"/>
                <w:i/>
              </w:rPr>
            </m:ctrlPr>
          </m:dPr>
          <m:e>
            <m:r>
              <w:rPr>
                <w:rFonts w:ascii="Cambria Math" w:hAnsi="Cambria Math"/>
              </w:rPr>
              <m:t>λ</m:t>
            </m:r>
            <m:r>
              <m:rPr>
                <m:sty m:val="p"/>
              </m:rP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0</m:t>
                </m:r>
              </m:sub>
            </m:sSub>
          </m:e>
        </m:d>
        <m:r>
          <w:rPr>
            <w:rFonts w:ascii="Cambria Math" w:hAnsi="Cambria Math"/>
          </w:rPr>
          <m:t>=</m:t>
        </m:r>
        <m:nary>
          <m:naryPr>
            <m:chr m:val="∏"/>
            <m:limLoc m:val="undOvr"/>
            <m:ctrlPr>
              <w:rPr>
                <w:rFonts w:ascii="Cambria Math" w:hAnsi="Cambria Math"/>
                <w:i/>
              </w:rPr>
            </m:ctrlPr>
          </m:naryPr>
          <m:sub>
            <m:r>
              <w:rPr>
                <w:rFonts w:ascii="Cambria Math" w:hAnsi="Cambria Math"/>
              </w:rPr>
              <m:t>t=0</m:t>
            </m:r>
          </m:sub>
          <m:sup>
            <m:r>
              <w:rPr>
                <w:rFonts w:ascii="Cambria Math" w:hAnsi="Cambria Math"/>
              </w:rPr>
              <m:t>N</m:t>
            </m:r>
          </m:sup>
          <m:e>
            <m:f>
              <m:fPr>
                <m:ctrlPr>
                  <w:rPr>
                    <w:rFonts w:ascii="Cambria Math" w:hAnsi="Cambria Math"/>
                    <w:i/>
                  </w:rPr>
                </m:ctrlPr>
              </m:fPr>
              <m:num>
                <m:sSup>
                  <m:sSupPr>
                    <m:ctrlPr>
                      <w:rPr>
                        <w:rFonts w:ascii="Cambria Math" w:hAnsi="Cambria Math"/>
                        <w:i/>
                      </w:rPr>
                    </m:ctrlPr>
                  </m:sSupPr>
                  <m:e>
                    <m:r>
                      <w:rPr>
                        <w:rFonts w:ascii="Cambria Math" w:hAnsi="Cambria Math"/>
                      </w:rPr>
                      <m:t>log</m:t>
                    </m:r>
                  </m:e>
                  <m:sup>
                    <m:r>
                      <w:rPr>
                        <w:rFonts w:ascii="Cambria Math" w:hAnsi="Cambria Math"/>
                      </w:rPr>
                      <m:t>3</m:t>
                    </m:r>
                  </m:sup>
                </m:sSup>
                <m:d>
                  <m:dPr>
                    <m:ctrlPr>
                      <w:rPr>
                        <w:rFonts w:ascii="Cambria Math"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0</m:t>
                        </m:r>
                      </m:sub>
                    </m:sSub>
                    <m:sSup>
                      <m:sSupPr>
                        <m:ctrlPr>
                          <w:rPr>
                            <w:rFonts w:ascii="Cambria Math" w:hAnsi="Cambria Math"/>
                            <w:i/>
                          </w:rPr>
                        </m:ctrlPr>
                      </m:sSupPr>
                      <m:e>
                        <m:r>
                          <w:rPr>
                            <w:rFonts w:ascii="Cambria Math" w:hAnsi="Cambria Math"/>
                          </w:rPr>
                          <m:t>e</m:t>
                        </m:r>
                      </m:e>
                      <m:sup>
                        <m:r>
                          <w:rPr>
                            <w:rFonts w:ascii="Cambria Math" w:hAnsi="Cambria Math"/>
                          </w:rPr>
                          <m:t>-λt</m:t>
                        </m:r>
                      </m:sup>
                    </m:sSup>
                  </m:e>
                </m:d>
              </m:num>
              <m:den>
                <m:r>
                  <w:rPr>
                    <w:rFonts w:ascii="Cambria Math" w:hAnsi="Cambria Math"/>
                  </w:rPr>
                  <m:t>log</m:t>
                </m:r>
                <m:d>
                  <m:dPr>
                    <m:ctrlPr>
                      <w:rPr>
                        <w:rFonts w:ascii="Cambria Math"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0</m:t>
                        </m:r>
                      </m:sub>
                    </m:sSub>
                    <m:sSup>
                      <m:sSupPr>
                        <m:ctrlPr>
                          <w:rPr>
                            <w:rFonts w:ascii="Cambria Math" w:hAnsi="Cambria Math"/>
                            <w:i/>
                          </w:rPr>
                        </m:ctrlPr>
                      </m:sSupPr>
                      <m:e>
                        <m:r>
                          <w:rPr>
                            <w:rFonts w:ascii="Cambria Math" w:hAnsi="Cambria Math"/>
                          </w:rPr>
                          <m:t>e</m:t>
                        </m:r>
                      </m:e>
                      <m:sup>
                        <m:r>
                          <w:rPr>
                            <w:rFonts w:ascii="Cambria Math" w:hAnsi="Cambria Math"/>
                          </w:rPr>
                          <m:t>-λt</m:t>
                        </m:r>
                      </m:sup>
                    </m:sSup>
                  </m:e>
                </m:d>
                <m:r>
                  <w:rPr>
                    <w:rFonts w:ascii="Cambria Math" w:hAnsi="Cambria Math"/>
                  </w:rPr>
                  <m:t>-2</m:t>
                </m:r>
              </m:den>
            </m:f>
            <m:sSub>
              <m:sSubPr>
                <m:ctrlPr>
                  <w:rPr>
                    <w:rFonts w:ascii="Cambria Math" w:hAnsi="Cambria Math"/>
                    <w:i/>
                  </w:rPr>
                </m:ctrlPr>
              </m:sSubPr>
              <m:e>
                <m:acc>
                  <m:accPr>
                    <m:chr m:val="̅"/>
                    <m:ctrlPr>
                      <w:rPr>
                        <w:rFonts w:ascii="Cambria Math" w:hAnsi="Cambria Math"/>
                        <w:i/>
                      </w:rPr>
                    </m:ctrlPr>
                  </m:accPr>
                  <m:e>
                    <m:r>
                      <w:rPr>
                        <w:rFonts w:ascii="Cambria Math" w:hAnsi="Cambria Math"/>
                      </w:rPr>
                      <m:t>d</m:t>
                    </m:r>
                  </m:e>
                </m:acc>
              </m:e>
              <m:sub>
                <m:r>
                  <w:rPr>
                    <w:rFonts w:ascii="Cambria Math" w:hAnsi="Cambria Math"/>
                  </w:rPr>
                  <m:t>t</m:t>
                </m:r>
              </m:sub>
            </m:sSub>
          </m:e>
        </m:nary>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d</m:t>
                    </m:r>
                  </m:e>
                </m:acc>
              </m:e>
              <m:sub>
                <m:r>
                  <w:rPr>
                    <w:rFonts w:ascii="Cambria Math" w:hAnsi="Cambria Math"/>
                  </w:rPr>
                  <m:t>t</m:t>
                </m:r>
              </m:sub>
            </m:sSub>
            <m:r>
              <w:rPr>
                <w:rFonts w:ascii="Cambria Math" w:hAnsi="Cambria Math"/>
              </w:rPr>
              <m:t>+1</m:t>
            </m:r>
          </m:e>
        </m:d>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0</m:t>
                    </m:r>
                  </m:sub>
                </m:sSub>
                <m:sSup>
                  <m:sSupPr>
                    <m:ctrlPr>
                      <w:rPr>
                        <w:rFonts w:ascii="Cambria Math" w:hAnsi="Cambria Math"/>
                        <w:i/>
                      </w:rPr>
                    </m:ctrlPr>
                  </m:sSupPr>
                  <m:e>
                    <m:r>
                      <w:rPr>
                        <w:rFonts w:ascii="Cambria Math" w:hAnsi="Cambria Math"/>
                      </w:rPr>
                      <m:t>e</m:t>
                    </m:r>
                  </m:e>
                  <m:sup>
                    <m:r>
                      <w:rPr>
                        <w:rFonts w:ascii="Cambria Math" w:hAnsi="Cambria Math"/>
                      </w:rPr>
                      <m:t>-λt</m:t>
                    </m:r>
                  </m:sup>
                </m:sSup>
              </m:e>
            </m:d>
          </m:e>
          <m:sup>
            <m:sSub>
              <m:sSubPr>
                <m:ctrlPr>
                  <w:rPr>
                    <w:rFonts w:ascii="Cambria Math" w:hAnsi="Cambria Math"/>
                    <w:i/>
                  </w:rPr>
                </m:ctrlPr>
              </m:sSubPr>
              <m:e>
                <m:acc>
                  <m:accPr>
                    <m:chr m:val="̅"/>
                    <m:ctrlPr>
                      <w:rPr>
                        <w:rFonts w:ascii="Cambria Math" w:hAnsi="Cambria Math"/>
                        <w:i/>
                      </w:rPr>
                    </m:ctrlPr>
                  </m:accPr>
                  <m:e>
                    <m:r>
                      <w:rPr>
                        <w:rFonts w:ascii="Cambria Math" w:hAnsi="Cambria Math"/>
                      </w:rPr>
                      <m:t>d</m:t>
                    </m:r>
                  </m:e>
                </m:acc>
              </m:e>
              <m:sub>
                <m:r>
                  <w:rPr>
                    <w:rFonts w:ascii="Cambria Math" w:hAnsi="Cambria Math"/>
                  </w:rPr>
                  <m:t>t</m:t>
                </m:r>
              </m:sub>
            </m:sSub>
          </m:sup>
        </m:sSup>
      </m:oMath>
      <w:r w:rsidRPr="001B155B">
        <w:t>,</w:t>
      </w:r>
    </w:p>
    <w:p w14:paraId="6574319B" w14:textId="77777777" w:rsidR="00964B9F" w:rsidRPr="001B155B" w:rsidRDefault="00964B9F" w:rsidP="00964B9F">
      <w:r w:rsidRPr="001B155B">
        <w:t xml:space="preserve">for a sample of mortality rates </w:t>
      </w:r>
      <m:oMath>
        <m:sSubSup>
          <m:sSubSupPr>
            <m:ctrlPr>
              <w:rPr>
                <w:rFonts w:ascii="Cambria Math" w:hAnsi="Cambria Math"/>
                <w:i/>
              </w:rPr>
            </m:ctrlPr>
          </m:sSubSupPr>
          <m:e>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d</m:t>
                        </m:r>
                      </m:e>
                    </m:acc>
                  </m:e>
                  <m:sub>
                    <m:r>
                      <w:rPr>
                        <w:rFonts w:ascii="Cambria Math" w:hAnsi="Cambria Math"/>
                      </w:rPr>
                      <m:t>t</m:t>
                    </m:r>
                  </m:sub>
                </m:sSub>
              </m:e>
            </m:d>
          </m:e>
          <m:sub>
            <m:r>
              <w:rPr>
                <w:rFonts w:ascii="Cambria Math" w:hAnsi="Cambria Math"/>
              </w:rPr>
              <m:t>t=0</m:t>
            </m:r>
          </m:sub>
          <m:sup>
            <m:r>
              <w:rPr>
                <w:rFonts w:ascii="Cambria Math" w:hAnsi="Cambria Math"/>
              </w:rPr>
              <m:t>N</m:t>
            </m:r>
          </m:sup>
        </m:sSubSup>
      </m:oMath>
      <w:r w:rsidRPr="001B155B">
        <w:t>. Figures S</w:t>
      </w:r>
      <w:r>
        <w:t>7</w:t>
      </w:r>
      <w:r w:rsidRPr="001B155B">
        <w:t xml:space="preserve"> and S</w:t>
      </w:r>
      <w:r>
        <w:t xml:space="preserve">8 </w:t>
      </w:r>
      <w:r w:rsidRPr="001B155B">
        <w:t xml:space="preserve">reproduce Figures 2 and 3 under this modelling. The results from this model also reveal that mortality risk remains high for a long period after the main pandemic waves, and that its dynamic pattern is </w:t>
      </w:r>
      <w:r>
        <w:t>similar</w:t>
      </w:r>
      <w:r w:rsidRPr="001B155B">
        <w:t xml:space="preserve"> across geographical units. However, as can be seen, the predicted probabilities for disease outbreaks are high</w:t>
      </w:r>
      <w:r>
        <w:t>er than those in Figure 3</w:t>
      </w:r>
      <w:r w:rsidRPr="001B155B">
        <w:t xml:space="preserve">. This is an implication of the one-parameter Weibull form that delivers a </w:t>
      </w:r>
      <w:r>
        <w:t>fat</w:t>
      </w:r>
      <w:r w:rsidRPr="001B155B">
        <w:t xml:space="preserve"> tail by shifting the mass of the distribution away from lower numbers</w:t>
      </w:r>
      <w:r>
        <w:t>.</w:t>
      </w:r>
      <w:sdt>
        <w:sdtPr>
          <w:rPr>
            <w:color w:val="000000"/>
            <w:vertAlign w:val="superscript"/>
          </w:rPr>
          <w:tag w:val="MENDELEY_CITATION_v3_eyJjaXRhdGlvbklEIjoiTUVOREVMRVlfQ0lUQVRJT05fZTNjZTA5YmUtMzhmZi00ZWRjLWI1NWItNzEyYjRkNTc5YzA1IiwiY2l0YXRpb25JdGVtcyI6W3siaWQiOiJhODQ0YzBiNi0xZTQ4LTMxODEtYTZhMS0yN2QwZmMzMmRiNmMiLCJpdGVtRGF0YSI6eyJ0eXBlIjoiYXJ0aWNsZS1qb3VybmFsIiwiaWQiOiJhODQ0YzBiNi0xZTQ4LTMxODEtYTZhMS0yN2QwZmMzMmRiNmMiLCJ0aXRsZSI6Ik9uZS1QYXJhbWV0ZXIgV2VpYnVsbC1UeXBlIERpc3RyaWJ1dGlvbiwgSXRzIFJlbGF0aXZlIEVudHJvcHkgd2l0aCBSZXNwZWN0IHRvIFdlaWJ1bGwgYW5kIGEgRnJhY3Rpb25hbCBUd28tUGFyYW1ldGVyIEV4cG9uZW50aWFsIERpc3RyaWJ1dGlvbiIsImF1dGhvciI6W3siZmFtaWx5IjoiQWxleG9wb3Vsb3MiLCJnaXZlbiI6IkFyaXMiLCJwYXJzZS1uYW1lcyI6ZmFsc2UsImRyb3BwaW5nLXBhcnRpY2xlIjoiIiwibm9uLWRyb3BwaW5nLXBhcnRpY2xlIjoiIn1dLCJjb250YWluZXItdGl0bGUiOiJTdGF0cyIsImFjY2Vzc2VkIjp7ImRhdGUtcGFydHMiOltbMjAyMSw4LDE3XV19LCJET0kiOiIxMC4zMzkwL3N0YXRzMjAxMDAwNCIsIklTU04iOiIyNTcxLTkwNVgiLCJVUkwiOiJodHRwOi8vd3d3Lm1kcGkuY29tLzI1NzEtOTA1WC8yLzEvNCIsImlzc3VlZCI6eyJkYXRlLXBhcnRzIjpbWzIwMTksMSwyMV1dfSwicGFnZSI6IjM0LTU0IiwiYWJzdHJhY3QiOiI8cD5BIG5ldyBvbmUtcGFyYW1ldGVyIGRpc3RyaWJ1dGlvbiBpcyBwcmVzZW50ZWQgd2l0aCBzaW1pbGFyIG1hdGhlbWF0aWNhbCBjaGFyYWN0ZXJpc3RpY3MgdG8gdGhlIHR3byBwYXJhbWV0ZXIgY29udmVudGlvbmFsIFdlaWJ1bGwuIEl0IGhhcyBhbiBlc3RpbWF0b3IgdGhhdCBvbmx5IGRlcGVuZHMgb24gdGhlIHNhbXBsZSBtZWFuLiBUaGUgcmVsYXRpdmUgZW50cm9weSB3aXRoIHJlc3BlY3QgdG8gdGhlIFdlaWJ1bGwgZGlzdHJpYnV0aW9uIGlzIGRlcml2ZWQgaW4gb3JkZXIgdG8gZXhhbWluZSB0aGUgbGV2ZWwgb2Ygc2ltaWxhcml0eSBiZXR3ZWVuIHRoZW0uIFRoZSBwZXJmb3JtYW5jZSBvZiB0aGUgbmV3IGRpc3RyaWJ1dGlvbiBpcyBjb21wYXJlZCB0byB0aGUgV2VpYnVsbCBhbmQgaW4gc29tZSBjYXNlcyB0aGUgR2FtbWEgZGlzdHJpYnV0aW9uIHVzaW5nIHJlYWwgZGF0YS4gSW4gYWRkaXRpb24sIHRoZSBFeHBvbmVudGlhbCBkaXN0cmlidXRpb24gaXMgbW9kaWZpZWQgdG8gaW5jbHVkZSBhbiBleHRyYSBwYXJhbWV0ZXIgdmlhIGEgc2ltcGxlIHRyYW5zZm9ybWF0aW9uIHVzaW5nIGZyYWN0aW9uYWwgbWF0aGVtYXRpY3MuIEl0IHdpbGwgYmUgc2hvd24gdGhhdCB0aGUgbW9kaWZpZWQgdmVyc2lvbiBhbHNvIGV4aGliaXRzIFdlaWJ1bGwgY2hhcmFjdGVyaXN0aWNzIGZvciBwYXJ0aWN1bGFyIHZhbHVlcyBvZiB0aGUgc2Vjb25kIHBhcmFtZXRlci48L3A+IiwiaXNzdWUiOiIxIiwidm9sdW1lIjoiMiJ9LCJpc1RlbXBvcmFyeSI6ZmFsc2V9XSwicHJvcGVydGllcyI6eyJub3RlSW5kZXgiOjB9LCJpc0VkaXRlZCI6ZmFsc2UsIm1hbnVhbE92ZXJyaWRlIjp7ImlzTWFudWFsbHlPdmVycmlkZGVuIjp0cnVlLCJjaXRlcHJvY1RleHQiOiI8c3VwPjMzPC9zdXA+IiwibWFudWFsT3ZlcnJpZGVUZXh0IjoiMzMifX0="/>
          <w:id w:val="1353614003"/>
          <w:placeholder>
            <w:docPart w:val="E8F428B0FB2690498F659DDA1C024B09"/>
          </w:placeholder>
        </w:sdtPr>
        <w:sdtContent>
          <w:r w:rsidRPr="00782F96">
            <w:rPr>
              <w:color w:val="000000"/>
              <w:vertAlign w:val="superscript"/>
            </w:rPr>
            <w:t>33</w:t>
          </w:r>
        </w:sdtContent>
      </w:sdt>
      <w:r w:rsidRPr="001B155B">
        <w:t xml:space="preserve"> </w:t>
      </w:r>
      <w:r>
        <w:t xml:space="preserve">Moreover, disease outbreak risk </w:t>
      </w:r>
      <w:r w:rsidRPr="001B155B">
        <w:t xml:space="preserve">inherits a </w:t>
      </w:r>
      <w:r>
        <w:t>rate</w:t>
      </w:r>
      <w:r w:rsidRPr="001B155B">
        <w:t xml:space="preserve"> of </w:t>
      </w:r>
      <w:r>
        <w:t xml:space="preserve">rapid </w:t>
      </w:r>
      <w:r w:rsidRPr="001B155B">
        <w:t xml:space="preserve">decline from the exponential decay of </w:t>
      </w:r>
      <m:oMath>
        <m:sSub>
          <m:sSubPr>
            <m:ctrlPr>
              <w:rPr>
                <w:rFonts w:ascii="Cambria Math" w:hAnsi="Cambria Math"/>
                <w:i/>
              </w:rPr>
            </m:ctrlPr>
          </m:sSubPr>
          <m:e>
            <m:r>
              <w:rPr>
                <w:rFonts w:ascii="Cambria Math" w:hAnsi="Cambria Math"/>
              </w:rPr>
              <m:t>w</m:t>
            </m:r>
          </m:e>
          <m:sub>
            <m:r>
              <w:rPr>
                <w:rFonts w:ascii="Cambria Math" w:hAnsi="Cambria Math"/>
              </w:rPr>
              <m:t>t</m:t>
            </m:r>
          </m:sub>
        </m:sSub>
      </m:oMath>
      <w:r>
        <w:t xml:space="preserve">, </w:t>
      </w:r>
      <w:r w:rsidRPr="001B155B">
        <w:t>the Weibull parameter that deter</w:t>
      </w:r>
      <w:r>
        <w:t>mines the thickness of the tail</w:t>
      </w:r>
      <w:r w:rsidRPr="001B155B">
        <w:t>.</w:t>
      </w:r>
    </w:p>
    <w:p w14:paraId="359FE74B" w14:textId="77777777" w:rsidR="00964B9F" w:rsidRPr="001B155B" w:rsidRDefault="00964B9F" w:rsidP="00964B9F">
      <w:pPr>
        <w:pStyle w:val="Caption"/>
        <w:keepNext/>
      </w:pPr>
      <w:r w:rsidRPr="001B155B">
        <w:lastRenderedPageBreak/>
        <w:t xml:space="preserve">Figure </w:t>
      </w:r>
      <w:r>
        <w:t>S7</w:t>
      </w:r>
      <w:r w:rsidRPr="001B155B">
        <w:t>: Model predicted influenza mortality rates following the 1918-19 pandemic (</w:t>
      </w:r>
      <w:r>
        <w:t xml:space="preserve">One-parameter </w:t>
      </w:r>
      <w:r w:rsidRPr="001B155B">
        <w:t>Weibull model)</w:t>
      </w:r>
    </w:p>
    <w:p w14:paraId="5278F5DF" w14:textId="77777777" w:rsidR="00964B9F" w:rsidRPr="001B155B" w:rsidRDefault="00964B9F" w:rsidP="00964B9F">
      <w:pPr>
        <w:rPr>
          <w:b/>
          <w:bCs/>
          <w:i/>
          <w:sz w:val="14"/>
          <w:szCs w:val="14"/>
        </w:rPr>
      </w:pPr>
      <w:r w:rsidRPr="001B155B">
        <w:rPr>
          <w:b/>
          <w:bCs/>
          <w:i/>
          <w:noProof/>
          <w:sz w:val="14"/>
          <w:szCs w:val="14"/>
          <w:lang w:val="en-US"/>
        </w:rPr>
        <w:drawing>
          <wp:inline distT="0" distB="0" distL="0" distR="0" wp14:anchorId="0734C720" wp14:editId="0EC7C575">
            <wp:extent cx="5270499" cy="2767888"/>
            <wp:effectExtent l="0" t="0" r="698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a:stretch>
                      <a:fillRect/>
                    </a:stretch>
                  </pic:blipFill>
                  <pic:spPr>
                    <a:xfrm>
                      <a:off x="0" y="0"/>
                      <a:ext cx="5270499" cy="2767888"/>
                    </a:xfrm>
                    <a:prstGeom prst="rect">
                      <a:avLst/>
                    </a:prstGeom>
                  </pic:spPr>
                </pic:pic>
              </a:graphicData>
            </a:graphic>
          </wp:inline>
        </w:drawing>
      </w:r>
    </w:p>
    <w:p w14:paraId="057D4CBF" w14:textId="77777777" w:rsidR="00964B9F" w:rsidRPr="001B155B" w:rsidRDefault="00964B9F" w:rsidP="00964B9F">
      <w:pPr>
        <w:rPr>
          <w:b/>
          <w:bCs/>
          <w:sz w:val="14"/>
          <w:szCs w:val="14"/>
        </w:rPr>
      </w:pPr>
      <w:r w:rsidRPr="001B155B">
        <w:rPr>
          <w:b/>
          <w:bCs/>
          <w:sz w:val="14"/>
          <w:szCs w:val="14"/>
        </w:rPr>
        <w:t>Simulated median (solid black line), interquartile range (dark shading) and 80% prediction interval (light shading)</w:t>
      </w:r>
      <w:r>
        <w:rPr>
          <w:b/>
          <w:bCs/>
          <w:sz w:val="14"/>
          <w:szCs w:val="14"/>
        </w:rPr>
        <w:t xml:space="preserve"> are</w:t>
      </w:r>
      <w:r w:rsidRPr="001B155B">
        <w:rPr>
          <w:b/>
          <w:bCs/>
          <w:sz w:val="14"/>
          <w:szCs w:val="14"/>
        </w:rPr>
        <w:t xml:space="preserve"> based on 1m random draws. Simulated outcomes are based on the model assuming a sequence of one</w:t>
      </w:r>
      <w:r>
        <w:rPr>
          <w:b/>
          <w:bCs/>
          <w:sz w:val="14"/>
          <w:szCs w:val="14"/>
        </w:rPr>
        <w:t>-</w:t>
      </w:r>
      <w:r w:rsidRPr="001B155B">
        <w:rPr>
          <w:b/>
          <w:bCs/>
          <w:sz w:val="14"/>
          <w:szCs w:val="14"/>
        </w:rPr>
        <w:t xml:space="preserve">parameter Weibull distributions fitted using the average across cities (1920-1950). Data </w:t>
      </w:r>
      <w:r>
        <w:rPr>
          <w:b/>
          <w:bCs/>
          <w:sz w:val="14"/>
          <w:szCs w:val="14"/>
        </w:rPr>
        <w:t xml:space="preserve">are </w:t>
      </w:r>
      <w:r w:rsidRPr="001B155B">
        <w:rPr>
          <w:b/>
          <w:bCs/>
          <w:sz w:val="14"/>
          <w:szCs w:val="14"/>
        </w:rPr>
        <w:t xml:space="preserve">overplotted in red. Data for UK cities are taken from Medical Officer for Health reports.   </w:t>
      </w:r>
    </w:p>
    <w:p w14:paraId="32F601F8" w14:textId="77777777" w:rsidR="00964B9F" w:rsidRPr="001B155B" w:rsidRDefault="00964B9F" w:rsidP="00964B9F">
      <w:pPr>
        <w:rPr>
          <w:b/>
          <w:bCs/>
          <w:sz w:val="14"/>
          <w:szCs w:val="14"/>
        </w:rPr>
      </w:pPr>
    </w:p>
    <w:p w14:paraId="22B664FB" w14:textId="77777777" w:rsidR="00964B9F" w:rsidRPr="001B155B" w:rsidRDefault="00964B9F" w:rsidP="00964B9F">
      <w:pPr>
        <w:pStyle w:val="Caption"/>
        <w:keepNext/>
      </w:pPr>
      <w:r w:rsidRPr="001B155B">
        <w:t xml:space="preserve">Figure </w:t>
      </w:r>
      <w:r>
        <w:t>S8</w:t>
      </w:r>
      <w:r w:rsidRPr="001B155B">
        <w:t>: Outbreak risk following the 1918-19 pandemic (</w:t>
      </w:r>
      <w:r>
        <w:t xml:space="preserve">One-parameter </w:t>
      </w:r>
      <w:r w:rsidRPr="001B155B">
        <w:t>Weibull model)</w:t>
      </w:r>
    </w:p>
    <w:p w14:paraId="4A4CBB83" w14:textId="77777777" w:rsidR="00964B9F" w:rsidRPr="001B155B" w:rsidRDefault="00964B9F" w:rsidP="00964B9F">
      <w:pPr>
        <w:rPr>
          <w:b/>
          <w:bCs/>
          <w:i/>
          <w:sz w:val="14"/>
          <w:szCs w:val="14"/>
        </w:rPr>
      </w:pPr>
      <w:r w:rsidRPr="001B155B">
        <w:rPr>
          <w:b/>
          <w:bCs/>
          <w:i/>
          <w:noProof/>
          <w:sz w:val="14"/>
          <w:szCs w:val="14"/>
          <w:lang w:val="en-US"/>
        </w:rPr>
        <w:drawing>
          <wp:inline distT="0" distB="0" distL="0" distR="0" wp14:anchorId="20EEE123" wp14:editId="073FC812">
            <wp:extent cx="5250497" cy="2765262"/>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4"/>
                    <a:stretch>
                      <a:fillRect/>
                    </a:stretch>
                  </pic:blipFill>
                  <pic:spPr>
                    <a:xfrm>
                      <a:off x="0" y="0"/>
                      <a:ext cx="5250497" cy="2765262"/>
                    </a:xfrm>
                    <a:prstGeom prst="rect">
                      <a:avLst/>
                    </a:prstGeom>
                  </pic:spPr>
                </pic:pic>
              </a:graphicData>
            </a:graphic>
          </wp:inline>
        </w:drawing>
      </w:r>
    </w:p>
    <w:p w14:paraId="7CC2719E" w14:textId="77777777" w:rsidR="00964B9F" w:rsidRDefault="00964B9F" w:rsidP="00964B9F">
      <w:pPr>
        <w:rPr>
          <w:b/>
          <w:bCs/>
          <w:sz w:val="14"/>
          <w:szCs w:val="14"/>
        </w:rPr>
      </w:pPr>
      <w:r w:rsidRPr="001B155B">
        <w:rPr>
          <w:b/>
          <w:bCs/>
          <w:sz w:val="14"/>
          <w:szCs w:val="14"/>
        </w:rPr>
        <w:t>Outbreak probabilities computed from models fitted to each city assuming a sequence of one</w:t>
      </w:r>
      <w:r>
        <w:rPr>
          <w:b/>
          <w:bCs/>
          <w:sz w:val="14"/>
          <w:szCs w:val="14"/>
        </w:rPr>
        <w:t>-</w:t>
      </w:r>
      <w:r w:rsidRPr="001B155B">
        <w:rPr>
          <w:b/>
          <w:bCs/>
          <w:sz w:val="14"/>
          <w:szCs w:val="14"/>
        </w:rPr>
        <w:t>parameter Weibull distributions.</w:t>
      </w:r>
    </w:p>
    <w:p w14:paraId="4A8DC338" w14:textId="77777777" w:rsidR="00964B9F" w:rsidRDefault="00964B9F" w:rsidP="00964B9F">
      <w:pPr>
        <w:rPr>
          <w:b/>
          <w:bCs/>
          <w:sz w:val="14"/>
          <w:szCs w:val="14"/>
        </w:rPr>
      </w:pPr>
    </w:p>
    <w:p w14:paraId="3B8708E5" w14:textId="77777777" w:rsidR="00964B9F" w:rsidRPr="001B155B" w:rsidRDefault="00964B9F" w:rsidP="00964B9F">
      <w:pPr>
        <w:jc w:val="both"/>
      </w:pPr>
    </w:p>
    <w:p w14:paraId="466D12F5" w14:textId="77777777" w:rsidR="00964B9F" w:rsidRPr="001B155B" w:rsidRDefault="00964B9F" w:rsidP="00964B9F">
      <w:r w:rsidRPr="001B155B">
        <w:t xml:space="preserve">The analysis above illustrates the importance of the property of the Pareto distribution that it can accommodate a </w:t>
      </w:r>
      <w:r>
        <w:t>fat</w:t>
      </w:r>
      <w:r w:rsidRPr="001B155B">
        <w:t xml:space="preserve"> tail with the mass of the distribution near the lower bound of outcomes. Alternative distributions that can deliver a concentration at lower mortality levels while a</w:t>
      </w:r>
      <w:r>
        <w:t xml:space="preserve">lso allowing for high probabilities associated with </w:t>
      </w:r>
      <w:r w:rsidRPr="001B155B">
        <w:t>tail</w:t>
      </w:r>
      <w:r>
        <w:t xml:space="preserve"> outcomes </w:t>
      </w:r>
      <w:r w:rsidRPr="001B155B">
        <w:t>require more parameters to be specified (e.g. lognormal, Gaussian mixture)</w:t>
      </w:r>
      <w:r>
        <w:t xml:space="preserve"> </w:t>
      </w:r>
      <w:r w:rsidRPr="001B155B">
        <w:t>and require more assumptions regarding the dynamic transition. In particular, the model must specify the dynamic evolution of two or more para</w:t>
      </w:r>
      <w:r>
        <w:t xml:space="preserve">meters and a means to identify </w:t>
      </w:r>
      <w:r w:rsidRPr="001B155B">
        <w:t xml:space="preserve">the specific combination of the dynamic </w:t>
      </w:r>
      <w:r w:rsidRPr="001B155B">
        <w:lastRenderedPageBreak/>
        <w:t xml:space="preserve">processes of these parameters that characterises the evolution of tail probabilities and of mortality risk more generally. </w:t>
      </w:r>
      <w:r>
        <w:t xml:space="preserve">Data availability restricts these options. </w:t>
      </w:r>
      <w:r w:rsidRPr="001B155B">
        <w:t xml:space="preserve">Being a one-parameter distribution conditional on the bounds for mortality rates, the </w:t>
      </w:r>
      <w:r>
        <w:t xml:space="preserve">bounded </w:t>
      </w:r>
      <w:r w:rsidRPr="001B155B">
        <w:t xml:space="preserve">Pareto offers a transparent way to model the post-pandemic dynamic evolution of mortality and disease outbreak risk. </w:t>
      </w:r>
    </w:p>
    <w:p w14:paraId="617D0BB5" w14:textId="77777777" w:rsidR="00964B9F" w:rsidRPr="001B155B" w:rsidRDefault="00964B9F" w:rsidP="00964B9F"/>
    <w:p w14:paraId="1536FC44" w14:textId="77777777" w:rsidR="00964B9F" w:rsidRPr="001B155B" w:rsidRDefault="00964B9F" w:rsidP="00964B9F">
      <w:pPr>
        <w:rPr>
          <w:b/>
        </w:rPr>
      </w:pPr>
      <w:r w:rsidRPr="001B155B">
        <w:rPr>
          <w:b/>
        </w:rPr>
        <w:t xml:space="preserve">Mortality risk predictions </w:t>
      </w:r>
      <w:r>
        <w:rPr>
          <w:b/>
        </w:rPr>
        <w:t xml:space="preserve">following COVID-19 </w:t>
      </w:r>
      <w:r w:rsidRPr="001B155B">
        <w:rPr>
          <w:b/>
        </w:rPr>
        <w:t>under model uncertainty</w:t>
      </w:r>
    </w:p>
    <w:p w14:paraId="79788A8D" w14:textId="77777777" w:rsidR="00964B9F" w:rsidRPr="001B155B" w:rsidRDefault="00964B9F" w:rsidP="00964B9F">
      <w:r>
        <w:t>We are interested in making predictions of probabilities of disease outbreaks</w:t>
      </w:r>
      <w:r w:rsidRPr="001B155B">
        <w:t xml:space="preserve"> at the point in time towards the end of the main waves of a pandemic, when there is information on the mortality of the main waves of the pandemic, and a</w:t>
      </w:r>
      <w:r>
        <w:t>n</w:t>
      </w:r>
      <w:r w:rsidRPr="001B155B">
        <w:t xml:space="preserve"> </w:t>
      </w:r>
      <w:r>
        <w:t xml:space="preserve">expectation about </w:t>
      </w:r>
      <w:r w:rsidRPr="001B155B">
        <w:t xml:space="preserve">the </w:t>
      </w:r>
      <w:r>
        <w:t>level of background</w:t>
      </w:r>
      <w:r w:rsidRPr="001B155B">
        <w:t xml:space="preserve"> mortality </w:t>
      </w:r>
      <w:r>
        <w:t xml:space="preserve">that </w:t>
      </w:r>
      <w:r w:rsidRPr="001B155B">
        <w:t>should be reached after some time. The generality of the main qualitative characteristics of the dynamic</w:t>
      </w:r>
      <w:r w:rsidRPr="00BA51CA">
        <w:t xml:space="preserve"> </w:t>
      </w:r>
      <w:r w:rsidRPr="001B155B">
        <w:t xml:space="preserve">risk patterns in Figures 2 and 3, across different geographical units with different experience of main wave and </w:t>
      </w:r>
      <w:r>
        <w:t>background</w:t>
      </w:r>
      <w:r w:rsidRPr="001B155B">
        <w:t>, suggests that the model in (1) – (2) can be used for counterfactual analysis</w:t>
      </w:r>
      <w:r>
        <w:t xml:space="preserve">. </w:t>
      </w:r>
      <w:r w:rsidRPr="001B155B">
        <w:t>Nevertheless</w:t>
      </w:r>
      <w:r>
        <w:t>, t</w:t>
      </w:r>
      <w:r w:rsidRPr="001B155B">
        <w:t xml:space="preserve">he specific quantitative predictions may depend on the specific sequence </w:t>
      </w:r>
      <m:oMath>
        <m:sSubSup>
          <m:sSubSupPr>
            <m:ctrlPr>
              <w:rPr>
                <w:rFonts w:ascii="Cambria Math" w:hAnsi="Cambria Math"/>
                <w:i/>
              </w:rPr>
            </m:ctrlPr>
          </m:sSubSupPr>
          <m:e>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t</m:t>
                    </m:r>
                  </m:sub>
                </m:sSub>
              </m:e>
            </m:d>
          </m:e>
          <m:sub>
            <m:r>
              <w:rPr>
                <w:rFonts w:ascii="Cambria Math" w:hAnsi="Cambria Math"/>
              </w:rPr>
              <m:t>t=0</m:t>
            </m:r>
          </m:sub>
          <m:sup>
            <m:r>
              <w:rPr>
                <w:rFonts w:ascii="Cambria Math" w:hAnsi="Cambria Math"/>
              </w:rPr>
              <m:t>N</m:t>
            </m:r>
          </m:sup>
        </m:sSubSup>
      </m:oMath>
      <w:r w:rsidRPr="001B155B">
        <w:t xml:space="preserve"> used, or </w:t>
      </w:r>
      <w:r>
        <w:t>equivalently</w:t>
      </w:r>
      <w:r w:rsidRPr="001B155B">
        <w:t xml:space="preserve"> on the specific parameters </w:t>
      </w:r>
      <m:oMath>
        <m:sSub>
          <m:sSubPr>
            <m:ctrlPr>
              <w:rPr>
                <w:rFonts w:ascii="Cambria Math" w:hAnsi="Cambria Math"/>
                <w:i/>
              </w:rPr>
            </m:ctrlPr>
          </m:sSubPr>
          <m:e>
            <m:r>
              <w:rPr>
                <w:rFonts w:ascii="Cambria Math" w:hAnsi="Cambria Math"/>
              </w:rPr>
              <m:t>η</m:t>
            </m:r>
          </m:e>
          <m:sub>
            <m:r>
              <w:rPr>
                <w:rFonts w:ascii="Cambria Math" w:hAnsi="Cambria Math"/>
              </w:rPr>
              <m:t>0</m:t>
            </m:r>
          </m:sub>
        </m:sSub>
      </m:oMath>
      <w:r w:rsidRPr="001B155B">
        <w:t xml:space="preserve"> and </w:t>
      </w:r>
      <m:oMath>
        <m:r>
          <w:rPr>
            <w:rFonts w:ascii="Cambria Math" w:hAnsi="Cambria Math"/>
          </w:rPr>
          <m:t>λ</m:t>
        </m:r>
      </m:oMath>
      <w:r w:rsidRPr="001B155B">
        <w:t xml:space="preserve">. Inspection of Table </w:t>
      </w:r>
      <w:r>
        <w:t>S</w:t>
      </w:r>
      <w:r w:rsidRPr="001B155B">
        <w:t xml:space="preserve">1 suggests that even though these parameters are relatively </w:t>
      </w:r>
      <w:r>
        <w:t>similar</w:t>
      </w:r>
      <w:r w:rsidRPr="001B155B">
        <w:t>,</w:t>
      </w:r>
      <w:r>
        <w:t xml:space="preserve"> they</w:t>
      </w:r>
      <w:r w:rsidRPr="001B155B">
        <w:t xml:space="preserve"> still vary across geographical units. This variation generates model uncertainty regarding the risk projections, because it creates uncertainty about which sequence of distributions in </w:t>
      </w:r>
      <m:oMath>
        <m:sSubSup>
          <m:sSubSupPr>
            <m:ctrlPr>
              <w:rPr>
                <w:rFonts w:ascii="Cambria Math" w:hAnsi="Cambria Math"/>
                <w:i/>
              </w:rPr>
            </m:ctrlPr>
          </m:sSubSupPr>
          <m:e>
            <m:d>
              <m:dPr>
                <m:ctrlPr>
                  <w:rPr>
                    <w:rFonts w:ascii="Cambria Math" w:hAnsi="Cambria Math"/>
                    <w:i/>
                  </w:rPr>
                </m:ctrlPr>
              </m:dPr>
              <m:e>
                <m:sSub>
                  <m:sSubPr>
                    <m:ctrlPr>
                      <w:rPr>
                        <w:rFonts w:ascii="Cambria Math" w:hAnsi="Cambria Math"/>
                        <w:i/>
                      </w:rPr>
                    </m:ctrlPr>
                  </m:sSubPr>
                  <m:e>
                    <m:r>
                      <w:rPr>
                        <w:rFonts w:ascii="Cambria Math" w:hAnsi="Cambria Math"/>
                      </w:rPr>
                      <m:t>PD</m:t>
                    </m:r>
                  </m:e>
                  <m:sub>
                    <m:r>
                      <w:rPr>
                        <w:rFonts w:ascii="Cambria Math" w:hAnsi="Cambria Math"/>
                      </w:rPr>
                      <m:t>t</m:t>
                    </m:r>
                  </m:sub>
                </m:sSub>
              </m:e>
            </m:d>
          </m:e>
          <m:sub>
            <m:r>
              <w:rPr>
                <w:rFonts w:ascii="Cambria Math" w:hAnsi="Cambria Math"/>
              </w:rPr>
              <m:t>t=0</m:t>
            </m:r>
          </m:sub>
          <m:sup>
            <m:r>
              <w:rPr>
                <w:rFonts w:ascii="Cambria Math" w:hAnsi="Cambria Math"/>
              </w:rPr>
              <m:t>N</m:t>
            </m:r>
          </m:sup>
        </m:sSubSup>
      </m:oMath>
      <w:r w:rsidRPr="001B155B">
        <w:t xml:space="preserve"> generate the data, </w:t>
      </w:r>
      <w:r>
        <w:t xml:space="preserve">which is different from </w:t>
      </w:r>
      <w:r w:rsidRPr="001B155B">
        <w:t xml:space="preserve">the epidemiological uncertainty regarding mortality rates that is generated by a given sequence of distributions. </w:t>
      </w:r>
    </w:p>
    <w:p w14:paraId="206838DD" w14:textId="77777777" w:rsidR="00964B9F" w:rsidRPr="001B155B" w:rsidRDefault="00964B9F" w:rsidP="00964B9F"/>
    <w:p w14:paraId="595A30A7" w14:textId="77777777" w:rsidR="00964B9F" w:rsidRDefault="00964B9F" w:rsidP="00964B9F">
      <w:r w:rsidRPr="001B155B">
        <w:t>To account for such model uncertainty</w:t>
      </w:r>
      <w:r>
        <w:t>,</w:t>
      </w:r>
      <w:r w:rsidRPr="001B155B">
        <w:t xml:space="preserve"> we assume that the parameters </w:t>
      </w:r>
      <m:oMath>
        <m:sSub>
          <m:sSubPr>
            <m:ctrlPr>
              <w:rPr>
                <w:rFonts w:ascii="Cambria Math" w:hAnsi="Cambria Math"/>
                <w:i/>
              </w:rPr>
            </m:ctrlPr>
          </m:sSubPr>
          <m:e>
            <m:r>
              <w:rPr>
                <w:rFonts w:ascii="Cambria Math" w:hAnsi="Cambria Math"/>
              </w:rPr>
              <m:t>η</m:t>
            </m:r>
          </m:e>
          <m:sub>
            <m:r>
              <w:rPr>
                <w:rFonts w:ascii="Cambria Math" w:hAnsi="Cambria Math"/>
              </w:rPr>
              <m:t>0</m:t>
            </m:r>
          </m:sub>
        </m:sSub>
      </m:oMath>
      <w:r w:rsidRPr="001B155B">
        <w:t xml:space="preserve"> and </w:t>
      </w:r>
      <m:oMath>
        <m:r>
          <w:rPr>
            <w:rFonts w:ascii="Cambria Math" w:hAnsi="Cambria Math"/>
          </w:rPr>
          <m:t>λ</m:t>
        </m:r>
      </m:oMath>
      <w:r w:rsidRPr="001B155B">
        <w:t xml:space="preserve"> that are relevant to a new pandemic are drawn from the same distribution from which the parameters in Table </w:t>
      </w:r>
      <w:r>
        <w:t>S</w:t>
      </w:r>
      <w:r w:rsidRPr="001B155B">
        <w:t xml:space="preserve">1 are drawn, and then perform a Monte Carlo analysis that provides a distribution of possible outcomes as a function of draws of </w:t>
      </w:r>
      <m:oMath>
        <m:sSub>
          <m:sSubPr>
            <m:ctrlPr>
              <w:rPr>
                <w:rFonts w:ascii="Cambria Math" w:hAnsi="Cambria Math"/>
                <w:i/>
              </w:rPr>
            </m:ctrlPr>
          </m:sSubPr>
          <m:e>
            <m:r>
              <w:rPr>
                <w:rFonts w:ascii="Cambria Math" w:hAnsi="Cambria Math"/>
              </w:rPr>
              <m:t>η</m:t>
            </m:r>
          </m:e>
          <m:sub>
            <m:r>
              <w:rPr>
                <w:rFonts w:ascii="Cambria Math" w:hAnsi="Cambria Math"/>
              </w:rPr>
              <m:t>0</m:t>
            </m:r>
          </m:sub>
        </m:sSub>
      </m:oMath>
      <w:r w:rsidRPr="001B155B">
        <w:t xml:space="preserve"> and </w:t>
      </w:r>
      <m:oMath>
        <m:r>
          <w:rPr>
            <w:rFonts w:ascii="Cambria Math" w:hAnsi="Cambria Math"/>
          </w:rPr>
          <m:t>λ</m:t>
        </m:r>
      </m:oMath>
      <w:r w:rsidRPr="001B155B">
        <w:t xml:space="preserve"> from that distribution. Using the parameter values of </w:t>
      </w:r>
      <m:oMath>
        <m:sSub>
          <m:sSubPr>
            <m:ctrlPr>
              <w:rPr>
                <w:rFonts w:ascii="Cambria Math" w:hAnsi="Cambria Math"/>
                <w:i/>
              </w:rPr>
            </m:ctrlPr>
          </m:sSubPr>
          <m:e>
            <m:r>
              <w:rPr>
                <w:rFonts w:ascii="Cambria Math" w:hAnsi="Cambria Math"/>
              </w:rPr>
              <m:t>η</m:t>
            </m:r>
          </m:e>
          <m:sub>
            <m:r>
              <w:rPr>
                <w:rFonts w:ascii="Cambria Math" w:hAnsi="Cambria Math"/>
              </w:rPr>
              <m:t>0</m:t>
            </m:r>
          </m:sub>
        </m:sSub>
      </m:oMath>
      <w:r w:rsidRPr="001B155B">
        <w:t xml:space="preserve"> and </w:t>
      </w:r>
      <m:oMath>
        <m:r>
          <w:rPr>
            <w:rFonts w:ascii="Cambria Math" w:hAnsi="Cambria Math"/>
          </w:rPr>
          <m:t>λ</m:t>
        </m:r>
      </m:oMath>
      <w:r w:rsidRPr="001B155B">
        <w:t xml:space="preserve"> in Table </w:t>
      </w:r>
      <w:r>
        <w:t>S</w:t>
      </w:r>
      <w:r w:rsidRPr="001B155B">
        <w:t xml:space="preserve">1, we </w:t>
      </w:r>
      <w:r>
        <w:t xml:space="preserve">estimate </w:t>
      </w:r>
      <w:r w:rsidRPr="001B155B">
        <w:t>the underlying distribution</w:t>
      </w:r>
      <w:r>
        <w:t xml:space="preserve"> (see Figure S9) and approximate it</w:t>
      </w:r>
      <w:r w:rsidRPr="001B155B">
        <w:t xml:space="preserve"> as a joint lognormal</w:t>
      </w:r>
      <w:r>
        <w:t>:</w:t>
      </w:r>
    </w:p>
    <w:p w14:paraId="7409639C" w14:textId="77777777" w:rsidR="00964B9F" w:rsidRPr="001B155B" w:rsidRDefault="00964B9F" w:rsidP="00964B9F">
      <w:r w:rsidRPr="001B155B">
        <w:br/>
      </w:r>
      <m:oMathPara>
        <m:oMath>
          <m:d>
            <m:dPr>
              <m:ctrlPr>
                <w:rPr>
                  <w:rFonts w:ascii="Cambria Math" w:hAnsi="Cambria Math"/>
                  <w:i/>
                </w:rPr>
              </m:ctrlPr>
            </m:dPr>
            <m:e>
              <m:m>
                <m:mPr>
                  <m:mcs>
                    <m:mc>
                      <m:mcPr>
                        <m:count m:val="1"/>
                        <m:mcJc m:val="center"/>
                      </m:mcPr>
                    </m:mc>
                  </m:mcs>
                  <m:ctrlPr>
                    <w:rPr>
                      <w:rFonts w:ascii="Cambria Math" w:hAnsi="Cambria Math"/>
                      <w:i/>
                    </w:rPr>
                  </m:ctrlPr>
                </m:mPr>
                <m:mr>
                  <m:e>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sSub>
                              <m:sSubPr>
                                <m:ctrlPr>
                                  <w:rPr>
                                    <w:rFonts w:ascii="Cambria Math" w:hAnsi="Cambria Math"/>
                                    <w:i/>
                                  </w:rPr>
                                </m:ctrlPr>
                              </m:sSubPr>
                              <m:e>
                                <m:r>
                                  <w:rPr>
                                    <w:rFonts w:ascii="Cambria Math" w:hAnsi="Cambria Math"/>
                                  </w:rPr>
                                  <m:t>η</m:t>
                                </m:r>
                              </m:e>
                              <m:sub>
                                <m:r>
                                  <w:rPr>
                                    <w:rFonts w:ascii="Cambria Math" w:hAnsi="Cambria Math"/>
                                  </w:rPr>
                                  <m:t>0</m:t>
                                </m:r>
                              </m:sub>
                            </m:sSub>
                          </m:e>
                        </m:d>
                      </m:e>
                    </m:func>
                  </m:e>
                </m:mr>
                <m:mr>
                  <m:e>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λ</m:t>
                            </m:r>
                          </m:e>
                        </m:d>
                      </m:e>
                    </m:func>
                  </m:e>
                </m:mr>
              </m:m>
            </m:e>
          </m:d>
          <m:r>
            <w:rPr>
              <w:rFonts w:ascii="Cambria Math" w:hAnsi="Cambria Math"/>
            </w:rPr>
            <m:t>~MVN</m:t>
          </m:r>
          <m:d>
            <m:dPr>
              <m:ctrlPr>
                <w:rPr>
                  <w:rFonts w:ascii="Cambria Math" w:hAnsi="Cambria Math"/>
                  <w:i/>
                </w:rPr>
              </m:ctrlPr>
            </m:dPr>
            <m:e>
              <m:r>
                <w:rPr>
                  <w:rFonts w:ascii="Cambria Math" w:hAnsi="Cambria Math"/>
                </w:rPr>
                <m:t>μ,σ</m:t>
              </m:r>
            </m:e>
          </m:d>
          <m:r>
            <m:rPr>
              <m:sty m:val="p"/>
            </m:rPr>
            <w:rPr>
              <w:rFonts w:ascii="Cambria Math" w:hAnsi="Cambria Math"/>
            </w:rPr>
            <w:br/>
          </m:r>
        </m:oMath>
        <m:oMath>
          <m:r>
            <w:rPr>
              <w:rFonts w:ascii="Cambria Math" w:hAnsi="Cambria Math"/>
            </w:rPr>
            <m:t>μ=</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-1.85</m:t>
                    </m:r>
                  </m:e>
                </m:mr>
                <m:mr>
                  <m:e>
                    <m:r>
                      <w:rPr>
                        <w:rFonts w:ascii="Cambria Math" w:hAnsi="Cambria Math"/>
                      </w:rPr>
                      <m:t>4.5</m:t>
                    </m:r>
                  </m:e>
                </m:mr>
              </m:m>
            </m:e>
          </m:d>
          <m:r>
            <w:rPr>
              <w:rFonts w:ascii="Cambria Math" w:hAnsi="Cambria Math"/>
            </w:rPr>
            <m:t>, σ=</m:t>
          </m:r>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0.08</m:t>
                    </m:r>
                  </m:e>
                  <m:e>
                    <m:r>
                      <w:rPr>
                        <w:rFonts w:ascii="Cambria Math" w:hAnsi="Cambria Math"/>
                      </w:rPr>
                      <m:t>0.37</m:t>
                    </m:r>
                  </m:e>
                </m:mr>
                <m:mr>
                  <m:e>
                    <m:r>
                      <w:rPr>
                        <w:rFonts w:ascii="Cambria Math" w:hAnsi="Cambria Math"/>
                      </w:rPr>
                      <m:t>0.37</m:t>
                    </m:r>
                  </m:e>
                  <m:e>
                    <m:r>
                      <w:rPr>
                        <w:rFonts w:ascii="Cambria Math" w:hAnsi="Cambria Math"/>
                      </w:rPr>
                      <m:t>1.96</m:t>
                    </m:r>
                  </m:e>
                </m:mr>
              </m:m>
            </m:e>
          </m:d>
        </m:oMath>
      </m:oMathPara>
    </w:p>
    <w:p w14:paraId="273F5BEC" w14:textId="77777777" w:rsidR="00964B9F" w:rsidRPr="001B155B" w:rsidRDefault="00964B9F" w:rsidP="00964B9F">
      <m:oMathPara>
        <m:oMath>
          <m:r>
            <m:rPr>
              <m:sty m:val="p"/>
            </m:rPr>
            <w:br/>
          </m:r>
        </m:oMath>
      </m:oMathPara>
      <w:r w:rsidRPr="001B155B">
        <w:t xml:space="preserve">We then draw one million pairs of </w:t>
      </w:r>
      <m:oMath>
        <m:sSub>
          <m:sSubPr>
            <m:ctrlPr>
              <w:rPr>
                <w:rFonts w:ascii="Cambria Math" w:hAnsi="Cambria Math"/>
                <w:i/>
              </w:rPr>
            </m:ctrlPr>
          </m:sSubPr>
          <m:e>
            <m:r>
              <w:rPr>
                <w:rFonts w:ascii="Cambria Math" w:hAnsi="Cambria Math"/>
              </w:rPr>
              <m:t>η</m:t>
            </m:r>
          </m:e>
          <m:sub>
            <m:r>
              <w:rPr>
                <w:rFonts w:ascii="Cambria Math" w:hAnsi="Cambria Math"/>
              </w:rPr>
              <m:t>0</m:t>
            </m:r>
          </m:sub>
        </m:sSub>
      </m:oMath>
      <w:r w:rsidRPr="001B155B">
        <w:t xml:space="preserve"> and </w:t>
      </w:r>
      <m:oMath>
        <m:r>
          <w:rPr>
            <w:rFonts w:ascii="Cambria Math" w:hAnsi="Cambria Math"/>
          </w:rPr>
          <m:t>λ</m:t>
        </m:r>
      </m:oMath>
      <w:r w:rsidRPr="001B155B">
        <w:t xml:space="preserve"> from the implied joint density and summarise relevant percentiles of the generated distribution of predicted probabilities of mortality rates in Figure 4.</w:t>
      </w:r>
    </w:p>
    <w:p w14:paraId="44B63723" w14:textId="77777777" w:rsidR="00964B9F" w:rsidRDefault="00964B9F" w:rsidP="00964B9F"/>
    <w:p w14:paraId="1D6E21B8" w14:textId="77777777" w:rsidR="00964B9F" w:rsidRPr="001B155B" w:rsidRDefault="00964B9F" w:rsidP="00964B9F">
      <w:pPr>
        <w:pStyle w:val="Caption"/>
        <w:keepNext/>
      </w:pPr>
      <w:r w:rsidRPr="001B155B">
        <w:lastRenderedPageBreak/>
        <w:t xml:space="preserve">Figure </w:t>
      </w:r>
      <w:r>
        <w:t>S9</w:t>
      </w:r>
      <w:r w:rsidRPr="001B155B">
        <w:t>: Distribution of η</w:t>
      </w:r>
      <w:r w:rsidRPr="001B155B">
        <w:rPr>
          <w:vertAlign w:val="subscript"/>
        </w:rPr>
        <w:t>0</w:t>
      </w:r>
      <w:r w:rsidRPr="001B155B">
        <w:t xml:space="preserve"> and λ implied by the models fitted to previous pandemics</w:t>
      </w:r>
    </w:p>
    <w:p w14:paraId="251047D1" w14:textId="77777777" w:rsidR="00964B9F" w:rsidRPr="001B155B" w:rsidRDefault="00964B9F" w:rsidP="00964B9F">
      <w:pPr>
        <w:rPr>
          <w:b/>
          <w:bCs/>
          <w:i/>
          <w:sz w:val="14"/>
          <w:szCs w:val="14"/>
        </w:rPr>
      </w:pPr>
      <w:r w:rsidRPr="001B155B">
        <w:rPr>
          <w:b/>
          <w:bCs/>
          <w:i/>
          <w:noProof/>
          <w:sz w:val="14"/>
          <w:szCs w:val="14"/>
          <w:lang w:val="en-US"/>
        </w:rPr>
        <w:drawing>
          <wp:inline distT="0" distB="0" distL="0" distR="0" wp14:anchorId="34EB118A" wp14:editId="390C9B0C">
            <wp:extent cx="5270498" cy="2865612"/>
            <wp:effectExtent l="0" t="0" r="698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5"/>
                    <a:stretch>
                      <a:fillRect/>
                    </a:stretch>
                  </pic:blipFill>
                  <pic:spPr>
                    <a:xfrm>
                      <a:off x="0" y="0"/>
                      <a:ext cx="5270498" cy="2865612"/>
                    </a:xfrm>
                    <a:prstGeom prst="rect">
                      <a:avLst/>
                    </a:prstGeom>
                  </pic:spPr>
                </pic:pic>
              </a:graphicData>
            </a:graphic>
          </wp:inline>
        </w:drawing>
      </w:r>
    </w:p>
    <w:p w14:paraId="7C9FEAB3" w14:textId="77777777" w:rsidR="00964B9F" w:rsidRPr="001B155B" w:rsidRDefault="00964B9F" w:rsidP="00964B9F">
      <w:pPr>
        <w:rPr>
          <w:b/>
          <w:bCs/>
          <w:sz w:val="14"/>
          <w:szCs w:val="14"/>
        </w:rPr>
      </w:pPr>
      <w:r w:rsidRPr="001B155B">
        <w:rPr>
          <w:b/>
          <w:bCs/>
          <w:sz w:val="14"/>
          <w:szCs w:val="14"/>
        </w:rPr>
        <w:t>Kernel density</w:t>
      </w:r>
      <w:r w:rsidRPr="00221831">
        <w:rPr>
          <w:b/>
          <w:bCs/>
          <w:sz w:val="14"/>
          <w:szCs w:val="14"/>
        </w:rPr>
        <w:t xml:space="preserve"> </w:t>
      </w:r>
      <w:r w:rsidRPr="001B155B">
        <w:rPr>
          <w:b/>
          <w:bCs/>
          <w:sz w:val="14"/>
          <w:szCs w:val="14"/>
        </w:rPr>
        <w:t>estimates of η</w:t>
      </w:r>
      <w:r w:rsidRPr="001B155B">
        <w:rPr>
          <w:b/>
          <w:bCs/>
          <w:sz w:val="14"/>
          <w:szCs w:val="14"/>
          <w:vertAlign w:val="subscript"/>
        </w:rPr>
        <w:t>0</w:t>
      </w:r>
      <w:r w:rsidRPr="001B155B">
        <w:rPr>
          <w:b/>
          <w:bCs/>
          <w:sz w:val="14"/>
          <w:szCs w:val="14"/>
        </w:rPr>
        <w:t xml:space="preserve"> and λ for different geographical regions.</w:t>
      </w:r>
    </w:p>
    <w:p w14:paraId="1DFBC3B3" w14:textId="77777777" w:rsidR="00964B9F" w:rsidRDefault="00964B9F" w:rsidP="00964B9F">
      <w:pPr>
        <w:rPr>
          <w:b/>
          <w:bCs/>
          <w:i/>
          <w:sz w:val="14"/>
          <w:szCs w:val="14"/>
        </w:rPr>
      </w:pPr>
    </w:p>
    <w:p w14:paraId="5E8F6871" w14:textId="77777777" w:rsidR="00964B9F" w:rsidRDefault="00964B9F" w:rsidP="00964B9F">
      <w:pPr>
        <w:rPr>
          <w:b/>
        </w:rPr>
      </w:pPr>
    </w:p>
    <w:p w14:paraId="3EA69CA7" w14:textId="77777777" w:rsidR="00964B9F" w:rsidRDefault="00964B9F" w:rsidP="00964B9F">
      <w:pPr>
        <w:rPr>
          <w:b/>
        </w:rPr>
      </w:pPr>
      <w:r>
        <w:rPr>
          <w:b/>
        </w:rPr>
        <w:t>Supplementary Material C</w:t>
      </w:r>
    </w:p>
    <w:p w14:paraId="18D49833" w14:textId="77777777" w:rsidR="00964B9F" w:rsidRDefault="00964B9F" w:rsidP="00964B9F">
      <w:pPr>
        <w:rPr>
          <w:b/>
        </w:rPr>
      </w:pPr>
    </w:p>
    <w:p w14:paraId="2EDF94BA" w14:textId="77777777" w:rsidR="00964B9F" w:rsidRPr="00667749" w:rsidRDefault="00964B9F" w:rsidP="00964B9F">
      <w:pPr>
        <w:rPr>
          <w:b/>
        </w:rPr>
      </w:pPr>
      <w:r>
        <w:rPr>
          <w:b/>
        </w:rPr>
        <w:t>Additional Tables and Figures</w:t>
      </w:r>
    </w:p>
    <w:p w14:paraId="52595FE3" w14:textId="77777777" w:rsidR="00964B9F" w:rsidRDefault="00964B9F" w:rsidP="00964B9F">
      <w:pPr>
        <w:rPr>
          <w:b/>
          <w:bCs/>
          <w:i/>
          <w:sz w:val="14"/>
          <w:szCs w:val="14"/>
        </w:rPr>
      </w:pPr>
    </w:p>
    <w:p w14:paraId="49C069C5" w14:textId="77777777" w:rsidR="00964B9F" w:rsidRPr="001B155B" w:rsidRDefault="00964B9F" w:rsidP="00964B9F">
      <w:pPr>
        <w:pStyle w:val="Caption"/>
        <w:keepNext/>
      </w:pPr>
      <w:r w:rsidRPr="001B155B">
        <w:t>Table</w:t>
      </w:r>
      <w:r>
        <w:t xml:space="preserve"> S2</w:t>
      </w:r>
      <w:r w:rsidRPr="001B155B">
        <w:t xml:space="preserve">: Population and </w:t>
      </w:r>
      <w:r>
        <w:t xml:space="preserve">population </w:t>
      </w:r>
      <w:r w:rsidRPr="001B155B">
        <w:t>density for UK cities</w:t>
      </w:r>
    </w:p>
    <w:tbl>
      <w:tblPr>
        <w:tblStyle w:val="TableGrid"/>
        <w:tblW w:w="0" w:type="auto"/>
        <w:tblLook w:val="04A0" w:firstRow="1" w:lastRow="0" w:firstColumn="1" w:lastColumn="0" w:noHBand="0" w:noVBand="1"/>
      </w:tblPr>
      <w:tblGrid>
        <w:gridCol w:w="1526"/>
        <w:gridCol w:w="1271"/>
        <w:gridCol w:w="1230"/>
        <w:gridCol w:w="1357"/>
        <w:gridCol w:w="943"/>
        <w:gridCol w:w="1070"/>
        <w:gridCol w:w="1119"/>
      </w:tblGrid>
      <w:tr w:rsidR="00964B9F" w:rsidRPr="001B155B" w14:paraId="4B4EF1D1" w14:textId="77777777" w:rsidTr="00A24340">
        <w:trPr>
          <w:trHeight w:val="300"/>
        </w:trPr>
        <w:tc>
          <w:tcPr>
            <w:tcW w:w="1526" w:type="dxa"/>
            <w:tcBorders>
              <w:top w:val="nil"/>
              <w:left w:val="nil"/>
              <w:bottom w:val="double" w:sz="4" w:space="0" w:color="auto"/>
              <w:right w:val="nil"/>
            </w:tcBorders>
            <w:noWrap/>
          </w:tcPr>
          <w:p w14:paraId="75A69064" w14:textId="77777777" w:rsidR="00964B9F" w:rsidRPr="001B155B" w:rsidRDefault="00964B9F" w:rsidP="00A24340">
            <w:pPr>
              <w:jc w:val="center"/>
            </w:pPr>
          </w:p>
        </w:tc>
        <w:tc>
          <w:tcPr>
            <w:tcW w:w="3858" w:type="dxa"/>
            <w:gridSpan w:val="3"/>
            <w:tcBorders>
              <w:top w:val="nil"/>
              <w:left w:val="nil"/>
              <w:bottom w:val="double" w:sz="4" w:space="0" w:color="auto"/>
              <w:right w:val="nil"/>
            </w:tcBorders>
            <w:noWrap/>
          </w:tcPr>
          <w:p w14:paraId="11FE46C4" w14:textId="77777777" w:rsidR="00964B9F" w:rsidRPr="001B155B" w:rsidRDefault="00964B9F" w:rsidP="00A24340">
            <w:pPr>
              <w:jc w:val="center"/>
            </w:pPr>
            <w:r w:rsidRPr="001B155B">
              <w:t>Population</w:t>
            </w:r>
          </w:p>
        </w:tc>
        <w:tc>
          <w:tcPr>
            <w:tcW w:w="3132" w:type="dxa"/>
            <w:gridSpan w:val="3"/>
            <w:tcBorders>
              <w:top w:val="nil"/>
              <w:left w:val="nil"/>
              <w:bottom w:val="double" w:sz="4" w:space="0" w:color="auto"/>
              <w:right w:val="nil"/>
            </w:tcBorders>
            <w:noWrap/>
          </w:tcPr>
          <w:p w14:paraId="62ED792F" w14:textId="77777777" w:rsidR="00964B9F" w:rsidRPr="001B155B" w:rsidRDefault="00964B9F" w:rsidP="00A24340">
            <w:pPr>
              <w:jc w:val="center"/>
            </w:pPr>
            <w:r w:rsidRPr="001B155B">
              <w:t>Population density</w:t>
            </w:r>
          </w:p>
        </w:tc>
      </w:tr>
      <w:tr w:rsidR="00964B9F" w:rsidRPr="001B155B" w14:paraId="469B9A18" w14:textId="77777777" w:rsidTr="00A24340">
        <w:trPr>
          <w:trHeight w:val="300"/>
        </w:trPr>
        <w:tc>
          <w:tcPr>
            <w:tcW w:w="1526" w:type="dxa"/>
            <w:tcBorders>
              <w:top w:val="double" w:sz="4" w:space="0" w:color="auto"/>
              <w:left w:val="nil"/>
              <w:bottom w:val="dashSmallGap" w:sz="4" w:space="0" w:color="auto"/>
              <w:right w:val="nil"/>
            </w:tcBorders>
            <w:noWrap/>
          </w:tcPr>
          <w:p w14:paraId="2E9FAE6D" w14:textId="77777777" w:rsidR="00964B9F" w:rsidRPr="001B155B" w:rsidRDefault="00964B9F" w:rsidP="00A24340">
            <w:pPr>
              <w:jc w:val="center"/>
            </w:pPr>
          </w:p>
        </w:tc>
        <w:tc>
          <w:tcPr>
            <w:tcW w:w="1271" w:type="dxa"/>
            <w:tcBorders>
              <w:top w:val="double" w:sz="4" w:space="0" w:color="auto"/>
              <w:left w:val="nil"/>
              <w:bottom w:val="dashSmallGap" w:sz="4" w:space="0" w:color="auto"/>
              <w:right w:val="nil"/>
            </w:tcBorders>
            <w:noWrap/>
          </w:tcPr>
          <w:p w14:paraId="3EF35AB9" w14:textId="77777777" w:rsidR="00964B9F" w:rsidRPr="001B155B" w:rsidRDefault="00964B9F" w:rsidP="00A24340">
            <w:pPr>
              <w:jc w:val="center"/>
            </w:pPr>
            <w:r w:rsidRPr="001B155B">
              <w:t>1920s</w:t>
            </w:r>
          </w:p>
        </w:tc>
        <w:tc>
          <w:tcPr>
            <w:tcW w:w="1230" w:type="dxa"/>
            <w:tcBorders>
              <w:top w:val="double" w:sz="4" w:space="0" w:color="auto"/>
              <w:left w:val="nil"/>
              <w:bottom w:val="dashSmallGap" w:sz="4" w:space="0" w:color="auto"/>
              <w:right w:val="nil"/>
            </w:tcBorders>
            <w:noWrap/>
          </w:tcPr>
          <w:p w14:paraId="18EC3DDB" w14:textId="77777777" w:rsidR="00964B9F" w:rsidRPr="001B155B" w:rsidRDefault="00964B9F" w:rsidP="00A24340">
            <w:pPr>
              <w:jc w:val="center"/>
            </w:pPr>
            <w:r w:rsidRPr="001B155B">
              <w:t>1930s</w:t>
            </w:r>
          </w:p>
        </w:tc>
        <w:tc>
          <w:tcPr>
            <w:tcW w:w="1357" w:type="dxa"/>
            <w:tcBorders>
              <w:top w:val="double" w:sz="4" w:space="0" w:color="auto"/>
              <w:left w:val="nil"/>
              <w:bottom w:val="dashSmallGap" w:sz="4" w:space="0" w:color="auto"/>
              <w:right w:val="nil"/>
            </w:tcBorders>
            <w:noWrap/>
          </w:tcPr>
          <w:p w14:paraId="3A0DBB72" w14:textId="77777777" w:rsidR="00964B9F" w:rsidRPr="001B155B" w:rsidRDefault="00964B9F" w:rsidP="00A24340">
            <w:pPr>
              <w:jc w:val="center"/>
            </w:pPr>
            <w:r w:rsidRPr="001B155B">
              <w:t>1940s</w:t>
            </w:r>
          </w:p>
        </w:tc>
        <w:tc>
          <w:tcPr>
            <w:tcW w:w="943" w:type="dxa"/>
            <w:tcBorders>
              <w:top w:val="double" w:sz="4" w:space="0" w:color="auto"/>
              <w:left w:val="nil"/>
              <w:bottom w:val="dashSmallGap" w:sz="4" w:space="0" w:color="auto"/>
              <w:right w:val="nil"/>
            </w:tcBorders>
            <w:noWrap/>
          </w:tcPr>
          <w:p w14:paraId="3BDCE9CB" w14:textId="77777777" w:rsidR="00964B9F" w:rsidRPr="001B155B" w:rsidRDefault="00964B9F" w:rsidP="00A24340">
            <w:pPr>
              <w:jc w:val="center"/>
            </w:pPr>
            <w:r w:rsidRPr="001B155B">
              <w:t>1920s</w:t>
            </w:r>
          </w:p>
        </w:tc>
        <w:tc>
          <w:tcPr>
            <w:tcW w:w="1070" w:type="dxa"/>
            <w:tcBorders>
              <w:top w:val="double" w:sz="4" w:space="0" w:color="auto"/>
              <w:left w:val="nil"/>
              <w:bottom w:val="dashSmallGap" w:sz="4" w:space="0" w:color="auto"/>
              <w:right w:val="nil"/>
            </w:tcBorders>
            <w:noWrap/>
          </w:tcPr>
          <w:p w14:paraId="2501E15F" w14:textId="77777777" w:rsidR="00964B9F" w:rsidRPr="001B155B" w:rsidRDefault="00964B9F" w:rsidP="00A24340">
            <w:pPr>
              <w:jc w:val="center"/>
            </w:pPr>
            <w:r w:rsidRPr="001B155B">
              <w:t>1930s</w:t>
            </w:r>
          </w:p>
        </w:tc>
        <w:tc>
          <w:tcPr>
            <w:tcW w:w="1119" w:type="dxa"/>
            <w:tcBorders>
              <w:top w:val="double" w:sz="4" w:space="0" w:color="auto"/>
              <w:left w:val="nil"/>
              <w:bottom w:val="dashSmallGap" w:sz="4" w:space="0" w:color="auto"/>
              <w:right w:val="nil"/>
            </w:tcBorders>
            <w:noWrap/>
          </w:tcPr>
          <w:p w14:paraId="542FBE12" w14:textId="77777777" w:rsidR="00964B9F" w:rsidRPr="001B155B" w:rsidRDefault="00964B9F" w:rsidP="00A24340">
            <w:pPr>
              <w:jc w:val="center"/>
            </w:pPr>
            <w:r w:rsidRPr="001B155B">
              <w:t>1940s</w:t>
            </w:r>
          </w:p>
        </w:tc>
      </w:tr>
      <w:tr w:rsidR="00964B9F" w:rsidRPr="001B155B" w14:paraId="097D209C" w14:textId="77777777" w:rsidTr="00A24340">
        <w:trPr>
          <w:trHeight w:val="300"/>
        </w:trPr>
        <w:tc>
          <w:tcPr>
            <w:tcW w:w="1526" w:type="dxa"/>
            <w:tcBorders>
              <w:top w:val="dashSmallGap" w:sz="4" w:space="0" w:color="auto"/>
              <w:left w:val="nil"/>
              <w:bottom w:val="nil"/>
              <w:right w:val="nil"/>
            </w:tcBorders>
            <w:noWrap/>
            <w:hideMark/>
          </w:tcPr>
          <w:p w14:paraId="5A737797" w14:textId="77777777" w:rsidR="00964B9F" w:rsidRPr="001B155B" w:rsidRDefault="00964B9F" w:rsidP="00A24340">
            <w:r w:rsidRPr="001B155B">
              <w:t>Belfast</w:t>
            </w:r>
          </w:p>
        </w:tc>
        <w:tc>
          <w:tcPr>
            <w:tcW w:w="1271" w:type="dxa"/>
            <w:tcBorders>
              <w:top w:val="dashSmallGap" w:sz="4" w:space="0" w:color="auto"/>
              <w:left w:val="nil"/>
              <w:bottom w:val="nil"/>
              <w:right w:val="nil"/>
            </w:tcBorders>
            <w:noWrap/>
            <w:hideMark/>
          </w:tcPr>
          <w:p w14:paraId="1ABFB2C6" w14:textId="77777777" w:rsidR="00964B9F" w:rsidRPr="001B155B" w:rsidRDefault="00964B9F" w:rsidP="00A24340">
            <w:pPr>
              <w:rPr>
                <w:sz w:val="22"/>
                <w:szCs w:val="22"/>
              </w:rPr>
            </w:pPr>
            <w:r w:rsidRPr="001B155B">
              <w:rPr>
                <w:sz w:val="22"/>
                <w:szCs w:val="22"/>
              </w:rPr>
              <w:t>422,130</w:t>
            </w:r>
          </w:p>
        </w:tc>
        <w:tc>
          <w:tcPr>
            <w:tcW w:w="1230" w:type="dxa"/>
            <w:tcBorders>
              <w:top w:val="dashSmallGap" w:sz="4" w:space="0" w:color="auto"/>
              <w:left w:val="nil"/>
              <w:bottom w:val="nil"/>
              <w:right w:val="nil"/>
            </w:tcBorders>
            <w:noWrap/>
            <w:hideMark/>
          </w:tcPr>
          <w:p w14:paraId="473A2461" w14:textId="77777777" w:rsidR="00964B9F" w:rsidRPr="001B155B" w:rsidRDefault="00964B9F" w:rsidP="00A24340">
            <w:pPr>
              <w:rPr>
                <w:sz w:val="22"/>
                <w:szCs w:val="22"/>
              </w:rPr>
            </w:pPr>
            <w:r w:rsidRPr="001B155B">
              <w:rPr>
                <w:sz w:val="22"/>
                <w:szCs w:val="22"/>
              </w:rPr>
              <w:t>425,202</w:t>
            </w:r>
          </w:p>
        </w:tc>
        <w:tc>
          <w:tcPr>
            <w:tcW w:w="1357" w:type="dxa"/>
            <w:tcBorders>
              <w:top w:val="dashSmallGap" w:sz="4" w:space="0" w:color="auto"/>
              <w:left w:val="nil"/>
              <w:bottom w:val="nil"/>
              <w:right w:val="nil"/>
            </w:tcBorders>
            <w:noWrap/>
            <w:hideMark/>
          </w:tcPr>
          <w:p w14:paraId="1C927DE6" w14:textId="77777777" w:rsidR="00964B9F" w:rsidRPr="001B155B" w:rsidRDefault="00964B9F" w:rsidP="00A24340">
            <w:pPr>
              <w:rPr>
                <w:sz w:val="22"/>
                <w:szCs w:val="22"/>
              </w:rPr>
            </w:pPr>
            <w:r w:rsidRPr="001B155B">
              <w:rPr>
                <w:sz w:val="22"/>
                <w:szCs w:val="22"/>
              </w:rPr>
              <w:t>442,935</w:t>
            </w:r>
          </w:p>
        </w:tc>
        <w:tc>
          <w:tcPr>
            <w:tcW w:w="943" w:type="dxa"/>
            <w:tcBorders>
              <w:top w:val="dashSmallGap" w:sz="4" w:space="0" w:color="auto"/>
              <w:left w:val="nil"/>
              <w:bottom w:val="nil"/>
              <w:right w:val="nil"/>
            </w:tcBorders>
            <w:noWrap/>
            <w:hideMark/>
          </w:tcPr>
          <w:p w14:paraId="3AF4A02B" w14:textId="77777777" w:rsidR="00964B9F" w:rsidRPr="001B155B" w:rsidRDefault="00964B9F" w:rsidP="00A24340">
            <w:pPr>
              <w:jc w:val="center"/>
              <w:rPr>
                <w:sz w:val="22"/>
                <w:szCs w:val="22"/>
              </w:rPr>
            </w:pPr>
            <w:r w:rsidRPr="001B155B">
              <w:rPr>
                <w:sz w:val="22"/>
                <w:szCs w:val="22"/>
              </w:rPr>
              <w:t>-</w:t>
            </w:r>
          </w:p>
        </w:tc>
        <w:tc>
          <w:tcPr>
            <w:tcW w:w="1070" w:type="dxa"/>
            <w:tcBorders>
              <w:top w:val="dashSmallGap" w:sz="4" w:space="0" w:color="auto"/>
              <w:left w:val="nil"/>
              <w:bottom w:val="nil"/>
              <w:right w:val="nil"/>
            </w:tcBorders>
            <w:noWrap/>
            <w:hideMark/>
          </w:tcPr>
          <w:p w14:paraId="55B173A0" w14:textId="77777777" w:rsidR="00964B9F" w:rsidRPr="001B155B" w:rsidRDefault="00964B9F" w:rsidP="00A24340">
            <w:pPr>
              <w:jc w:val="center"/>
              <w:rPr>
                <w:sz w:val="22"/>
                <w:szCs w:val="22"/>
              </w:rPr>
            </w:pPr>
            <w:r w:rsidRPr="001B155B">
              <w:rPr>
                <w:sz w:val="22"/>
                <w:szCs w:val="22"/>
              </w:rPr>
              <w:t>-</w:t>
            </w:r>
          </w:p>
        </w:tc>
        <w:tc>
          <w:tcPr>
            <w:tcW w:w="1119" w:type="dxa"/>
            <w:tcBorders>
              <w:top w:val="dashSmallGap" w:sz="4" w:space="0" w:color="auto"/>
              <w:left w:val="nil"/>
              <w:bottom w:val="nil"/>
              <w:right w:val="nil"/>
            </w:tcBorders>
            <w:noWrap/>
            <w:hideMark/>
          </w:tcPr>
          <w:p w14:paraId="13ADB172" w14:textId="77777777" w:rsidR="00964B9F" w:rsidRPr="001B155B" w:rsidRDefault="00964B9F" w:rsidP="00A24340">
            <w:pPr>
              <w:jc w:val="center"/>
              <w:rPr>
                <w:sz w:val="22"/>
                <w:szCs w:val="22"/>
              </w:rPr>
            </w:pPr>
            <w:r w:rsidRPr="001B155B">
              <w:rPr>
                <w:sz w:val="22"/>
                <w:szCs w:val="22"/>
              </w:rPr>
              <w:t>-</w:t>
            </w:r>
          </w:p>
        </w:tc>
      </w:tr>
      <w:tr w:rsidR="00964B9F" w:rsidRPr="001B155B" w14:paraId="329CAFCC" w14:textId="77777777" w:rsidTr="00A24340">
        <w:trPr>
          <w:trHeight w:val="300"/>
        </w:trPr>
        <w:tc>
          <w:tcPr>
            <w:tcW w:w="1526" w:type="dxa"/>
            <w:tcBorders>
              <w:top w:val="nil"/>
              <w:left w:val="nil"/>
              <w:bottom w:val="nil"/>
              <w:right w:val="nil"/>
            </w:tcBorders>
            <w:noWrap/>
            <w:hideMark/>
          </w:tcPr>
          <w:p w14:paraId="2058AB02" w14:textId="77777777" w:rsidR="00964B9F" w:rsidRPr="001B155B" w:rsidRDefault="00964B9F" w:rsidP="00A24340">
            <w:r w:rsidRPr="001B155B">
              <w:t>Birmingham</w:t>
            </w:r>
          </w:p>
        </w:tc>
        <w:tc>
          <w:tcPr>
            <w:tcW w:w="1271" w:type="dxa"/>
            <w:tcBorders>
              <w:top w:val="nil"/>
              <w:left w:val="nil"/>
              <w:bottom w:val="nil"/>
              <w:right w:val="nil"/>
            </w:tcBorders>
            <w:noWrap/>
            <w:hideMark/>
          </w:tcPr>
          <w:p w14:paraId="04A53742" w14:textId="77777777" w:rsidR="00964B9F" w:rsidRPr="001B155B" w:rsidRDefault="00964B9F" w:rsidP="00A24340">
            <w:pPr>
              <w:rPr>
                <w:sz w:val="22"/>
                <w:szCs w:val="22"/>
              </w:rPr>
            </w:pPr>
            <w:r w:rsidRPr="001B155B">
              <w:rPr>
                <w:sz w:val="22"/>
                <w:szCs w:val="22"/>
              </w:rPr>
              <w:t>947,923</w:t>
            </w:r>
          </w:p>
        </w:tc>
        <w:tc>
          <w:tcPr>
            <w:tcW w:w="1230" w:type="dxa"/>
            <w:tcBorders>
              <w:top w:val="nil"/>
              <w:left w:val="nil"/>
              <w:bottom w:val="nil"/>
              <w:right w:val="nil"/>
            </w:tcBorders>
            <w:noWrap/>
            <w:hideMark/>
          </w:tcPr>
          <w:p w14:paraId="5145960C" w14:textId="77777777" w:rsidR="00964B9F" w:rsidRPr="001B155B" w:rsidRDefault="00964B9F" w:rsidP="00A24340">
            <w:pPr>
              <w:rPr>
                <w:sz w:val="22"/>
                <w:szCs w:val="22"/>
              </w:rPr>
            </w:pPr>
            <w:r w:rsidRPr="001B155B">
              <w:rPr>
                <w:sz w:val="22"/>
                <w:szCs w:val="22"/>
              </w:rPr>
              <w:t>1,023,811</w:t>
            </w:r>
          </w:p>
        </w:tc>
        <w:tc>
          <w:tcPr>
            <w:tcW w:w="1357" w:type="dxa"/>
            <w:tcBorders>
              <w:top w:val="nil"/>
              <w:left w:val="nil"/>
              <w:bottom w:val="nil"/>
              <w:right w:val="nil"/>
            </w:tcBorders>
            <w:noWrap/>
            <w:hideMark/>
          </w:tcPr>
          <w:p w14:paraId="759A379A" w14:textId="77777777" w:rsidR="00964B9F" w:rsidRPr="001B155B" w:rsidRDefault="00964B9F" w:rsidP="00A24340">
            <w:pPr>
              <w:rPr>
                <w:sz w:val="22"/>
                <w:szCs w:val="22"/>
              </w:rPr>
            </w:pPr>
            <w:r w:rsidRPr="001B155B">
              <w:rPr>
                <w:sz w:val="22"/>
                <w:szCs w:val="22"/>
              </w:rPr>
              <w:t>1,053,157</w:t>
            </w:r>
          </w:p>
        </w:tc>
        <w:tc>
          <w:tcPr>
            <w:tcW w:w="943" w:type="dxa"/>
            <w:tcBorders>
              <w:top w:val="nil"/>
              <w:left w:val="nil"/>
              <w:bottom w:val="nil"/>
              <w:right w:val="nil"/>
            </w:tcBorders>
            <w:noWrap/>
            <w:hideMark/>
          </w:tcPr>
          <w:p w14:paraId="385408B4" w14:textId="77777777" w:rsidR="00964B9F" w:rsidRPr="001B155B" w:rsidRDefault="00964B9F" w:rsidP="00A24340">
            <w:pPr>
              <w:jc w:val="center"/>
              <w:rPr>
                <w:sz w:val="22"/>
                <w:szCs w:val="22"/>
              </w:rPr>
            </w:pPr>
            <w:r w:rsidRPr="001B155B">
              <w:rPr>
                <w:sz w:val="22"/>
                <w:szCs w:val="22"/>
              </w:rPr>
              <w:t>21</w:t>
            </w:r>
          </w:p>
        </w:tc>
        <w:tc>
          <w:tcPr>
            <w:tcW w:w="1070" w:type="dxa"/>
            <w:tcBorders>
              <w:top w:val="nil"/>
              <w:left w:val="nil"/>
              <w:bottom w:val="nil"/>
              <w:right w:val="nil"/>
            </w:tcBorders>
            <w:noWrap/>
            <w:hideMark/>
          </w:tcPr>
          <w:p w14:paraId="0ADEC1AD" w14:textId="77777777" w:rsidR="00964B9F" w:rsidRPr="001B155B" w:rsidRDefault="00964B9F" w:rsidP="00A24340">
            <w:pPr>
              <w:jc w:val="center"/>
              <w:rPr>
                <w:sz w:val="22"/>
                <w:szCs w:val="22"/>
              </w:rPr>
            </w:pPr>
            <w:r w:rsidRPr="001B155B">
              <w:rPr>
                <w:sz w:val="22"/>
                <w:szCs w:val="22"/>
              </w:rPr>
              <w:t>20</w:t>
            </w:r>
          </w:p>
        </w:tc>
        <w:tc>
          <w:tcPr>
            <w:tcW w:w="1119" w:type="dxa"/>
            <w:tcBorders>
              <w:top w:val="nil"/>
              <w:left w:val="nil"/>
              <w:bottom w:val="nil"/>
              <w:right w:val="nil"/>
            </w:tcBorders>
            <w:noWrap/>
            <w:hideMark/>
          </w:tcPr>
          <w:p w14:paraId="1EB8CCFC" w14:textId="77777777" w:rsidR="00964B9F" w:rsidRPr="001B155B" w:rsidRDefault="00964B9F" w:rsidP="00A24340">
            <w:pPr>
              <w:jc w:val="center"/>
              <w:rPr>
                <w:sz w:val="22"/>
                <w:szCs w:val="22"/>
              </w:rPr>
            </w:pPr>
            <w:r w:rsidRPr="001B155B">
              <w:rPr>
                <w:sz w:val="22"/>
                <w:szCs w:val="22"/>
              </w:rPr>
              <w:t>21</w:t>
            </w:r>
          </w:p>
        </w:tc>
      </w:tr>
      <w:tr w:rsidR="00964B9F" w:rsidRPr="001B155B" w14:paraId="40FEFD90" w14:textId="77777777" w:rsidTr="00A24340">
        <w:trPr>
          <w:trHeight w:val="300"/>
        </w:trPr>
        <w:tc>
          <w:tcPr>
            <w:tcW w:w="1526" w:type="dxa"/>
            <w:tcBorders>
              <w:top w:val="nil"/>
              <w:left w:val="nil"/>
              <w:bottom w:val="nil"/>
              <w:right w:val="nil"/>
            </w:tcBorders>
            <w:noWrap/>
            <w:hideMark/>
          </w:tcPr>
          <w:p w14:paraId="4010ED31" w14:textId="77777777" w:rsidR="00964B9F" w:rsidRPr="001B155B" w:rsidRDefault="00964B9F" w:rsidP="00A24340">
            <w:r w:rsidRPr="001B155B">
              <w:t>Cardiff</w:t>
            </w:r>
          </w:p>
        </w:tc>
        <w:tc>
          <w:tcPr>
            <w:tcW w:w="1271" w:type="dxa"/>
            <w:tcBorders>
              <w:top w:val="nil"/>
              <w:left w:val="nil"/>
              <w:bottom w:val="nil"/>
              <w:right w:val="nil"/>
            </w:tcBorders>
            <w:noWrap/>
            <w:hideMark/>
          </w:tcPr>
          <w:p w14:paraId="64684099" w14:textId="77777777" w:rsidR="00964B9F" w:rsidRPr="001B155B" w:rsidRDefault="00964B9F" w:rsidP="00A24340">
            <w:pPr>
              <w:rPr>
                <w:sz w:val="22"/>
                <w:szCs w:val="22"/>
              </w:rPr>
            </w:pPr>
            <w:r w:rsidRPr="001B155B">
              <w:rPr>
                <w:sz w:val="22"/>
                <w:szCs w:val="22"/>
              </w:rPr>
              <w:t>219,894</w:t>
            </w:r>
          </w:p>
        </w:tc>
        <w:tc>
          <w:tcPr>
            <w:tcW w:w="1230" w:type="dxa"/>
            <w:tcBorders>
              <w:top w:val="nil"/>
              <w:left w:val="nil"/>
              <w:bottom w:val="nil"/>
              <w:right w:val="nil"/>
            </w:tcBorders>
            <w:noWrap/>
            <w:hideMark/>
          </w:tcPr>
          <w:p w14:paraId="0E831895" w14:textId="77777777" w:rsidR="00964B9F" w:rsidRPr="001B155B" w:rsidRDefault="00964B9F" w:rsidP="00A24340">
            <w:pPr>
              <w:rPr>
                <w:sz w:val="22"/>
                <w:szCs w:val="22"/>
              </w:rPr>
            </w:pPr>
            <w:r w:rsidRPr="001B155B">
              <w:rPr>
                <w:sz w:val="22"/>
                <w:szCs w:val="22"/>
              </w:rPr>
              <w:t>222,658</w:t>
            </w:r>
          </w:p>
        </w:tc>
        <w:tc>
          <w:tcPr>
            <w:tcW w:w="1357" w:type="dxa"/>
            <w:tcBorders>
              <w:top w:val="nil"/>
              <w:left w:val="nil"/>
              <w:bottom w:val="nil"/>
              <w:right w:val="nil"/>
            </w:tcBorders>
            <w:noWrap/>
            <w:hideMark/>
          </w:tcPr>
          <w:p w14:paraId="5652CE4A" w14:textId="77777777" w:rsidR="00964B9F" w:rsidRPr="001B155B" w:rsidRDefault="00964B9F" w:rsidP="00A24340">
            <w:pPr>
              <w:rPr>
                <w:sz w:val="22"/>
                <w:szCs w:val="22"/>
              </w:rPr>
            </w:pPr>
            <w:r w:rsidRPr="001B155B">
              <w:rPr>
                <w:sz w:val="22"/>
                <w:szCs w:val="22"/>
              </w:rPr>
              <w:t>227,861</w:t>
            </w:r>
          </w:p>
        </w:tc>
        <w:tc>
          <w:tcPr>
            <w:tcW w:w="943" w:type="dxa"/>
            <w:tcBorders>
              <w:top w:val="nil"/>
              <w:left w:val="nil"/>
              <w:bottom w:val="nil"/>
              <w:right w:val="nil"/>
            </w:tcBorders>
            <w:noWrap/>
            <w:hideMark/>
          </w:tcPr>
          <w:p w14:paraId="41C0D5A2" w14:textId="77777777" w:rsidR="00964B9F" w:rsidRPr="001B155B" w:rsidRDefault="00964B9F" w:rsidP="00A24340">
            <w:pPr>
              <w:jc w:val="center"/>
              <w:rPr>
                <w:sz w:val="22"/>
                <w:szCs w:val="22"/>
              </w:rPr>
            </w:pPr>
            <w:r w:rsidRPr="001B155B">
              <w:rPr>
                <w:sz w:val="22"/>
                <w:szCs w:val="22"/>
              </w:rPr>
              <w:t>21</w:t>
            </w:r>
          </w:p>
        </w:tc>
        <w:tc>
          <w:tcPr>
            <w:tcW w:w="1070" w:type="dxa"/>
            <w:tcBorders>
              <w:top w:val="nil"/>
              <w:left w:val="nil"/>
              <w:bottom w:val="nil"/>
              <w:right w:val="nil"/>
            </w:tcBorders>
            <w:noWrap/>
            <w:hideMark/>
          </w:tcPr>
          <w:p w14:paraId="1DD07F25" w14:textId="77777777" w:rsidR="00964B9F" w:rsidRPr="001B155B" w:rsidRDefault="00964B9F" w:rsidP="00A24340">
            <w:pPr>
              <w:jc w:val="center"/>
              <w:rPr>
                <w:sz w:val="22"/>
                <w:szCs w:val="22"/>
              </w:rPr>
            </w:pPr>
            <w:r w:rsidRPr="001B155B">
              <w:rPr>
                <w:sz w:val="22"/>
                <w:szCs w:val="22"/>
              </w:rPr>
              <w:t>18</w:t>
            </w:r>
          </w:p>
        </w:tc>
        <w:tc>
          <w:tcPr>
            <w:tcW w:w="1119" w:type="dxa"/>
            <w:tcBorders>
              <w:top w:val="nil"/>
              <w:left w:val="nil"/>
              <w:bottom w:val="nil"/>
              <w:right w:val="nil"/>
            </w:tcBorders>
            <w:noWrap/>
            <w:hideMark/>
          </w:tcPr>
          <w:p w14:paraId="62AA795E" w14:textId="77777777" w:rsidR="00964B9F" w:rsidRPr="001B155B" w:rsidRDefault="00964B9F" w:rsidP="00A24340">
            <w:pPr>
              <w:jc w:val="center"/>
              <w:rPr>
                <w:sz w:val="22"/>
                <w:szCs w:val="22"/>
              </w:rPr>
            </w:pPr>
            <w:r w:rsidRPr="001B155B">
              <w:rPr>
                <w:sz w:val="22"/>
                <w:szCs w:val="22"/>
              </w:rPr>
              <w:t>17</w:t>
            </w:r>
          </w:p>
        </w:tc>
      </w:tr>
      <w:tr w:rsidR="00964B9F" w:rsidRPr="001B155B" w14:paraId="5589AD39" w14:textId="77777777" w:rsidTr="00A24340">
        <w:trPr>
          <w:trHeight w:val="300"/>
        </w:trPr>
        <w:tc>
          <w:tcPr>
            <w:tcW w:w="1526" w:type="dxa"/>
            <w:tcBorders>
              <w:top w:val="nil"/>
              <w:left w:val="nil"/>
              <w:bottom w:val="nil"/>
              <w:right w:val="nil"/>
            </w:tcBorders>
            <w:noWrap/>
            <w:hideMark/>
          </w:tcPr>
          <w:p w14:paraId="1152652B" w14:textId="77777777" w:rsidR="00964B9F" w:rsidRPr="001B155B" w:rsidRDefault="00964B9F" w:rsidP="00A24340">
            <w:r w:rsidRPr="001B155B">
              <w:t>Glasgow</w:t>
            </w:r>
          </w:p>
        </w:tc>
        <w:tc>
          <w:tcPr>
            <w:tcW w:w="1271" w:type="dxa"/>
            <w:tcBorders>
              <w:top w:val="nil"/>
              <w:left w:val="nil"/>
              <w:bottom w:val="nil"/>
              <w:right w:val="nil"/>
            </w:tcBorders>
            <w:noWrap/>
            <w:hideMark/>
          </w:tcPr>
          <w:p w14:paraId="20FFCCA8" w14:textId="77777777" w:rsidR="00964B9F" w:rsidRPr="001B155B" w:rsidRDefault="00964B9F" w:rsidP="00A24340">
            <w:pPr>
              <w:rPr>
                <w:sz w:val="22"/>
                <w:szCs w:val="22"/>
              </w:rPr>
            </w:pPr>
            <w:r w:rsidRPr="001B155B">
              <w:rPr>
                <w:sz w:val="22"/>
                <w:szCs w:val="22"/>
              </w:rPr>
              <w:t>1,079,858</w:t>
            </w:r>
          </w:p>
        </w:tc>
        <w:tc>
          <w:tcPr>
            <w:tcW w:w="1230" w:type="dxa"/>
            <w:tcBorders>
              <w:top w:val="nil"/>
              <w:left w:val="nil"/>
              <w:bottom w:val="nil"/>
              <w:right w:val="nil"/>
            </w:tcBorders>
            <w:noWrap/>
            <w:hideMark/>
          </w:tcPr>
          <w:p w14:paraId="105B1F0D" w14:textId="77777777" w:rsidR="00964B9F" w:rsidRPr="001B155B" w:rsidRDefault="00964B9F" w:rsidP="00A24340">
            <w:pPr>
              <w:rPr>
                <w:sz w:val="22"/>
                <w:szCs w:val="22"/>
              </w:rPr>
            </w:pPr>
            <w:r w:rsidRPr="001B155B">
              <w:rPr>
                <w:sz w:val="22"/>
                <w:szCs w:val="22"/>
              </w:rPr>
              <w:t>1,088,829</w:t>
            </w:r>
          </w:p>
        </w:tc>
        <w:tc>
          <w:tcPr>
            <w:tcW w:w="1357" w:type="dxa"/>
            <w:tcBorders>
              <w:top w:val="nil"/>
              <w:left w:val="nil"/>
              <w:bottom w:val="nil"/>
              <w:right w:val="nil"/>
            </w:tcBorders>
            <w:noWrap/>
            <w:hideMark/>
          </w:tcPr>
          <w:p w14:paraId="12C2FD48" w14:textId="77777777" w:rsidR="00964B9F" w:rsidRPr="001B155B" w:rsidRDefault="00964B9F" w:rsidP="00A24340">
            <w:pPr>
              <w:rPr>
                <w:sz w:val="22"/>
                <w:szCs w:val="22"/>
              </w:rPr>
            </w:pPr>
            <w:r w:rsidRPr="001B155B">
              <w:rPr>
                <w:sz w:val="22"/>
                <w:szCs w:val="22"/>
              </w:rPr>
              <w:t>1,089,368</w:t>
            </w:r>
          </w:p>
        </w:tc>
        <w:tc>
          <w:tcPr>
            <w:tcW w:w="943" w:type="dxa"/>
            <w:tcBorders>
              <w:top w:val="nil"/>
              <w:left w:val="nil"/>
              <w:bottom w:val="nil"/>
              <w:right w:val="nil"/>
            </w:tcBorders>
            <w:noWrap/>
            <w:hideMark/>
          </w:tcPr>
          <w:p w14:paraId="5D7B788A" w14:textId="77777777" w:rsidR="00964B9F" w:rsidRPr="001B155B" w:rsidRDefault="00964B9F" w:rsidP="00A24340">
            <w:pPr>
              <w:jc w:val="center"/>
              <w:rPr>
                <w:sz w:val="22"/>
                <w:szCs w:val="22"/>
              </w:rPr>
            </w:pPr>
            <w:r w:rsidRPr="001B155B">
              <w:rPr>
                <w:sz w:val="22"/>
                <w:szCs w:val="22"/>
              </w:rPr>
              <w:t>51</w:t>
            </w:r>
          </w:p>
        </w:tc>
        <w:tc>
          <w:tcPr>
            <w:tcW w:w="1070" w:type="dxa"/>
            <w:tcBorders>
              <w:top w:val="nil"/>
              <w:left w:val="nil"/>
              <w:bottom w:val="nil"/>
              <w:right w:val="nil"/>
            </w:tcBorders>
            <w:noWrap/>
            <w:hideMark/>
          </w:tcPr>
          <w:p w14:paraId="64CC279D" w14:textId="77777777" w:rsidR="00964B9F" w:rsidRPr="001B155B" w:rsidRDefault="00964B9F" w:rsidP="00A24340">
            <w:pPr>
              <w:jc w:val="center"/>
              <w:rPr>
                <w:sz w:val="22"/>
                <w:szCs w:val="22"/>
              </w:rPr>
            </w:pPr>
            <w:r w:rsidRPr="001B155B">
              <w:rPr>
                <w:sz w:val="22"/>
                <w:szCs w:val="22"/>
              </w:rPr>
              <w:t>35</w:t>
            </w:r>
          </w:p>
        </w:tc>
        <w:tc>
          <w:tcPr>
            <w:tcW w:w="1119" w:type="dxa"/>
            <w:tcBorders>
              <w:top w:val="nil"/>
              <w:left w:val="nil"/>
              <w:bottom w:val="nil"/>
              <w:right w:val="nil"/>
            </w:tcBorders>
            <w:noWrap/>
            <w:hideMark/>
          </w:tcPr>
          <w:p w14:paraId="071897F1" w14:textId="77777777" w:rsidR="00964B9F" w:rsidRPr="001B155B" w:rsidRDefault="00964B9F" w:rsidP="00A24340">
            <w:pPr>
              <w:jc w:val="center"/>
              <w:rPr>
                <w:sz w:val="22"/>
                <w:szCs w:val="22"/>
              </w:rPr>
            </w:pPr>
            <w:r w:rsidRPr="001B155B">
              <w:rPr>
                <w:sz w:val="22"/>
                <w:szCs w:val="22"/>
              </w:rPr>
              <w:t>27</w:t>
            </w:r>
          </w:p>
        </w:tc>
      </w:tr>
      <w:tr w:rsidR="00964B9F" w:rsidRPr="001B155B" w14:paraId="6C900D5F" w14:textId="77777777" w:rsidTr="00A24340">
        <w:trPr>
          <w:trHeight w:val="300"/>
        </w:trPr>
        <w:tc>
          <w:tcPr>
            <w:tcW w:w="1526" w:type="dxa"/>
            <w:tcBorders>
              <w:top w:val="nil"/>
              <w:left w:val="nil"/>
              <w:bottom w:val="nil"/>
              <w:right w:val="nil"/>
            </w:tcBorders>
            <w:noWrap/>
            <w:hideMark/>
          </w:tcPr>
          <w:p w14:paraId="1DC75826" w14:textId="77777777" w:rsidR="00964B9F" w:rsidRPr="001B155B" w:rsidRDefault="00964B9F" w:rsidP="00A24340">
            <w:r w:rsidRPr="001B155B">
              <w:t>Liverpool</w:t>
            </w:r>
          </w:p>
        </w:tc>
        <w:tc>
          <w:tcPr>
            <w:tcW w:w="1271" w:type="dxa"/>
            <w:tcBorders>
              <w:top w:val="nil"/>
              <w:left w:val="nil"/>
              <w:bottom w:val="nil"/>
              <w:right w:val="nil"/>
            </w:tcBorders>
            <w:noWrap/>
            <w:hideMark/>
          </w:tcPr>
          <w:p w14:paraId="038D67A0" w14:textId="77777777" w:rsidR="00964B9F" w:rsidRPr="001B155B" w:rsidRDefault="00964B9F" w:rsidP="00A24340">
            <w:pPr>
              <w:rPr>
                <w:sz w:val="22"/>
                <w:szCs w:val="22"/>
              </w:rPr>
            </w:pPr>
            <w:r w:rsidRPr="001B155B">
              <w:rPr>
                <w:sz w:val="22"/>
                <w:szCs w:val="22"/>
              </w:rPr>
              <w:t>837,595</w:t>
            </w:r>
          </w:p>
        </w:tc>
        <w:tc>
          <w:tcPr>
            <w:tcW w:w="1230" w:type="dxa"/>
            <w:tcBorders>
              <w:top w:val="nil"/>
              <w:left w:val="nil"/>
              <w:bottom w:val="nil"/>
              <w:right w:val="nil"/>
            </w:tcBorders>
            <w:noWrap/>
            <w:hideMark/>
          </w:tcPr>
          <w:p w14:paraId="62CD12FB" w14:textId="77777777" w:rsidR="00964B9F" w:rsidRPr="001B155B" w:rsidRDefault="00964B9F" w:rsidP="00A24340">
            <w:pPr>
              <w:rPr>
                <w:sz w:val="22"/>
                <w:szCs w:val="22"/>
              </w:rPr>
            </w:pPr>
            <w:r w:rsidRPr="001B155B">
              <w:rPr>
                <w:sz w:val="22"/>
                <w:szCs w:val="22"/>
              </w:rPr>
              <w:t>858,783</w:t>
            </w:r>
          </w:p>
        </w:tc>
        <w:tc>
          <w:tcPr>
            <w:tcW w:w="1357" w:type="dxa"/>
            <w:tcBorders>
              <w:top w:val="nil"/>
              <w:left w:val="nil"/>
              <w:bottom w:val="nil"/>
              <w:right w:val="nil"/>
            </w:tcBorders>
            <w:noWrap/>
            <w:hideMark/>
          </w:tcPr>
          <w:p w14:paraId="705E0750" w14:textId="77777777" w:rsidR="00964B9F" w:rsidRPr="001B155B" w:rsidRDefault="00964B9F" w:rsidP="00A24340">
            <w:pPr>
              <w:rPr>
                <w:sz w:val="22"/>
                <w:szCs w:val="22"/>
              </w:rPr>
            </w:pPr>
            <w:r w:rsidRPr="001B155B">
              <w:rPr>
                <w:sz w:val="22"/>
                <w:szCs w:val="22"/>
              </w:rPr>
              <w:t>720,112</w:t>
            </w:r>
          </w:p>
        </w:tc>
        <w:tc>
          <w:tcPr>
            <w:tcW w:w="943" w:type="dxa"/>
            <w:tcBorders>
              <w:top w:val="nil"/>
              <w:left w:val="nil"/>
              <w:bottom w:val="nil"/>
              <w:right w:val="nil"/>
            </w:tcBorders>
            <w:noWrap/>
            <w:hideMark/>
          </w:tcPr>
          <w:p w14:paraId="624B89FD" w14:textId="77777777" w:rsidR="00964B9F" w:rsidRPr="001B155B" w:rsidRDefault="00964B9F" w:rsidP="00A24340">
            <w:pPr>
              <w:jc w:val="center"/>
              <w:rPr>
                <w:sz w:val="22"/>
                <w:szCs w:val="22"/>
              </w:rPr>
            </w:pPr>
            <w:r w:rsidRPr="001B155B">
              <w:rPr>
                <w:sz w:val="22"/>
                <w:szCs w:val="22"/>
              </w:rPr>
              <w:t>40</w:t>
            </w:r>
          </w:p>
        </w:tc>
        <w:tc>
          <w:tcPr>
            <w:tcW w:w="1070" w:type="dxa"/>
            <w:tcBorders>
              <w:top w:val="nil"/>
              <w:left w:val="nil"/>
              <w:bottom w:val="nil"/>
              <w:right w:val="nil"/>
            </w:tcBorders>
            <w:noWrap/>
            <w:hideMark/>
          </w:tcPr>
          <w:p w14:paraId="06F9878E" w14:textId="77777777" w:rsidR="00964B9F" w:rsidRPr="001B155B" w:rsidRDefault="00964B9F" w:rsidP="00A24340">
            <w:pPr>
              <w:jc w:val="center"/>
              <w:rPr>
                <w:sz w:val="22"/>
                <w:szCs w:val="22"/>
              </w:rPr>
            </w:pPr>
            <w:r w:rsidRPr="001B155B">
              <w:rPr>
                <w:sz w:val="22"/>
                <w:szCs w:val="22"/>
              </w:rPr>
              <w:t>32</w:t>
            </w:r>
          </w:p>
        </w:tc>
        <w:tc>
          <w:tcPr>
            <w:tcW w:w="1119" w:type="dxa"/>
            <w:tcBorders>
              <w:top w:val="nil"/>
              <w:left w:val="nil"/>
              <w:bottom w:val="nil"/>
              <w:right w:val="nil"/>
            </w:tcBorders>
            <w:noWrap/>
            <w:hideMark/>
          </w:tcPr>
          <w:p w14:paraId="2DD2017E" w14:textId="77777777" w:rsidR="00964B9F" w:rsidRPr="001B155B" w:rsidRDefault="00964B9F" w:rsidP="00A24340">
            <w:pPr>
              <w:jc w:val="center"/>
              <w:rPr>
                <w:sz w:val="22"/>
                <w:szCs w:val="22"/>
              </w:rPr>
            </w:pPr>
            <w:r w:rsidRPr="001B155B">
              <w:rPr>
                <w:sz w:val="22"/>
                <w:szCs w:val="22"/>
              </w:rPr>
              <w:t>-</w:t>
            </w:r>
          </w:p>
        </w:tc>
      </w:tr>
      <w:tr w:rsidR="00964B9F" w:rsidRPr="001B155B" w14:paraId="4B41BE49" w14:textId="77777777" w:rsidTr="00A24340">
        <w:trPr>
          <w:trHeight w:val="300"/>
        </w:trPr>
        <w:tc>
          <w:tcPr>
            <w:tcW w:w="1526" w:type="dxa"/>
            <w:tcBorders>
              <w:top w:val="nil"/>
              <w:left w:val="nil"/>
              <w:bottom w:val="nil"/>
              <w:right w:val="nil"/>
            </w:tcBorders>
            <w:noWrap/>
            <w:hideMark/>
          </w:tcPr>
          <w:p w14:paraId="6D5DE41A" w14:textId="77777777" w:rsidR="00964B9F" w:rsidRPr="001B155B" w:rsidRDefault="00964B9F" w:rsidP="00A24340">
            <w:r w:rsidRPr="001B155B">
              <w:t>London</w:t>
            </w:r>
          </w:p>
        </w:tc>
        <w:tc>
          <w:tcPr>
            <w:tcW w:w="1271" w:type="dxa"/>
            <w:tcBorders>
              <w:top w:val="nil"/>
              <w:left w:val="nil"/>
              <w:bottom w:val="nil"/>
              <w:right w:val="nil"/>
            </w:tcBorders>
            <w:noWrap/>
            <w:hideMark/>
          </w:tcPr>
          <w:p w14:paraId="4604BD8B" w14:textId="77777777" w:rsidR="00964B9F" w:rsidRPr="001B155B" w:rsidRDefault="00964B9F" w:rsidP="00A24340">
            <w:pPr>
              <w:rPr>
                <w:sz w:val="22"/>
                <w:szCs w:val="22"/>
              </w:rPr>
            </w:pPr>
            <w:r w:rsidRPr="001B155B">
              <w:rPr>
                <w:sz w:val="22"/>
                <w:szCs w:val="22"/>
              </w:rPr>
              <w:t>4,540,000</w:t>
            </w:r>
          </w:p>
        </w:tc>
        <w:tc>
          <w:tcPr>
            <w:tcW w:w="1230" w:type="dxa"/>
            <w:tcBorders>
              <w:top w:val="nil"/>
              <w:left w:val="nil"/>
              <w:bottom w:val="nil"/>
              <w:right w:val="nil"/>
            </w:tcBorders>
            <w:noWrap/>
            <w:hideMark/>
          </w:tcPr>
          <w:p w14:paraId="3EE86054" w14:textId="77777777" w:rsidR="00964B9F" w:rsidRPr="001B155B" w:rsidRDefault="00964B9F" w:rsidP="00A24340">
            <w:pPr>
              <w:rPr>
                <w:sz w:val="22"/>
                <w:szCs w:val="22"/>
              </w:rPr>
            </w:pPr>
            <w:r w:rsidRPr="001B155B">
              <w:rPr>
                <w:sz w:val="22"/>
                <w:szCs w:val="22"/>
              </w:rPr>
              <w:t>4,230,295</w:t>
            </w:r>
          </w:p>
        </w:tc>
        <w:tc>
          <w:tcPr>
            <w:tcW w:w="1357" w:type="dxa"/>
            <w:tcBorders>
              <w:top w:val="nil"/>
              <w:left w:val="nil"/>
              <w:bottom w:val="nil"/>
              <w:right w:val="nil"/>
            </w:tcBorders>
            <w:noWrap/>
            <w:hideMark/>
          </w:tcPr>
          <w:p w14:paraId="73C44064" w14:textId="77777777" w:rsidR="00964B9F" w:rsidRPr="001B155B" w:rsidRDefault="00964B9F" w:rsidP="00A24340">
            <w:pPr>
              <w:rPr>
                <w:sz w:val="22"/>
                <w:szCs w:val="22"/>
              </w:rPr>
            </w:pPr>
            <w:r w:rsidRPr="001B155B">
              <w:rPr>
                <w:sz w:val="22"/>
                <w:szCs w:val="22"/>
              </w:rPr>
              <w:t>2,863,548</w:t>
            </w:r>
          </w:p>
        </w:tc>
        <w:tc>
          <w:tcPr>
            <w:tcW w:w="943" w:type="dxa"/>
            <w:tcBorders>
              <w:top w:val="nil"/>
              <w:left w:val="nil"/>
              <w:bottom w:val="nil"/>
              <w:right w:val="nil"/>
            </w:tcBorders>
            <w:noWrap/>
            <w:hideMark/>
          </w:tcPr>
          <w:p w14:paraId="4AE74047" w14:textId="77777777" w:rsidR="00964B9F" w:rsidRPr="001B155B" w:rsidRDefault="00964B9F" w:rsidP="00A24340">
            <w:pPr>
              <w:jc w:val="center"/>
              <w:rPr>
                <w:sz w:val="22"/>
                <w:szCs w:val="22"/>
              </w:rPr>
            </w:pPr>
            <w:r w:rsidRPr="001B155B">
              <w:rPr>
                <w:sz w:val="22"/>
                <w:szCs w:val="22"/>
              </w:rPr>
              <w:t>-</w:t>
            </w:r>
          </w:p>
        </w:tc>
        <w:tc>
          <w:tcPr>
            <w:tcW w:w="1070" w:type="dxa"/>
            <w:tcBorders>
              <w:top w:val="nil"/>
              <w:left w:val="nil"/>
              <w:bottom w:val="nil"/>
              <w:right w:val="nil"/>
            </w:tcBorders>
            <w:noWrap/>
            <w:hideMark/>
          </w:tcPr>
          <w:p w14:paraId="2499B8B0" w14:textId="77777777" w:rsidR="00964B9F" w:rsidRPr="001B155B" w:rsidRDefault="00964B9F" w:rsidP="00A24340">
            <w:pPr>
              <w:jc w:val="center"/>
              <w:rPr>
                <w:sz w:val="22"/>
                <w:szCs w:val="22"/>
              </w:rPr>
            </w:pPr>
            <w:r w:rsidRPr="001B155B">
              <w:rPr>
                <w:sz w:val="22"/>
                <w:szCs w:val="22"/>
              </w:rPr>
              <w:t>-</w:t>
            </w:r>
          </w:p>
        </w:tc>
        <w:tc>
          <w:tcPr>
            <w:tcW w:w="1119" w:type="dxa"/>
            <w:tcBorders>
              <w:top w:val="nil"/>
              <w:left w:val="nil"/>
              <w:bottom w:val="nil"/>
              <w:right w:val="nil"/>
            </w:tcBorders>
            <w:noWrap/>
            <w:hideMark/>
          </w:tcPr>
          <w:p w14:paraId="384F0A0F" w14:textId="77777777" w:rsidR="00964B9F" w:rsidRPr="001B155B" w:rsidRDefault="00964B9F" w:rsidP="00A24340">
            <w:pPr>
              <w:jc w:val="center"/>
              <w:rPr>
                <w:sz w:val="22"/>
                <w:szCs w:val="22"/>
              </w:rPr>
            </w:pPr>
            <w:r w:rsidRPr="001B155B">
              <w:rPr>
                <w:sz w:val="22"/>
                <w:szCs w:val="22"/>
              </w:rPr>
              <w:t>-</w:t>
            </w:r>
          </w:p>
        </w:tc>
      </w:tr>
      <w:tr w:rsidR="00964B9F" w:rsidRPr="001B155B" w14:paraId="4A4E7118" w14:textId="77777777" w:rsidTr="00A24340">
        <w:trPr>
          <w:trHeight w:val="300"/>
        </w:trPr>
        <w:tc>
          <w:tcPr>
            <w:tcW w:w="1526" w:type="dxa"/>
            <w:tcBorders>
              <w:top w:val="nil"/>
              <w:left w:val="nil"/>
              <w:bottom w:val="nil"/>
              <w:right w:val="nil"/>
            </w:tcBorders>
            <w:noWrap/>
            <w:hideMark/>
          </w:tcPr>
          <w:p w14:paraId="342DD262" w14:textId="77777777" w:rsidR="00964B9F" w:rsidRPr="001B155B" w:rsidRDefault="00964B9F" w:rsidP="00A24340">
            <w:r w:rsidRPr="001B155B">
              <w:t>Manchester</w:t>
            </w:r>
          </w:p>
        </w:tc>
        <w:tc>
          <w:tcPr>
            <w:tcW w:w="1271" w:type="dxa"/>
            <w:tcBorders>
              <w:top w:val="nil"/>
              <w:left w:val="nil"/>
              <w:bottom w:val="nil"/>
              <w:right w:val="nil"/>
            </w:tcBorders>
            <w:noWrap/>
            <w:hideMark/>
          </w:tcPr>
          <w:p w14:paraId="5CECC79A" w14:textId="77777777" w:rsidR="00964B9F" w:rsidRPr="001B155B" w:rsidRDefault="00964B9F" w:rsidP="00A24340">
            <w:pPr>
              <w:rPr>
                <w:sz w:val="22"/>
                <w:szCs w:val="22"/>
              </w:rPr>
            </w:pPr>
            <w:r w:rsidRPr="001B155B">
              <w:rPr>
                <w:sz w:val="22"/>
                <w:szCs w:val="22"/>
              </w:rPr>
              <w:t>749,970</w:t>
            </w:r>
          </w:p>
        </w:tc>
        <w:tc>
          <w:tcPr>
            <w:tcW w:w="1230" w:type="dxa"/>
            <w:tcBorders>
              <w:top w:val="nil"/>
              <w:left w:val="nil"/>
              <w:bottom w:val="nil"/>
              <w:right w:val="nil"/>
            </w:tcBorders>
            <w:noWrap/>
            <w:hideMark/>
          </w:tcPr>
          <w:p w14:paraId="02B23C29" w14:textId="77777777" w:rsidR="00964B9F" w:rsidRPr="001B155B" w:rsidRDefault="00964B9F" w:rsidP="00A24340">
            <w:pPr>
              <w:rPr>
                <w:sz w:val="22"/>
                <w:szCs w:val="22"/>
              </w:rPr>
            </w:pPr>
            <w:r w:rsidRPr="001B155B">
              <w:rPr>
                <w:sz w:val="22"/>
                <w:szCs w:val="22"/>
              </w:rPr>
              <w:t>746,974</w:t>
            </w:r>
          </w:p>
        </w:tc>
        <w:tc>
          <w:tcPr>
            <w:tcW w:w="1357" w:type="dxa"/>
            <w:tcBorders>
              <w:top w:val="nil"/>
              <w:left w:val="nil"/>
              <w:bottom w:val="nil"/>
              <w:right w:val="nil"/>
            </w:tcBorders>
            <w:noWrap/>
            <w:hideMark/>
          </w:tcPr>
          <w:p w14:paraId="0ABAA2E0" w14:textId="77777777" w:rsidR="00964B9F" w:rsidRPr="001B155B" w:rsidRDefault="00964B9F" w:rsidP="00A24340">
            <w:pPr>
              <w:rPr>
                <w:sz w:val="22"/>
                <w:szCs w:val="22"/>
              </w:rPr>
            </w:pPr>
            <w:r w:rsidRPr="001B155B">
              <w:rPr>
                <w:sz w:val="22"/>
                <w:szCs w:val="22"/>
              </w:rPr>
              <w:t>641,040</w:t>
            </w:r>
          </w:p>
        </w:tc>
        <w:tc>
          <w:tcPr>
            <w:tcW w:w="943" w:type="dxa"/>
            <w:tcBorders>
              <w:top w:val="nil"/>
              <w:left w:val="nil"/>
              <w:bottom w:val="nil"/>
              <w:right w:val="nil"/>
            </w:tcBorders>
            <w:noWrap/>
            <w:hideMark/>
          </w:tcPr>
          <w:p w14:paraId="350724C6" w14:textId="77777777" w:rsidR="00964B9F" w:rsidRPr="001B155B" w:rsidRDefault="00964B9F" w:rsidP="00A24340">
            <w:pPr>
              <w:jc w:val="center"/>
              <w:rPr>
                <w:sz w:val="22"/>
                <w:szCs w:val="22"/>
              </w:rPr>
            </w:pPr>
            <w:r w:rsidRPr="001B155B">
              <w:rPr>
                <w:sz w:val="22"/>
                <w:szCs w:val="22"/>
              </w:rPr>
              <w:t>35</w:t>
            </w:r>
          </w:p>
        </w:tc>
        <w:tc>
          <w:tcPr>
            <w:tcW w:w="1070" w:type="dxa"/>
            <w:tcBorders>
              <w:top w:val="nil"/>
              <w:left w:val="nil"/>
              <w:bottom w:val="nil"/>
              <w:right w:val="nil"/>
            </w:tcBorders>
            <w:noWrap/>
            <w:hideMark/>
          </w:tcPr>
          <w:p w14:paraId="6E1A8FA4" w14:textId="77777777" w:rsidR="00964B9F" w:rsidRPr="001B155B" w:rsidRDefault="00964B9F" w:rsidP="00A24340">
            <w:pPr>
              <w:jc w:val="center"/>
              <w:rPr>
                <w:sz w:val="22"/>
                <w:szCs w:val="22"/>
              </w:rPr>
            </w:pPr>
            <w:r w:rsidRPr="001B155B">
              <w:rPr>
                <w:sz w:val="22"/>
                <w:szCs w:val="22"/>
              </w:rPr>
              <w:t>29</w:t>
            </w:r>
          </w:p>
        </w:tc>
        <w:tc>
          <w:tcPr>
            <w:tcW w:w="1119" w:type="dxa"/>
            <w:tcBorders>
              <w:top w:val="nil"/>
              <w:left w:val="nil"/>
              <w:bottom w:val="nil"/>
              <w:right w:val="nil"/>
            </w:tcBorders>
            <w:noWrap/>
            <w:hideMark/>
          </w:tcPr>
          <w:p w14:paraId="0C0581BA" w14:textId="77777777" w:rsidR="00964B9F" w:rsidRPr="001B155B" w:rsidRDefault="00964B9F" w:rsidP="00A24340">
            <w:pPr>
              <w:jc w:val="center"/>
              <w:rPr>
                <w:sz w:val="22"/>
                <w:szCs w:val="22"/>
              </w:rPr>
            </w:pPr>
            <w:r w:rsidRPr="001B155B">
              <w:rPr>
                <w:sz w:val="22"/>
                <w:szCs w:val="22"/>
              </w:rPr>
              <w:t>24</w:t>
            </w:r>
          </w:p>
        </w:tc>
      </w:tr>
      <w:tr w:rsidR="00964B9F" w:rsidRPr="001B155B" w14:paraId="226E7BC0" w14:textId="77777777" w:rsidTr="00A24340">
        <w:trPr>
          <w:trHeight w:val="300"/>
        </w:trPr>
        <w:tc>
          <w:tcPr>
            <w:tcW w:w="1526" w:type="dxa"/>
            <w:tcBorders>
              <w:top w:val="nil"/>
              <w:left w:val="nil"/>
              <w:bottom w:val="double" w:sz="4" w:space="0" w:color="auto"/>
              <w:right w:val="nil"/>
            </w:tcBorders>
            <w:noWrap/>
            <w:hideMark/>
          </w:tcPr>
          <w:p w14:paraId="3E558C39" w14:textId="77777777" w:rsidR="00964B9F" w:rsidRPr="001B155B" w:rsidRDefault="00964B9F" w:rsidP="00A24340">
            <w:r w:rsidRPr="001B155B">
              <w:t>Sheffield</w:t>
            </w:r>
          </w:p>
        </w:tc>
        <w:tc>
          <w:tcPr>
            <w:tcW w:w="1271" w:type="dxa"/>
            <w:tcBorders>
              <w:top w:val="nil"/>
              <w:left w:val="nil"/>
              <w:bottom w:val="double" w:sz="4" w:space="0" w:color="auto"/>
              <w:right w:val="nil"/>
            </w:tcBorders>
            <w:noWrap/>
            <w:hideMark/>
          </w:tcPr>
          <w:p w14:paraId="72F12CC3" w14:textId="77777777" w:rsidR="00964B9F" w:rsidRPr="001B155B" w:rsidRDefault="00964B9F" w:rsidP="00A24340">
            <w:pPr>
              <w:rPr>
                <w:sz w:val="22"/>
                <w:szCs w:val="22"/>
              </w:rPr>
            </w:pPr>
            <w:r w:rsidRPr="001B155B">
              <w:rPr>
                <w:sz w:val="22"/>
                <w:szCs w:val="22"/>
              </w:rPr>
              <w:t>519,224</w:t>
            </w:r>
          </w:p>
        </w:tc>
        <w:tc>
          <w:tcPr>
            <w:tcW w:w="1230" w:type="dxa"/>
            <w:tcBorders>
              <w:top w:val="nil"/>
              <w:left w:val="nil"/>
              <w:bottom w:val="double" w:sz="4" w:space="0" w:color="auto"/>
              <w:right w:val="nil"/>
            </w:tcBorders>
            <w:noWrap/>
            <w:hideMark/>
          </w:tcPr>
          <w:p w14:paraId="294F2EAD" w14:textId="77777777" w:rsidR="00964B9F" w:rsidRPr="001B155B" w:rsidRDefault="00964B9F" w:rsidP="00A24340">
            <w:pPr>
              <w:rPr>
                <w:sz w:val="22"/>
                <w:szCs w:val="22"/>
              </w:rPr>
            </w:pPr>
            <w:r w:rsidRPr="001B155B">
              <w:rPr>
                <w:sz w:val="22"/>
                <w:szCs w:val="22"/>
              </w:rPr>
              <w:t>517,967</w:t>
            </w:r>
          </w:p>
        </w:tc>
        <w:tc>
          <w:tcPr>
            <w:tcW w:w="1357" w:type="dxa"/>
            <w:tcBorders>
              <w:top w:val="nil"/>
              <w:left w:val="nil"/>
              <w:bottom w:val="double" w:sz="4" w:space="0" w:color="auto"/>
              <w:right w:val="nil"/>
            </w:tcBorders>
            <w:noWrap/>
            <w:hideMark/>
          </w:tcPr>
          <w:p w14:paraId="5DBE63CF" w14:textId="77777777" w:rsidR="00964B9F" w:rsidRPr="001B155B" w:rsidRDefault="00964B9F" w:rsidP="00A24340">
            <w:pPr>
              <w:rPr>
                <w:sz w:val="22"/>
                <w:szCs w:val="22"/>
              </w:rPr>
            </w:pPr>
            <w:r w:rsidRPr="001B155B">
              <w:rPr>
                <w:sz w:val="22"/>
                <w:szCs w:val="22"/>
              </w:rPr>
              <w:t>492,093</w:t>
            </w:r>
          </w:p>
        </w:tc>
        <w:tc>
          <w:tcPr>
            <w:tcW w:w="943" w:type="dxa"/>
            <w:tcBorders>
              <w:top w:val="nil"/>
              <w:left w:val="nil"/>
              <w:bottom w:val="double" w:sz="4" w:space="0" w:color="auto"/>
              <w:right w:val="nil"/>
            </w:tcBorders>
            <w:noWrap/>
            <w:hideMark/>
          </w:tcPr>
          <w:p w14:paraId="6C07E88B" w14:textId="77777777" w:rsidR="00964B9F" w:rsidRPr="001B155B" w:rsidRDefault="00964B9F" w:rsidP="00A24340">
            <w:pPr>
              <w:jc w:val="center"/>
              <w:rPr>
                <w:sz w:val="22"/>
                <w:szCs w:val="22"/>
              </w:rPr>
            </w:pPr>
            <w:r w:rsidRPr="001B155B">
              <w:rPr>
                <w:sz w:val="22"/>
                <w:szCs w:val="22"/>
              </w:rPr>
              <w:t>17</w:t>
            </w:r>
          </w:p>
        </w:tc>
        <w:tc>
          <w:tcPr>
            <w:tcW w:w="1070" w:type="dxa"/>
            <w:tcBorders>
              <w:top w:val="nil"/>
              <w:left w:val="nil"/>
              <w:bottom w:val="double" w:sz="4" w:space="0" w:color="auto"/>
              <w:right w:val="nil"/>
            </w:tcBorders>
            <w:noWrap/>
            <w:hideMark/>
          </w:tcPr>
          <w:p w14:paraId="06710F5D" w14:textId="77777777" w:rsidR="00964B9F" w:rsidRPr="001B155B" w:rsidRDefault="00964B9F" w:rsidP="00A24340">
            <w:pPr>
              <w:jc w:val="center"/>
              <w:rPr>
                <w:sz w:val="22"/>
                <w:szCs w:val="22"/>
              </w:rPr>
            </w:pPr>
            <w:r w:rsidRPr="001B155B">
              <w:rPr>
                <w:sz w:val="22"/>
                <w:szCs w:val="22"/>
              </w:rPr>
              <w:t>14</w:t>
            </w:r>
          </w:p>
        </w:tc>
        <w:tc>
          <w:tcPr>
            <w:tcW w:w="1119" w:type="dxa"/>
            <w:tcBorders>
              <w:top w:val="nil"/>
              <w:left w:val="nil"/>
              <w:bottom w:val="double" w:sz="4" w:space="0" w:color="auto"/>
              <w:right w:val="nil"/>
            </w:tcBorders>
            <w:noWrap/>
            <w:hideMark/>
          </w:tcPr>
          <w:p w14:paraId="3A6727CB" w14:textId="77777777" w:rsidR="00964B9F" w:rsidRPr="001B155B" w:rsidRDefault="00964B9F" w:rsidP="00A24340">
            <w:pPr>
              <w:jc w:val="center"/>
              <w:rPr>
                <w:sz w:val="22"/>
                <w:szCs w:val="22"/>
              </w:rPr>
            </w:pPr>
            <w:r w:rsidRPr="001B155B">
              <w:rPr>
                <w:sz w:val="22"/>
                <w:szCs w:val="22"/>
              </w:rPr>
              <w:t>13</w:t>
            </w:r>
          </w:p>
        </w:tc>
      </w:tr>
      <w:tr w:rsidR="00964B9F" w:rsidRPr="001B155B" w14:paraId="048F525C" w14:textId="77777777" w:rsidTr="00A24340">
        <w:trPr>
          <w:trHeight w:val="300"/>
        </w:trPr>
        <w:tc>
          <w:tcPr>
            <w:tcW w:w="8516" w:type="dxa"/>
            <w:gridSpan w:val="7"/>
            <w:tcBorders>
              <w:top w:val="double" w:sz="4" w:space="0" w:color="auto"/>
              <w:left w:val="nil"/>
              <w:bottom w:val="nil"/>
              <w:right w:val="nil"/>
            </w:tcBorders>
            <w:noWrap/>
          </w:tcPr>
          <w:p w14:paraId="038E48E6" w14:textId="77777777" w:rsidR="00964B9F" w:rsidRPr="009C3EB6" w:rsidRDefault="00964B9F" w:rsidP="00A24340">
            <w:pPr>
              <w:rPr>
                <w:b/>
                <w:bCs/>
                <w:sz w:val="22"/>
                <w:szCs w:val="22"/>
              </w:rPr>
            </w:pPr>
            <w:r w:rsidRPr="009C3EB6">
              <w:rPr>
                <w:b/>
                <w:bCs/>
                <w:sz w:val="14"/>
                <w:szCs w:val="14"/>
              </w:rPr>
              <w:t>Population and population density numbers refer to decadal averages compiled form available data in the MOH reports. Population density is measured in persons/acre.</w:t>
            </w:r>
          </w:p>
        </w:tc>
      </w:tr>
    </w:tbl>
    <w:p w14:paraId="09574CBF" w14:textId="77777777" w:rsidR="00964B9F" w:rsidRPr="001B155B" w:rsidRDefault="00964B9F" w:rsidP="00964B9F">
      <w:pPr>
        <w:jc w:val="center"/>
      </w:pPr>
    </w:p>
    <w:p w14:paraId="7527ED23" w14:textId="77777777" w:rsidR="00964B9F" w:rsidRDefault="00964B9F" w:rsidP="00964B9F">
      <w:pPr>
        <w:rPr>
          <w:b/>
          <w:bCs/>
          <w:i/>
          <w:sz w:val="14"/>
          <w:szCs w:val="14"/>
        </w:rPr>
      </w:pPr>
    </w:p>
    <w:p w14:paraId="17C148EF" w14:textId="77777777" w:rsidR="00964B9F" w:rsidRPr="001B155B" w:rsidRDefault="00964B9F" w:rsidP="00964B9F">
      <w:pPr>
        <w:pStyle w:val="Caption"/>
        <w:keepNext/>
      </w:pPr>
      <w:r w:rsidRPr="001B155B">
        <w:lastRenderedPageBreak/>
        <w:t xml:space="preserve">Figure </w:t>
      </w:r>
      <w:r>
        <w:t>S</w:t>
      </w:r>
      <w:r w:rsidRPr="001B155B">
        <w:t>1</w:t>
      </w:r>
      <w:r>
        <w:t>0</w:t>
      </w:r>
      <w:r w:rsidRPr="001B155B">
        <w:t>: Model predicted influenza mortality rates following the 1918-19 and 1890-91 pandemics (deaths per million)</w:t>
      </w:r>
    </w:p>
    <w:p w14:paraId="6D17BDFB" w14:textId="77777777" w:rsidR="00964B9F" w:rsidRPr="001B155B" w:rsidRDefault="00964B9F" w:rsidP="00964B9F">
      <w:pPr>
        <w:rPr>
          <w:i/>
        </w:rPr>
      </w:pPr>
      <w:r w:rsidRPr="001B155B">
        <w:rPr>
          <w:i/>
          <w:noProof/>
          <w:lang w:val="en-US"/>
        </w:rPr>
        <w:drawing>
          <wp:inline distT="0" distB="0" distL="0" distR="0" wp14:anchorId="33A4F2E0" wp14:editId="5A065B35">
            <wp:extent cx="5270500" cy="2760499"/>
            <wp:effectExtent l="0" t="0" r="6350"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6"/>
                    <a:stretch>
                      <a:fillRect/>
                    </a:stretch>
                  </pic:blipFill>
                  <pic:spPr>
                    <a:xfrm>
                      <a:off x="0" y="0"/>
                      <a:ext cx="5270500" cy="2760499"/>
                    </a:xfrm>
                    <a:prstGeom prst="rect">
                      <a:avLst/>
                    </a:prstGeom>
                  </pic:spPr>
                </pic:pic>
              </a:graphicData>
            </a:graphic>
          </wp:inline>
        </w:drawing>
      </w:r>
    </w:p>
    <w:p w14:paraId="42E03920" w14:textId="77777777" w:rsidR="00964B9F" w:rsidRPr="001B155B" w:rsidRDefault="00964B9F" w:rsidP="00964B9F">
      <w:pPr>
        <w:rPr>
          <w:b/>
          <w:bCs/>
          <w:sz w:val="14"/>
          <w:szCs w:val="14"/>
        </w:rPr>
      </w:pPr>
      <w:r w:rsidRPr="001B155B">
        <w:rPr>
          <w:b/>
          <w:bCs/>
          <w:sz w:val="14"/>
          <w:szCs w:val="14"/>
        </w:rPr>
        <w:t xml:space="preserve">Simulated median (solid black line), interquartile range (dark shading) and 80% prediction interval (light shading) </w:t>
      </w:r>
      <w:r>
        <w:rPr>
          <w:b/>
          <w:bCs/>
          <w:sz w:val="14"/>
          <w:szCs w:val="14"/>
        </w:rPr>
        <w:t xml:space="preserve">are </w:t>
      </w:r>
      <w:r w:rsidRPr="001B155B">
        <w:rPr>
          <w:b/>
          <w:bCs/>
          <w:sz w:val="14"/>
          <w:szCs w:val="14"/>
        </w:rPr>
        <w:t xml:space="preserve">based on 1m random draws. Simulated outcomes are based on the model fitted to each city, the US and England &amp; Wales.  Data for UK cities are taken from Medical Officer for Health reports. Data for </w:t>
      </w:r>
      <w:r>
        <w:rPr>
          <w:b/>
          <w:bCs/>
          <w:sz w:val="14"/>
          <w:szCs w:val="14"/>
        </w:rPr>
        <w:t xml:space="preserve">the </w:t>
      </w:r>
      <w:r w:rsidRPr="001B155B">
        <w:rPr>
          <w:b/>
          <w:bCs/>
          <w:sz w:val="14"/>
          <w:szCs w:val="14"/>
        </w:rPr>
        <w:t xml:space="preserve">US is taken from </w:t>
      </w:r>
      <w:r>
        <w:rPr>
          <w:b/>
          <w:bCs/>
          <w:sz w:val="14"/>
          <w:szCs w:val="14"/>
        </w:rPr>
        <w:t>Lindner and Grove (1943)</w:t>
      </w:r>
      <w:sdt>
        <w:sdtPr>
          <w:rPr>
            <w:bCs/>
            <w:color w:val="000000"/>
            <w:sz w:val="14"/>
            <w:szCs w:val="14"/>
            <w:vertAlign w:val="superscript"/>
          </w:rPr>
          <w:tag w:val="MENDELEY_CITATION_v3_eyJjaXRhdGlvbklEIjoiTUVOREVMRVlfQ0lUQVRJT05fYTFhYzEyNmMtNGQzNi00NzNkLWEzYzktZWY2ZTVlZDBmZjQ0IiwiY2l0YXRpb25JdGVtcyI6W3siaWQiOiIwZGFlMmMyMi0zNjIwLTM4NjEtODc3Ni0yZDJkZjQ5NDE3OWYiLCJpdGVtRGF0YSI6eyJ0eXBlIjoiYm9vayIsImlkIjoiMGRhZTJjMjItMzYyMC0zODYxLTg3NzYtMmQyZGY0OTQxNzlmIiwidGl0bGUiOiJWaXRhbCBzdGF0aXN0aWNzIHJhdGVzIGluIHRoZSBVbml0ZWQgU3RhdGVzLCAxOTAwLTE5NDAiLCJhdXRob3IiOlt7ImZhbWlseSI6IkxpbmRlciIsImdpdmVuIjoiRm9ycmVzdCBFZHdhcmQiLCJwYXJzZS1uYW1lcyI6ZmFsc2UsImRyb3BwaW5nLXBhcnRpY2xlIjoiIiwibm9uLWRyb3BwaW5nLXBhcnRpY2xlIjoiIn0seyJmYW1pbHkiOiJHcm92ZSIsImdpdmVuIjoiUm9iZXJ0IEQiLCJwYXJzZS1uYW1lcyI6ZmFsc2UsImRyb3BwaW5nLXBhcnRpY2xlIjoiIiwibm9uLWRyb3BwaW5nLXBhcnRpY2xlIjoiIn1dLCJpc3N1ZWQiOnsiZGF0ZS1wYXJ0cyI6W1sxOTQzXV19LCJwdWJsaXNoZXIiOiJVUyBHb3Zlcm5tZW50IFByaW50aW5nIE9mZmljZSJ9LCJpc1RlbXBvcmFyeSI6ZmFsc2V9XSwicHJvcGVydGllcyI6eyJub3RlSW5kZXgiOjB9LCJpc0VkaXRlZCI6ZmFsc2UsIm1hbnVhbE92ZXJyaWRlIjp7ImlzTWFudWFsbHlPdmVycmlkZGVuIjp0cnVlLCJjaXRlcHJvY1RleHQiOiI8c3VwPjE2PC9zdXA+IiwibWFudWFsT3ZlcnJpZGVUZXh0IjoiMTYifX0="/>
          <w:id w:val="-294902612"/>
          <w:placeholder>
            <w:docPart w:val="919109A0A3F47D49A4BA86F9ED3648B6"/>
          </w:placeholder>
        </w:sdtPr>
        <w:sdtContent>
          <w:r w:rsidRPr="00782F96">
            <w:rPr>
              <w:bCs/>
              <w:color w:val="000000"/>
              <w:sz w:val="14"/>
              <w:szCs w:val="14"/>
              <w:vertAlign w:val="superscript"/>
            </w:rPr>
            <w:t>16</w:t>
          </w:r>
        </w:sdtContent>
      </w:sdt>
      <w:r>
        <w:rPr>
          <w:b/>
          <w:bCs/>
          <w:sz w:val="14"/>
          <w:szCs w:val="14"/>
        </w:rPr>
        <w:t xml:space="preserve"> and Grove and Hetzel (1968)</w:t>
      </w:r>
      <w:r w:rsidRPr="001B155B">
        <w:rPr>
          <w:b/>
          <w:bCs/>
          <w:sz w:val="14"/>
          <w:szCs w:val="14"/>
        </w:rPr>
        <w:t>.</w:t>
      </w:r>
      <w:sdt>
        <w:sdtPr>
          <w:rPr>
            <w:bCs/>
            <w:color w:val="000000"/>
            <w:sz w:val="14"/>
            <w:szCs w:val="14"/>
            <w:vertAlign w:val="superscript"/>
          </w:rPr>
          <w:tag w:val="MENDELEY_CITATION_v3_eyJjaXRhdGlvbklEIjoiTUVOREVMRVlfQ0lUQVRJT05fOGRhZmRmNjYtMzFjMy00Nzg0LTg4MjItNTQ1YzFiODMwMzQ2IiwiY2l0YXRpb25JdGVtcyI6W3siaWQiOiJiZDljOTNhOS02MDY0LTM0MGItOWI4Ni00ZmY5MWJiZDgzMTIiLCJpdGVtRGF0YSI6eyJ0eXBlIjoiYm9vayIsImlkIjoiYmQ5YzkzYTktNjA2NC0zNDBiLTliODYtNGZmOTFiYmQ4MzEyIiwidGl0bGUiOiJWaXRhbCBzdGF0aXN0aWNzIHJhdGVzIGluIHRoZSBVbml0ZWQgU3RhdGVzLCAxOTQwLTE5NjAiLCJhdXRob3IiOlt7ImZhbWlseSI6Ikdyb3ZlIiwiZ2l2ZW4iOiJSb2JlcnQgRCIsInBhcnNlLW5hbWVzIjpmYWxzZSwiZHJvcHBpbmctcGFydGljbGUiOiIiLCJub24tZHJvcHBpbmctcGFydGljbGUiOiIifSx7ImZhbWlseSI6IkhldHplbCIsImdpdmVuIjoiQWxpY2UgTSIsInBhcnNlLW5hbWVzIjpmYWxzZSwiZHJvcHBpbmctcGFydGljbGUiOiIiLCJub24tZHJvcHBpbmctcGFydGljbGUiOiIifV0sImlzc3VlZCI6eyJkYXRlLXBhcnRzIjpbWzE5NjhdXX0sInB1Ymxpc2hlciI6IlVTIERlcGFydG1lbnQgb2YgSGVhbHRoLCBFZHVjYXRpb24sIGFuZCBXZWxmYXJlLCBQdWJsaWMgSGVhbHRoIFNlcnZpY2XCoOKApiIsInZvbHVtZSI6IjgzIn0sImlzVGVtcG9yYXJ5IjpmYWxzZX1dLCJwcm9wZXJ0aWVzIjp7Im5vdGVJbmRleCI6MH0sImlzRWRpdGVkIjpmYWxzZSwibWFudWFsT3ZlcnJpZGUiOnsiaXNNYW51YWxseU92ZXJyaWRkZW4iOnRydWUsImNpdGVwcm9jVGV4dCI6IjxzdXA+MTc8L3N1cD4iLCJtYW51YWxPdmVycmlkZVRleHQiOiIxNyJ9fQ=="/>
          <w:id w:val="452440704"/>
          <w:placeholder>
            <w:docPart w:val="919109A0A3F47D49A4BA86F9ED3648B6"/>
          </w:placeholder>
        </w:sdtPr>
        <w:sdtContent>
          <w:r w:rsidRPr="00782F96">
            <w:rPr>
              <w:bCs/>
              <w:color w:val="000000"/>
              <w:sz w:val="14"/>
              <w:szCs w:val="14"/>
              <w:vertAlign w:val="superscript"/>
            </w:rPr>
            <w:t>17</w:t>
          </w:r>
        </w:sdtContent>
      </w:sdt>
      <w:r w:rsidRPr="001B155B">
        <w:rPr>
          <w:b/>
          <w:bCs/>
          <w:sz w:val="14"/>
          <w:szCs w:val="14"/>
        </w:rPr>
        <w:t xml:space="preserve"> Data for England &amp; Wales are taken from Langford (2002),</w:t>
      </w:r>
      <w:sdt>
        <w:sdtPr>
          <w:rPr>
            <w:bCs/>
            <w:color w:val="000000"/>
            <w:sz w:val="14"/>
            <w:szCs w:val="14"/>
            <w:vertAlign w:val="superscript"/>
          </w:rPr>
          <w:tag w:val="MENDELEY_CITATION_v3_eyJjaXRhdGlvbklEIjoiTUVOREVMRVlfQ0lUQVRJT05fMzIwMzI0ODMtODM3YS00ZWZiLTk3MTgtODQzYTMzMmE0N2IxIiwiY2l0YXRpb25JdGVtcyI6W3siaWQiOiI5NWRlNjlmMi04ZTViLTMxZTUtYjJiZC04Nzk5NzI1Y2FhYjgiLCJpdGVtRGF0YSI6eyJ0eXBlIjoiYXJ0aWNsZS1qb3VybmFsIiwiaWQiOiI5NWRlNjlmMi04ZTViLTMxZTUtYjJiZC04Nzk5NzI1Y2FhYjgiLCJ0aXRsZSI6IlRoZSBhZ2UgcGF0dGVybiBvZiBtb3J0YWxpdHkgaW4gdGhlIDE5MTgtMTkgaW5mbHVlbnphIHBhbmRlbWljOiBhbiBhdHRlbXB0ZWQgZXhwbGFuYXRpb24gYmFzZWQgb24gZGF0YSBmb3IgRW5nbGFuZCBhbmQgV2FsZXMiLCJhdXRob3IiOlt7ImZhbWlseSI6Ikxhbmdmb3JkIiwiZ2l2ZW4iOiJDaHJpc3RvcGhlciIsInBhcnNlLW5hbWVzIjpmYWxzZSwiZHJvcHBpbmctcGFydGljbGUiOiIiLCJub24tZHJvcHBpbmctcGFydGljbGUiOiIifV0sImNvbnRhaW5lci10aXRsZSI6Ik1lZGljYWwgSGlzdG9yeSIsIkRPSSI6IjEwLjEwMTcvUzAwMjU3MjczMDAwNjg3MVgiLCJJU1NOIjoiMDAyNS03MjczIiwiUE1JRCI6IjExODc3OTgxIiwiVVJMIjoiaHR0cHM6Ly93d3cuY2FtYnJpZGdlLm9yZy9jb3JlL3Byb2R1Y3QvaWRlbnRpZmllci9TMDAyNTcyNzMwMDA2ODcxWC90eXBlL2pvdXJuYWxfYXJ0aWNsZSIsImlzc3VlZCI6eyJkYXRlLXBhcnRzIjpbWzIwMDIsMSwxNl1dfSwicGFnZSI6IjEtMjAiLCJwdWJsaXNoZXIiOiJDYW1icmlkZ2UgVW5pdmVyc2l0eSBQcmVzcyIsImlzc3VlIjoiMSIsInZvbHVtZSI6IjQ2In0sImlzVGVtcG9yYXJ5IjpmYWxzZX1dLCJwcm9wZXJ0aWVzIjp7Im5vdGVJbmRleCI6MH0sImlzRWRpdGVkIjpmYWxzZSwibWFudWFsT3ZlcnJpZGUiOnsiaXNNYW51YWxseU92ZXJyaWRkZW4iOnRydWUsImNpdGVwcm9jVGV4dCI6IjxzdXA+MTg8L3N1cD4iLCJtYW51YWxPdmVycmlkZVRleHQiOiIxOCJ9fQ=="/>
          <w:id w:val="860321293"/>
          <w:placeholder>
            <w:docPart w:val="64A21FCBFA75A342BF1C734EDB9F4F03"/>
          </w:placeholder>
        </w:sdtPr>
        <w:sdtContent>
          <w:r w:rsidRPr="00782F96">
            <w:rPr>
              <w:bCs/>
              <w:color w:val="000000"/>
              <w:sz w:val="14"/>
              <w:szCs w:val="14"/>
              <w:vertAlign w:val="superscript"/>
            </w:rPr>
            <w:t>18</w:t>
          </w:r>
        </w:sdtContent>
      </w:sdt>
      <w:r w:rsidRPr="001B155B">
        <w:rPr>
          <w:b/>
          <w:bCs/>
          <w:sz w:val="14"/>
          <w:szCs w:val="14"/>
        </w:rPr>
        <w:t xml:space="preserve"> Table 5.</w:t>
      </w:r>
    </w:p>
    <w:p w14:paraId="2EFC4CAE" w14:textId="77777777" w:rsidR="00964B9F" w:rsidRPr="001B155B" w:rsidRDefault="00964B9F" w:rsidP="00964B9F">
      <w:pPr>
        <w:rPr>
          <w:b/>
          <w:bCs/>
          <w:sz w:val="14"/>
          <w:szCs w:val="14"/>
        </w:rPr>
      </w:pPr>
    </w:p>
    <w:p w14:paraId="201670B3" w14:textId="77777777" w:rsidR="00964B9F" w:rsidRPr="001B155B" w:rsidRDefault="00964B9F" w:rsidP="00964B9F">
      <w:pPr>
        <w:pStyle w:val="Caption"/>
        <w:keepNext/>
      </w:pPr>
      <w:r w:rsidRPr="001B155B">
        <w:t xml:space="preserve">Figure </w:t>
      </w:r>
      <w:r>
        <w:t>S11</w:t>
      </w:r>
      <w:r w:rsidRPr="001B155B">
        <w:t>: Outbreak risk after the 1890-91 pandemic</w:t>
      </w:r>
    </w:p>
    <w:p w14:paraId="17EE536E" w14:textId="77777777" w:rsidR="00964B9F" w:rsidRPr="001B155B" w:rsidRDefault="00964B9F" w:rsidP="00964B9F">
      <w:pPr>
        <w:rPr>
          <w:b/>
          <w:bCs/>
          <w:i/>
          <w:sz w:val="14"/>
          <w:szCs w:val="14"/>
        </w:rPr>
      </w:pPr>
      <w:r w:rsidRPr="001B155B">
        <w:rPr>
          <w:b/>
          <w:bCs/>
          <w:i/>
          <w:noProof/>
          <w:sz w:val="14"/>
          <w:szCs w:val="14"/>
          <w:lang w:val="en-US"/>
        </w:rPr>
        <w:drawing>
          <wp:inline distT="0" distB="0" distL="0" distR="0" wp14:anchorId="40E5E64E" wp14:editId="4EC1274F">
            <wp:extent cx="5270500" cy="2778760"/>
            <wp:effectExtent l="0" t="0" r="635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7"/>
                    <a:stretch>
                      <a:fillRect/>
                    </a:stretch>
                  </pic:blipFill>
                  <pic:spPr>
                    <a:xfrm>
                      <a:off x="0" y="0"/>
                      <a:ext cx="5270500" cy="2778760"/>
                    </a:xfrm>
                    <a:prstGeom prst="rect">
                      <a:avLst/>
                    </a:prstGeom>
                  </pic:spPr>
                </pic:pic>
              </a:graphicData>
            </a:graphic>
          </wp:inline>
        </w:drawing>
      </w:r>
    </w:p>
    <w:p w14:paraId="2D03529E" w14:textId="77777777" w:rsidR="00964B9F" w:rsidRPr="001B155B" w:rsidRDefault="00964B9F" w:rsidP="00964B9F">
      <w:pPr>
        <w:rPr>
          <w:b/>
          <w:bCs/>
          <w:sz w:val="14"/>
          <w:szCs w:val="14"/>
        </w:rPr>
      </w:pPr>
      <w:r w:rsidRPr="001B155B">
        <w:rPr>
          <w:b/>
          <w:bCs/>
          <w:sz w:val="14"/>
          <w:szCs w:val="14"/>
        </w:rPr>
        <w:t>Outbreak probabilities computed from model fitted to data for England and Wales.</w:t>
      </w:r>
    </w:p>
    <w:p w14:paraId="73853EF4" w14:textId="77777777" w:rsidR="00964B9F" w:rsidRPr="001B155B" w:rsidRDefault="00964B9F" w:rsidP="00964B9F">
      <w:pPr>
        <w:jc w:val="both"/>
      </w:pPr>
    </w:p>
    <w:p w14:paraId="53BCAABA" w14:textId="77777777" w:rsidR="00964B9F" w:rsidRDefault="00964B9F">
      <w:bookmarkStart w:id="0" w:name="_GoBack"/>
      <w:bookmarkEnd w:id="0"/>
    </w:p>
    <w:sectPr w:rsidR="00964B9F" w:rsidSect="00536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Times">
    <w:panose1 w:val="02000500000000000000"/>
    <w:charset w:val="00"/>
    <w:family w:val="auto"/>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7346"/>
    <w:multiLevelType w:val="hybridMultilevel"/>
    <w:tmpl w:val="8716F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D0779"/>
    <w:multiLevelType w:val="multilevel"/>
    <w:tmpl w:val="9E6AD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1A076C"/>
    <w:multiLevelType w:val="multilevel"/>
    <w:tmpl w:val="D45A2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B9F"/>
    <w:rsid w:val="005368F7"/>
    <w:rsid w:val="00964B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AD52F"/>
  <w15:chartTrackingRefBased/>
  <w15:docId w15:val="{3C51773A-0B76-9140-B5EB-35373FB6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4B9F"/>
    <w:rPr>
      <w:lang w:val="en-GB" w:eastAsia="en-US"/>
    </w:rPr>
  </w:style>
  <w:style w:type="paragraph" w:styleId="Heading4">
    <w:name w:val="heading 4"/>
    <w:basedOn w:val="Normal"/>
    <w:link w:val="Heading4Char"/>
    <w:uiPriority w:val="9"/>
    <w:qFormat/>
    <w:rsid w:val="00964B9F"/>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64B9F"/>
    <w:rPr>
      <w:rFonts w:ascii="Times" w:hAnsi="Times"/>
      <w:b/>
      <w:bCs/>
      <w:lang w:val="en-GB" w:eastAsia="en-US"/>
    </w:rPr>
  </w:style>
  <w:style w:type="paragraph" w:styleId="FootnoteText">
    <w:name w:val="footnote text"/>
    <w:basedOn w:val="Normal"/>
    <w:link w:val="FootnoteTextChar"/>
    <w:uiPriority w:val="99"/>
    <w:unhideWhenUsed/>
    <w:rsid w:val="00964B9F"/>
  </w:style>
  <w:style w:type="character" w:customStyle="1" w:styleId="FootnoteTextChar">
    <w:name w:val="Footnote Text Char"/>
    <w:basedOn w:val="DefaultParagraphFont"/>
    <w:link w:val="FootnoteText"/>
    <w:uiPriority w:val="99"/>
    <w:rsid w:val="00964B9F"/>
    <w:rPr>
      <w:lang w:val="en-GB" w:eastAsia="en-US"/>
    </w:rPr>
  </w:style>
  <w:style w:type="character" w:styleId="FootnoteReference">
    <w:name w:val="footnote reference"/>
    <w:basedOn w:val="DefaultParagraphFont"/>
    <w:uiPriority w:val="99"/>
    <w:unhideWhenUsed/>
    <w:rsid w:val="00964B9F"/>
    <w:rPr>
      <w:vertAlign w:val="superscript"/>
    </w:rPr>
  </w:style>
  <w:style w:type="paragraph" w:styleId="ListParagraph">
    <w:name w:val="List Paragraph"/>
    <w:basedOn w:val="Normal"/>
    <w:uiPriority w:val="34"/>
    <w:qFormat/>
    <w:rsid w:val="00964B9F"/>
    <w:pPr>
      <w:ind w:left="720"/>
      <w:contextualSpacing/>
    </w:pPr>
  </w:style>
  <w:style w:type="paragraph" w:styleId="NormalWeb">
    <w:name w:val="Normal (Web)"/>
    <w:basedOn w:val="Normal"/>
    <w:uiPriority w:val="99"/>
    <w:semiHidden/>
    <w:unhideWhenUsed/>
    <w:rsid w:val="00964B9F"/>
    <w:pPr>
      <w:spacing w:before="100" w:beforeAutospacing="1" w:after="100" w:afterAutospacing="1"/>
    </w:pPr>
    <w:rPr>
      <w:rFonts w:ascii="Times" w:hAnsi="Times" w:cs="Times New Roman"/>
      <w:sz w:val="20"/>
      <w:szCs w:val="20"/>
    </w:rPr>
  </w:style>
  <w:style w:type="paragraph" w:customStyle="1" w:styleId="xmsonormal">
    <w:name w:val="x_msonormal"/>
    <w:basedOn w:val="Normal"/>
    <w:rsid w:val="00964B9F"/>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964B9F"/>
  </w:style>
  <w:style w:type="character" w:styleId="Hyperlink">
    <w:name w:val="Hyperlink"/>
    <w:basedOn w:val="DefaultParagraphFont"/>
    <w:uiPriority w:val="99"/>
    <w:unhideWhenUsed/>
    <w:rsid w:val="00964B9F"/>
    <w:rPr>
      <w:color w:val="0000FF"/>
      <w:u w:val="single"/>
    </w:rPr>
  </w:style>
  <w:style w:type="character" w:styleId="PlaceholderText">
    <w:name w:val="Placeholder Text"/>
    <w:basedOn w:val="DefaultParagraphFont"/>
    <w:uiPriority w:val="99"/>
    <w:semiHidden/>
    <w:rsid w:val="00964B9F"/>
    <w:rPr>
      <w:color w:val="808080"/>
    </w:rPr>
  </w:style>
  <w:style w:type="paragraph" w:styleId="BalloonText">
    <w:name w:val="Balloon Text"/>
    <w:basedOn w:val="Normal"/>
    <w:link w:val="BalloonTextChar"/>
    <w:uiPriority w:val="99"/>
    <w:semiHidden/>
    <w:unhideWhenUsed/>
    <w:rsid w:val="00964B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4B9F"/>
    <w:rPr>
      <w:rFonts w:ascii="Lucida Grande" w:hAnsi="Lucida Grande" w:cs="Lucida Grande"/>
      <w:sz w:val="18"/>
      <w:szCs w:val="18"/>
      <w:lang w:val="en-GB" w:eastAsia="en-US"/>
    </w:rPr>
  </w:style>
  <w:style w:type="paragraph" w:styleId="Footer">
    <w:name w:val="footer"/>
    <w:basedOn w:val="Normal"/>
    <w:link w:val="FooterChar"/>
    <w:uiPriority w:val="99"/>
    <w:unhideWhenUsed/>
    <w:rsid w:val="00964B9F"/>
    <w:pPr>
      <w:tabs>
        <w:tab w:val="center" w:pos="4320"/>
        <w:tab w:val="right" w:pos="8640"/>
      </w:tabs>
    </w:pPr>
  </w:style>
  <w:style w:type="character" w:customStyle="1" w:styleId="FooterChar">
    <w:name w:val="Footer Char"/>
    <w:basedOn w:val="DefaultParagraphFont"/>
    <w:link w:val="Footer"/>
    <w:uiPriority w:val="99"/>
    <w:rsid w:val="00964B9F"/>
    <w:rPr>
      <w:lang w:val="en-GB" w:eastAsia="en-US"/>
    </w:rPr>
  </w:style>
  <w:style w:type="character" w:styleId="PageNumber">
    <w:name w:val="page number"/>
    <w:basedOn w:val="DefaultParagraphFont"/>
    <w:uiPriority w:val="99"/>
    <w:semiHidden/>
    <w:unhideWhenUsed/>
    <w:rsid w:val="00964B9F"/>
  </w:style>
  <w:style w:type="character" w:styleId="CommentReference">
    <w:name w:val="annotation reference"/>
    <w:basedOn w:val="DefaultParagraphFont"/>
    <w:uiPriority w:val="99"/>
    <w:semiHidden/>
    <w:unhideWhenUsed/>
    <w:rsid w:val="00964B9F"/>
    <w:rPr>
      <w:sz w:val="16"/>
      <w:szCs w:val="16"/>
    </w:rPr>
  </w:style>
  <w:style w:type="paragraph" w:styleId="CommentText">
    <w:name w:val="annotation text"/>
    <w:basedOn w:val="Normal"/>
    <w:link w:val="CommentTextChar"/>
    <w:uiPriority w:val="99"/>
    <w:unhideWhenUsed/>
    <w:rsid w:val="00964B9F"/>
    <w:rPr>
      <w:sz w:val="20"/>
      <w:szCs w:val="20"/>
    </w:rPr>
  </w:style>
  <w:style w:type="character" w:customStyle="1" w:styleId="CommentTextChar">
    <w:name w:val="Comment Text Char"/>
    <w:basedOn w:val="DefaultParagraphFont"/>
    <w:link w:val="CommentText"/>
    <w:uiPriority w:val="99"/>
    <w:rsid w:val="00964B9F"/>
    <w:rPr>
      <w:sz w:val="20"/>
      <w:szCs w:val="20"/>
      <w:lang w:val="en-GB" w:eastAsia="en-US"/>
    </w:rPr>
  </w:style>
  <w:style w:type="paragraph" w:styleId="CommentSubject">
    <w:name w:val="annotation subject"/>
    <w:basedOn w:val="CommentText"/>
    <w:next w:val="CommentText"/>
    <w:link w:val="CommentSubjectChar"/>
    <w:uiPriority w:val="99"/>
    <w:semiHidden/>
    <w:unhideWhenUsed/>
    <w:rsid w:val="00964B9F"/>
    <w:rPr>
      <w:b/>
      <w:bCs/>
    </w:rPr>
  </w:style>
  <w:style w:type="character" w:customStyle="1" w:styleId="CommentSubjectChar">
    <w:name w:val="Comment Subject Char"/>
    <w:basedOn w:val="CommentTextChar"/>
    <w:link w:val="CommentSubject"/>
    <w:uiPriority w:val="99"/>
    <w:semiHidden/>
    <w:rsid w:val="00964B9F"/>
    <w:rPr>
      <w:b/>
      <w:bCs/>
      <w:sz w:val="20"/>
      <w:szCs w:val="20"/>
      <w:lang w:val="en-GB" w:eastAsia="en-US"/>
    </w:rPr>
  </w:style>
  <w:style w:type="character" w:customStyle="1" w:styleId="UnresolvedMention1">
    <w:name w:val="Unresolved Mention1"/>
    <w:basedOn w:val="DefaultParagraphFont"/>
    <w:uiPriority w:val="99"/>
    <w:semiHidden/>
    <w:unhideWhenUsed/>
    <w:rsid w:val="00964B9F"/>
    <w:rPr>
      <w:color w:val="605E5C"/>
      <w:shd w:val="clear" w:color="auto" w:fill="E1DFDD"/>
    </w:rPr>
  </w:style>
  <w:style w:type="paragraph" w:styleId="Caption">
    <w:name w:val="caption"/>
    <w:basedOn w:val="Normal"/>
    <w:next w:val="Normal"/>
    <w:uiPriority w:val="35"/>
    <w:unhideWhenUsed/>
    <w:qFormat/>
    <w:rsid w:val="00964B9F"/>
    <w:pPr>
      <w:spacing w:after="200"/>
    </w:pPr>
    <w:rPr>
      <w:i/>
      <w:iCs/>
      <w:color w:val="44546A" w:themeColor="text2"/>
      <w:sz w:val="18"/>
      <w:szCs w:val="18"/>
    </w:rPr>
  </w:style>
  <w:style w:type="paragraph" w:customStyle="1" w:styleId="DecimalAligned">
    <w:name w:val="Decimal Aligned"/>
    <w:basedOn w:val="Normal"/>
    <w:uiPriority w:val="40"/>
    <w:qFormat/>
    <w:rsid w:val="00964B9F"/>
    <w:pPr>
      <w:tabs>
        <w:tab w:val="decimal" w:pos="360"/>
      </w:tabs>
      <w:spacing w:after="200" w:line="276" w:lineRule="auto"/>
    </w:pPr>
    <w:rPr>
      <w:rFonts w:cs="Times New Roman"/>
      <w:sz w:val="22"/>
      <w:szCs w:val="22"/>
      <w:lang w:val="en-US"/>
    </w:rPr>
  </w:style>
  <w:style w:type="character" w:styleId="SubtleEmphasis">
    <w:name w:val="Subtle Emphasis"/>
    <w:basedOn w:val="DefaultParagraphFont"/>
    <w:uiPriority w:val="19"/>
    <w:qFormat/>
    <w:rsid w:val="00964B9F"/>
    <w:rPr>
      <w:i/>
      <w:iCs/>
    </w:rPr>
  </w:style>
  <w:style w:type="table" w:styleId="LightShading-Accent1">
    <w:name w:val="Light Shading Accent 1"/>
    <w:basedOn w:val="TableNormal"/>
    <w:uiPriority w:val="60"/>
    <w:rsid w:val="00964B9F"/>
    <w:rPr>
      <w:color w:val="2F5496" w:themeColor="accent1" w:themeShade="BF"/>
      <w:sz w:val="22"/>
      <w:szCs w:val="22"/>
      <w:lang w:eastAsia="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TableGrid">
    <w:name w:val="Table Grid"/>
    <w:basedOn w:val="TableNormal"/>
    <w:uiPriority w:val="59"/>
    <w:rsid w:val="00964B9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only">
    <w:name w:val="sr-only"/>
    <w:basedOn w:val="DefaultParagraphFont"/>
    <w:rsid w:val="00964B9F"/>
  </w:style>
  <w:style w:type="character" w:customStyle="1" w:styleId="file-details">
    <w:name w:val="file-details"/>
    <w:basedOn w:val="DefaultParagraphFont"/>
    <w:rsid w:val="00964B9F"/>
  </w:style>
  <w:style w:type="character" w:styleId="FollowedHyperlink">
    <w:name w:val="FollowedHyperlink"/>
    <w:basedOn w:val="DefaultParagraphFont"/>
    <w:uiPriority w:val="99"/>
    <w:semiHidden/>
    <w:unhideWhenUsed/>
    <w:rsid w:val="00964B9F"/>
    <w:rPr>
      <w:color w:val="954F72" w:themeColor="followedHyperlink"/>
      <w:u w:val="single"/>
    </w:rPr>
  </w:style>
  <w:style w:type="character" w:customStyle="1" w:styleId="UnresolvedMention2">
    <w:name w:val="Unresolved Mention2"/>
    <w:basedOn w:val="DefaultParagraphFont"/>
    <w:uiPriority w:val="99"/>
    <w:semiHidden/>
    <w:unhideWhenUsed/>
    <w:rsid w:val="00964B9F"/>
    <w:rPr>
      <w:color w:val="605E5C"/>
      <w:shd w:val="clear" w:color="auto" w:fill="E1DFDD"/>
    </w:rPr>
  </w:style>
  <w:style w:type="paragraph" w:styleId="Revision">
    <w:name w:val="Revision"/>
    <w:hidden/>
    <w:uiPriority w:val="99"/>
    <w:semiHidden/>
    <w:rsid w:val="00964B9F"/>
    <w:rPr>
      <w:lang w:val="en-GB" w:eastAsia="en-US"/>
    </w:rPr>
  </w:style>
  <w:style w:type="paragraph" w:styleId="EndnoteText">
    <w:name w:val="endnote text"/>
    <w:basedOn w:val="Normal"/>
    <w:link w:val="EndnoteTextChar"/>
    <w:uiPriority w:val="99"/>
    <w:semiHidden/>
    <w:unhideWhenUsed/>
    <w:rsid w:val="00964B9F"/>
    <w:rPr>
      <w:sz w:val="20"/>
      <w:szCs w:val="20"/>
    </w:rPr>
  </w:style>
  <w:style w:type="character" w:customStyle="1" w:styleId="EndnoteTextChar">
    <w:name w:val="Endnote Text Char"/>
    <w:basedOn w:val="DefaultParagraphFont"/>
    <w:link w:val="EndnoteText"/>
    <w:uiPriority w:val="99"/>
    <w:semiHidden/>
    <w:rsid w:val="00964B9F"/>
    <w:rPr>
      <w:sz w:val="20"/>
      <w:szCs w:val="20"/>
      <w:lang w:val="en-GB" w:eastAsia="en-US"/>
    </w:rPr>
  </w:style>
  <w:style w:type="character" w:styleId="EndnoteReference">
    <w:name w:val="endnote reference"/>
    <w:basedOn w:val="DefaultParagraphFont"/>
    <w:uiPriority w:val="99"/>
    <w:semiHidden/>
    <w:unhideWhenUsed/>
    <w:rsid w:val="00964B9F"/>
    <w:rPr>
      <w:vertAlign w:val="superscript"/>
    </w:rPr>
  </w:style>
  <w:style w:type="character" w:customStyle="1" w:styleId="UnresolvedMention3">
    <w:name w:val="Unresolved Mention3"/>
    <w:basedOn w:val="DefaultParagraphFont"/>
    <w:uiPriority w:val="99"/>
    <w:semiHidden/>
    <w:unhideWhenUsed/>
    <w:rsid w:val="00964B9F"/>
    <w:rPr>
      <w:color w:val="605E5C"/>
      <w:shd w:val="clear" w:color="auto" w:fill="E1DFDD"/>
    </w:rPr>
  </w:style>
  <w:style w:type="character" w:styleId="UnresolvedMention">
    <w:name w:val="Unresolved Mention"/>
    <w:basedOn w:val="DefaultParagraphFont"/>
    <w:uiPriority w:val="99"/>
    <w:semiHidden/>
    <w:unhideWhenUsed/>
    <w:rsid w:val="00964B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dc.gov/nchs/index.htm" TargetMode="External"/><Relationship Id="rId11" Type="http://schemas.openxmlformats.org/officeDocument/2006/relationships/image" Target="media/image5.emf"/><Relationship Id="rId5" Type="http://schemas.openxmlformats.org/officeDocument/2006/relationships/hyperlink" Target="https://github.com/maxschr90/Schroeder-et-al.-2021--How-long-do-pandemics-last-" TargetMode="Externa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F428B0FB2690498F659DDA1C024B09"/>
        <w:category>
          <w:name w:val="General"/>
          <w:gallery w:val="placeholder"/>
        </w:category>
        <w:types>
          <w:type w:val="bbPlcHdr"/>
        </w:types>
        <w:behaviors>
          <w:behavior w:val="content"/>
        </w:behaviors>
        <w:guid w:val="{9B33F77E-3D7F-A04F-B525-7FEEDFBF0F71}"/>
      </w:docPartPr>
      <w:docPartBody>
        <w:p w:rsidR="00000000" w:rsidRDefault="00126C1A" w:rsidP="00126C1A">
          <w:pPr>
            <w:pStyle w:val="E8F428B0FB2690498F659DDA1C024B09"/>
          </w:pPr>
          <w:r w:rsidRPr="009D478E">
            <w:rPr>
              <w:rStyle w:val="PlaceholderText"/>
            </w:rPr>
            <w:t>Click or tap here to enter text.</w:t>
          </w:r>
        </w:p>
      </w:docPartBody>
    </w:docPart>
    <w:docPart>
      <w:docPartPr>
        <w:name w:val="6BF960ABD439754B9FD7D120A799AA3C"/>
        <w:category>
          <w:name w:val="General"/>
          <w:gallery w:val="placeholder"/>
        </w:category>
        <w:types>
          <w:type w:val="bbPlcHdr"/>
        </w:types>
        <w:behaviors>
          <w:behavior w:val="content"/>
        </w:behaviors>
        <w:guid w:val="{82D83167-4B29-2548-A69C-23DEEE5D2169}"/>
      </w:docPartPr>
      <w:docPartBody>
        <w:p w:rsidR="00000000" w:rsidRDefault="00126C1A" w:rsidP="00126C1A">
          <w:pPr>
            <w:pStyle w:val="6BF960ABD439754B9FD7D120A799AA3C"/>
          </w:pPr>
          <w:r w:rsidRPr="009D478E">
            <w:rPr>
              <w:rStyle w:val="PlaceholderText"/>
            </w:rPr>
            <w:t>Click or tap here to enter text.</w:t>
          </w:r>
        </w:p>
      </w:docPartBody>
    </w:docPart>
    <w:docPart>
      <w:docPartPr>
        <w:name w:val="919109A0A3F47D49A4BA86F9ED3648B6"/>
        <w:category>
          <w:name w:val="General"/>
          <w:gallery w:val="placeholder"/>
        </w:category>
        <w:types>
          <w:type w:val="bbPlcHdr"/>
        </w:types>
        <w:behaviors>
          <w:behavior w:val="content"/>
        </w:behaviors>
        <w:guid w:val="{20092864-8A24-1A42-82F2-5DD4FD9E0A87}"/>
      </w:docPartPr>
      <w:docPartBody>
        <w:p w:rsidR="00000000" w:rsidRDefault="00126C1A" w:rsidP="00126C1A">
          <w:pPr>
            <w:pStyle w:val="919109A0A3F47D49A4BA86F9ED3648B6"/>
          </w:pPr>
          <w:r w:rsidRPr="009D478E">
            <w:rPr>
              <w:rStyle w:val="PlaceholderText"/>
            </w:rPr>
            <w:t>Click or tap here to enter text.</w:t>
          </w:r>
        </w:p>
      </w:docPartBody>
    </w:docPart>
    <w:docPart>
      <w:docPartPr>
        <w:name w:val="64A21FCBFA75A342BF1C734EDB9F4F03"/>
        <w:category>
          <w:name w:val="General"/>
          <w:gallery w:val="placeholder"/>
        </w:category>
        <w:types>
          <w:type w:val="bbPlcHdr"/>
        </w:types>
        <w:behaviors>
          <w:behavior w:val="content"/>
        </w:behaviors>
        <w:guid w:val="{78C10863-B6DC-6C45-A0D7-550F48295C8E}"/>
      </w:docPartPr>
      <w:docPartBody>
        <w:p w:rsidR="00000000" w:rsidRDefault="00126C1A" w:rsidP="00126C1A">
          <w:pPr>
            <w:pStyle w:val="64A21FCBFA75A342BF1C734EDB9F4F03"/>
          </w:pPr>
          <w:r w:rsidRPr="009D478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Times">
    <w:panose1 w:val="02000500000000000000"/>
    <w:charset w:val="00"/>
    <w:family w:val="auto"/>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C1A"/>
    <w:rsid w:val="00126C1A"/>
    <w:rsid w:val="002477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6C1A"/>
    <w:rPr>
      <w:color w:val="808080"/>
    </w:rPr>
  </w:style>
  <w:style w:type="paragraph" w:customStyle="1" w:styleId="E8F428B0FB2690498F659DDA1C024B09">
    <w:name w:val="E8F428B0FB2690498F659DDA1C024B09"/>
    <w:rsid w:val="00126C1A"/>
  </w:style>
  <w:style w:type="paragraph" w:customStyle="1" w:styleId="6BF960ABD439754B9FD7D120A799AA3C">
    <w:name w:val="6BF960ABD439754B9FD7D120A799AA3C"/>
    <w:rsid w:val="00126C1A"/>
  </w:style>
  <w:style w:type="paragraph" w:customStyle="1" w:styleId="919109A0A3F47D49A4BA86F9ED3648B6">
    <w:name w:val="919109A0A3F47D49A4BA86F9ED3648B6"/>
    <w:rsid w:val="00126C1A"/>
  </w:style>
  <w:style w:type="paragraph" w:customStyle="1" w:styleId="64A21FCBFA75A342BF1C734EDB9F4F03">
    <w:name w:val="64A21FCBFA75A342BF1C734EDB9F4F03"/>
    <w:rsid w:val="00126C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3377</Words>
  <Characters>19252</Characters>
  <Application>Microsoft Office Word</Application>
  <DocSecurity>0</DocSecurity>
  <Lines>160</Lines>
  <Paragraphs>45</Paragraphs>
  <ScaleCrop>false</ScaleCrop>
  <Company/>
  <LinksUpToDate>false</LinksUpToDate>
  <CharactersWithSpaces>22584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Yeh</dc:creator>
  <cp:keywords/>
  <dc:description/>
  <cp:lastModifiedBy>Jennifer Yeh</cp:lastModifiedBy>
  <cp:revision>1</cp:revision>
  <dcterms:created xsi:type="dcterms:W3CDTF">2021-09-10T19:55:00Z</dcterms:created>
  <dcterms:modified xsi:type="dcterms:W3CDTF">2021-09-10T19:56:00Z</dcterms:modified>
</cp:coreProperties>
</file>