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E4" w:rsidRDefault="00F722E4" w:rsidP="00F722E4">
      <w:pPr>
        <w:pStyle w:val="EndNoteBibliography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Fig.1. </w:t>
      </w:r>
      <w:r w:rsidRPr="00F72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expression and survival curves of HAS1 and HAS2 different grades of glioma.</w:t>
      </w:r>
      <w:r w:rsidRPr="00F72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(A-B) 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Relative expression of the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HAS1 and HAS2 mRNAs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patients with LGG and GBM from TCGA. Survival curves of HAS1 and HAS2 for patients with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LGG and GBM 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>from TCGA database.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>Data are presented as means ± SD; *P &lt; 0.05, **P &lt; 0.01, and ***P &lt; 0.001.</w:t>
      </w:r>
    </w:p>
    <w:p w:rsidR="00F722E4" w:rsidRDefault="00F722E4" w:rsidP="00F722E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Fig.2. </w:t>
      </w:r>
      <w:r w:rsidRPr="00F72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Interfering with HAS3 and CD44 suppress glioma cell proliferation in vitro and in vivo.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(A)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Relative HA content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U251 and LN229 glioma cells transfected with the HAS3 siRNA. (B)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Levels of the Ki67 protein in U251 glioma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cells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detected using </w:t>
      </w:r>
      <w:r w:rsidRPr="00F722E4">
        <w:rPr>
          <w:rFonts w:ascii="Times New Roman" w:hAnsi="Times New Roman" w:cs="Times New Roman"/>
          <w:sz w:val="24"/>
          <w:szCs w:val="24"/>
        </w:rPr>
        <w:t>immunofluorescence staining after transfection with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HAS3 siRNA or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CD44 antibody for 48 h.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Scale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bar: 50 μm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. (C)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 knockout efficiency of the HAS3 siRNA and CD44 siRNA.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(D) 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Representative images of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subcutaneous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xenograft tumors from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control and lentivirus HAS3 siRNA or lentivirus CD44 siRNA stably transfected glioma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cell groups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(E) 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tumor volume of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subcutaneous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xenograft tumors from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control and lentivirus HAS3 siRNA or lentivirus CD44 siRNA stably transfected glioma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cell groups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722E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>Data are presented as means ± SD; *P &lt; 0.05, **P &lt; 0.01, and ***P &lt; 0.001.</w:t>
      </w:r>
    </w:p>
    <w:p w:rsidR="00F722E4" w:rsidRPr="00F722E4" w:rsidRDefault="00F722E4" w:rsidP="00F722E4">
      <w:pPr>
        <w:pStyle w:val="EndNoteBibliography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F72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Fig.3.</w:t>
      </w:r>
      <w:r w:rsidRPr="00F72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4-MU suppress glioma cell proliferation in vitro and in vivo.</w:t>
      </w:r>
      <w:bookmarkEnd w:id="0"/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(A)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Relative levels of the P62 and LC3 proteins in U251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glioma cells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transfected with the HAS3 siRNA, followed by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HA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(25 µg/ml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>) for 48 h.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(B) 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>Relative HA content</w:t>
      </w:r>
      <w:r w:rsidRPr="00F722E4">
        <w:rPr>
          <w:rFonts w:ascii="Times New Roman" w:hAnsi="Times New Roman" w:cs="Times New Roman"/>
          <w:sz w:val="24"/>
          <w:szCs w:val="24"/>
        </w:rPr>
        <w:t xml:space="preserve"> in U251 and LN229 glioma cells treated with 4-MU 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48 h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(C)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Levels of the Ki67 protein in U251 glioma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cells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detected using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immunofluorescence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staining after </w:t>
      </w:r>
      <w:r w:rsidRPr="00F722E4">
        <w:rPr>
          <w:rFonts w:ascii="Times New Roman" w:hAnsi="Times New Roman" w:cs="Times New Roman"/>
          <w:sz w:val="24"/>
          <w:szCs w:val="24"/>
        </w:rPr>
        <w:t>treatment with 4-MU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48 h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>. Scale bar: 50 μm.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(D)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>iability of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U251 glioma cell line cultured with 4-MU, followed by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HA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(25 µg/ml) 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48 h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(E)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Relative levels of the P62 and LC3 proteins in U251 glioma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cells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cultured with 4-MU, followed by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HA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25 μg/ml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48 h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(F) 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percentage of Ki67-positive U251 glioma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cells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cultured with 4-MU, followed by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CQ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mmol/L) for 48 h.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(G-H)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Representative images and volumes of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subcutaneous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xenograft tumors from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control and 4-MU treatment </w:t>
      </w:r>
      <w:r w:rsidRPr="00F722E4">
        <w:rPr>
          <w:rFonts w:ascii="Times New Roman" w:hAnsi="Times New Roman" w:cs="Times New Roman"/>
          <w:color w:val="000000" w:themeColor="text1"/>
          <w:sz w:val="24"/>
          <w:szCs w:val="24"/>
        </w:rPr>
        <w:t>groups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are presented as means ± SD; *P &lt; 0.05, **P &lt; 0.01, and ***P &lt; 0.001. </w:t>
      </w:r>
    </w:p>
    <w:p w:rsidR="00BA68B3" w:rsidRPr="00F722E4" w:rsidRDefault="00BA68B3"/>
    <w:sectPr w:rsidR="00BA68B3" w:rsidRPr="00F72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CD" w:rsidRDefault="007D27CD" w:rsidP="00F722E4">
      <w:r>
        <w:separator/>
      </w:r>
    </w:p>
  </w:endnote>
  <w:endnote w:type="continuationSeparator" w:id="0">
    <w:p w:rsidR="007D27CD" w:rsidRDefault="007D27CD" w:rsidP="00F7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CD" w:rsidRDefault="007D27CD" w:rsidP="00F722E4">
      <w:r>
        <w:separator/>
      </w:r>
    </w:p>
  </w:footnote>
  <w:footnote w:type="continuationSeparator" w:id="0">
    <w:p w:rsidR="007D27CD" w:rsidRDefault="007D27CD" w:rsidP="00F72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29"/>
    <w:rsid w:val="007D27CD"/>
    <w:rsid w:val="00A11829"/>
    <w:rsid w:val="00BA68B3"/>
    <w:rsid w:val="00F7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325B2F-DB8F-4046-A1FE-1ED57768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2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2E4"/>
    <w:rPr>
      <w:sz w:val="18"/>
      <w:szCs w:val="18"/>
    </w:rPr>
  </w:style>
  <w:style w:type="character" w:customStyle="1" w:styleId="fontstyle01">
    <w:name w:val="fontstyle01"/>
    <w:basedOn w:val="a0"/>
    <w:qFormat/>
    <w:rsid w:val="00F722E4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qFormat/>
    <w:rsid w:val="00F722E4"/>
    <w:rPr>
      <w:rFonts w:ascii="Calibri" w:hAnsi="Calibri"/>
      <w:sz w:val="20"/>
    </w:rPr>
  </w:style>
  <w:style w:type="character" w:customStyle="1" w:styleId="EndNoteBibliographyChar">
    <w:name w:val="EndNote Bibliography Char"/>
    <w:basedOn w:val="a0"/>
    <w:link w:val="EndNoteBibliography"/>
    <w:qFormat/>
    <w:rsid w:val="00F722E4"/>
    <w:rPr>
      <w:rFonts w:ascii="Calibri" w:hAnsi="Calibri"/>
      <w:sz w:val="20"/>
    </w:rPr>
  </w:style>
  <w:style w:type="character" w:styleId="a5">
    <w:name w:val="Hyperlink"/>
    <w:basedOn w:val="a0"/>
    <w:uiPriority w:val="99"/>
    <w:unhideWhenUsed/>
    <w:qFormat/>
    <w:rsid w:val="00F72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>微软中国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2020-10-03T02:07:00Z</dcterms:created>
  <dcterms:modified xsi:type="dcterms:W3CDTF">2020-10-03T02:08:00Z</dcterms:modified>
</cp:coreProperties>
</file>