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96FCE" w14:textId="45D39F95" w:rsidR="00A809AB" w:rsidRPr="00A231A8" w:rsidRDefault="00A809AB" w:rsidP="00A809AB">
      <w:pPr>
        <w:pBdr>
          <w:between w:val="single" w:sz="4" w:space="1" w:color="auto"/>
        </w:pBdr>
        <w:rPr>
          <w:rFonts w:cstheme="minorHAnsi"/>
          <w:sz w:val="20"/>
          <w:szCs w:val="20"/>
        </w:rPr>
      </w:pPr>
      <w:r w:rsidRPr="00A231A8">
        <w:rPr>
          <w:rFonts w:cstheme="minorHAnsi"/>
          <w:b/>
          <w:bCs/>
          <w:sz w:val="20"/>
          <w:szCs w:val="20"/>
        </w:rPr>
        <w:t>Supplemental Table 4  Top 20 clusters of mutural genes and their representative enriched terms</w:t>
      </w:r>
      <w:r w:rsidR="002C3185">
        <w:rPr>
          <w:rFonts w:cstheme="minorHAnsi"/>
          <w:b/>
          <w:bCs/>
          <w:sz w:val="20"/>
          <w:szCs w:val="20"/>
        </w:rPr>
        <w:t>.</w:t>
      </w:r>
    </w:p>
    <w:tbl>
      <w:tblPr>
        <w:tblW w:w="13377" w:type="dxa"/>
        <w:tblInd w:w="5" w:type="dxa"/>
        <w:tblBorders>
          <w:top w:val="single" w:sz="4" w:space="0" w:color="auto"/>
          <w:bottom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3119"/>
        <w:gridCol w:w="3827"/>
        <w:gridCol w:w="1410"/>
        <w:gridCol w:w="1134"/>
        <w:gridCol w:w="1134"/>
        <w:gridCol w:w="1057"/>
      </w:tblGrid>
      <w:tr w:rsidR="00A809AB" w:rsidRPr="00A231A8" w14:paraId="6590B537" w14:textId="77777777" w:rsidTr="00A809AB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5CECF6" w14:textId="381C014C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GO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FB6A5E" w14:textId="31290800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2C5930" w14:textId="10225F76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665363" w14:textId="2E0A4D30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b/>
                <w:bCs/>
                <w:sz w:val="20"/>
                <w:szCs w:val="20"/>
              </w:rPr>
              <w:t>Count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99F72C" w14:textId="0CFFD70E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AC36A5" w14:textId="0AEF623B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b/>
                <w:bCs/>
                <w:sz w:val="20"/>
                <w:szCs w:val="20"/>
              </w:rPr>
              <w:t>Log10(P)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B8FB62" w14:textId="2BF70271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b/>
                <w:bCs/>
                <w:sz w:val="20"/>
                <w:szCs w:val="20"/>
              </w:rPr>
              <w:t>Log10(q)</w:t>
            </w:r>
          </w:p>
        </w:tc>
      </w:tr>
      <w:tr w:rsidR="00A809AB" w:rsidRPr="00A231A8" w14:paraId="7134F1CC" w14:textId="77777777" w:rsidTr="00A809AB">
        <w:tc>
          <w:tcPr>
            <w:tcW w:w="1696" w:type="dxa"/>
            <w:tcBorders>
              <w:top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383D8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GO:0060326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5B621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GO Biological Processes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906D3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cell chemotaxis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7A9CA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97BC2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13.39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D7EFE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-11.70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DB4FC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-7.56</w:t>
            </w:r>
          </w:p>
        </w:tc>
      </w:tr>
      <w:tr w:rsidR="00A809AB" w:rsidRPr="00A231A8" w14:paraId="7CA5F631" w14:textId="77777777" w:rsidTr="00A809AB">
        <w:tc>
          <w:tcPr>
            <w:tcW w:w="16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D1F8A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ko04657</w:t>
            </w:r>
          </w:p>
        </w:tc>
        <w:tc>
          <w:tcPr>
            <w:tcW w:w="3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FB17F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KEGG Pathway</w:t>
            </w:r>
          </w:p>
        </w:tc>
        <w:tc>
          <w:tcPr>
            <w:tcW w:w="38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9301A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IL-17 signaling pathway</w:t>
            </w:r>
          </w:p>
        </w:tc>
        <w:tc>
          <w:tcPr>
            <w:tcW w:w="1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71C8C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F3585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8.04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52986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-9.88</w:t>
            </w:r>
          </w:p>
        </w:tc>
        <w:tc>
          <w:tcPr>
            <w:tcW w:w="10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6DD56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-6.43</w:t>
            </w:r>
          </w:p>
        </w:tc>
      </w:tr>
      <w:tr w:rsidR="00A809AB" w:rsidRPr="00A231A8" w14:paraId="591E82CD" w14:textId="77777777" w:rsidTr="00A809AB">
        <w:tc>
          <w:tcPr>
            <w:tcW w:w="16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2C0B9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GO:0010035</w:t>
            </w:r>
          </w:p>
        </w:tc>
        <w:tc>
          <w:tcPr>
            <w:tcW w:w="3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823B0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GO Biological Processes</w:t>
            </w:r>
          </w:p>
        </w:tc>
        <w:tc>
          <w:tcPr>
            <w:tcW w:w="38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E16C4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response to inorganic substance</w:t>
            </w:r>
          </w:p>
        </w:tc>
        <w:tc>
          <w:tcPr>
            <w:tcW w:w="1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C3265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63AB0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14.29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63E4A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-8.95</w:t>
            </w:r>
          </w:p>
        </w:tc>
        <w:tc>
          <w:tcPr>
            <w:tcW w:w="10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07A3F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-5.73</w:t>
            </w:r>
          </w:p>
        </w:tc>
      </w:tr>
      <w:tr w:rsidR="00A809AB" w:rsidRPr="00A231A8" w14:paraId="60731D34" w14:textId="77777777" w:rsidTr="00A809AB">
        <w:tc>
          <w:tcPr>
            <w:tcW w:w="16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CC9FE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GO:0042493</w:t>
            </w:r>
          </w:p>
        </w:tc>
        <w:tc>
          <w:tcPr>
            <w:tcW w:w="3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DCEBE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GO Biological Processes</w:t>
            </w:r>
          </w:p>
        </w:tc>
        <w:tc>
          <w:tcPr>
            <w:tcW w:w="38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13513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response to drug</w:t>
            </w:r>
          </w:p>
        </w:tc>
        <w:tc>
          <w:tcPr>
            <w:tcW w:w="1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E19F5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68FD0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11.61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8072A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-8.14</w:t>
            </w:r>
          </w:p>
        </w:tc>
        <w:tc>
          <w:tcPr>
            <w:tcW w:w="10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79F9D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-5.03</w:t>
            </w:r>
          </w:p>
        </w:tc>
      </w:tr>
      <w:tr w:rsidR="00A809AB" w:rsidRPr="00A231A8" w14:paraId="5D4D705E" w14:textId="77777777" w:rsidTr="00A809AB">
        <w:tc>
          <w:tcPr>
            <w:tcW w:w="16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4458F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GO:0045637</w:t>
            </w:r>
          </w:p>
        </w:tc>
        <w:tc>
          <w:tcPr>
            <w:tcW w:w="3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D477A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GO Biological Processes</w:t>
            </w:r>
          </w:p>
        </w:tc>
        <w:tc>
          <w:tcPr>
            <w:tcW w:w="38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C0CEF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regulation of myeloid cell differentiation</w:t>
            </w:r>
          </w:p>
        </w:tc>
        <w:tc>
          <w:tcPr>
            <w:tcW w:w="1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8D8BB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F68B5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8.93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0BB5F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-7.88</w:t>
            </w:r>
          </w:p>
        </w:tc>
        <w:tc>
          <w:tcPr>
            <w:tcW w:w="10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120A1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-4.80</w:t>
            </w:r>
          </w:p>
        </w:tc>
      </w:tr>
      <w:tr w:rsidR="00A809AB" w:rsidRPr="00A231A8" w14:paraId="3E904B42" w14:textId="77777777" w:rsidTr="00A809AB">
        <w:tc>
          <w:tcPr>
            <w:tcW w:w="16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CA29C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GO:0032103</w:t>
            </w:r>
          </w:p>
        </w:tc>
        <w:tc>
          <w:tcPr>
            <w:tcW w:w="3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7310E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GO Biological Processes</w:t>
            </w:r>
          </w:p>
        </w:tc>
        <w:tc>
          <w:tcPr>
            <w:tcW w:w="38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1E5FD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positive regulation of response to external stimulus</w:t>
            </w:r>
          </w:p>
        </w:tc>
        <w:tc>
          <w:tcPr>
            <w:tcW w:w="1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0F726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63749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11.61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3B421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-7.79</w:t>
            </w:r>
          </w:p>
        </w:tc>
        <w:tc>
          <w:tcPr>
            <w:tcW w:w="10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209D7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-4.73</w:t>
            </w:r>
          </w:p>
        </w:tc>
      </w:tr>
      <w:tr w:rsidR="00A809AB" w:rsidRPr="00A231A8" w14:paraId="3FB39A29" w14:textId="77777777" w:rsidTr="00A809AB">
        <w:tc>
          <w:tcPr>
            <w:tcW w:w="16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3E7C3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WP2865</w:t>
            </w:r>
          </w:p>
        </w:tc>
        <w:tc>
          <w:tcPr>
            <w:tcW w:w="3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EF3F0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WikiPathways</w:t>
            </w:r>
          </w:p>
        </w:tc>
        <w:tc>
          <w:tcPr>
            <w:tcW w:w="38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11EB2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IL1 and megakaryocytes in obesity</w:t>
            </w:r>
          </w:p>
        </w:tc>
        <w:tc>
          <w:tcPr>
            <w:tcW w:w="1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36AB4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165A4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4.46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50DC9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-7.34</w:t>
            </w:r>
          </w:p>
        </w:tc>
        <w:tc>
          <w:tcPr>
            <w:tcW w:w="10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E9D42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-4.39</w:t>
            </w:r>
          </w:p>
        </w:tc>
      </w:tr>
      <w:tr w:rsidR="00A809AB" w:rsidRPr="00A231A8" w14:paraId="633D3D5C" w14:textId="77777777" w:rsidTr="00A809AB">
        <w:tc>
          <w:tcPr>
            <w:tcW w:w="16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DDEAC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lastRenderedPageBreak/>
              <w:t>GO:0019079</w:t>
            </w:r>
          </w:p>
        </w:tc>
        <w:tc>
          <w:tcPr>
            <w:tcW w:w="3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46D23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GO Biological Processes</w:t>
            </w:r>
          </w:p>
        </w:tc>
        <w:tc>
          <w:tcPr>
            <w:tcW w:w="38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BACD6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viral genome replication</w:t>
            </w:r>
          </w:p>
        </w:tc>
        <w:tc>
          <w:tcPr>
            <w:tcW w:w="1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24E67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6BC42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7.14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0E699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-7.25</w:t>
            </w:r>
          </w:p>
        </w:tc>
        <w:tc>
          <w:tcPr>
            <w:tcW w:w="10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B6562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-4.34</w:t>
            </w:r>
          </w:p>
        </w:tc>
      </w:tr>
      <w:tr w:rsidR="00A809AB" w:rsidRPr="00A231A8" w14:paraId="374BDF9B" w14:textId="77777777" w:rsidTr="00A809AB">
        <w:tc>
          <w:tcPr>
            <w:tcW w:w="16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7EDAE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GO:0001568</w:t>
            </w:r>
          </w:p>
        </w:tc>
        <w:tc>
          <w:tcPr>
            <w:tcW w:w="3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5FE56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GO Biological Processes</w:t>
            </w:r>
          </w:p>
        </w:tc>
        <w:tc>
          <w:tcPr>
            <w:tcW w:w="38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ADFB8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blood vessel development</w:t>
            </w:r>
          </w:p>
        </w:tc>
        <w:tc>
          <w:tcPr>
            <w:tcW w:w="1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54B57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583CF9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14.29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7D34E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-7.15</w:t>
            </w:r>
          </w:p>
        </w:tc>
        <w:tc>
          <w:tcPr>
            <w:tcW w:w="10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22FAE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-4.27</w:t>
            </w:r>
          </w:p>
        </w:tc>
      </w:tr>
      <w:tr w:rsidR="00A809AB" w:rsidRPr="00A231A8" w14:paraId="37461624" w14:textId="77777777" w:rsidTr="00A809AB">
        <w:tc>
          <w:tcPr>
            <w:tcW w:w="16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E1C64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GO:0009636</w:t>
            </w:r>
          </w:p>
        </w:tc>
        <w:tc>
          <w:tcPr>
            <w:tcW w:w="3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4156D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GO Biological Processes</w:t>
            </w:r>
          </w:p>
        </w:tc>
        <w:tc>
          <w:tcPr>
            <w:tcW w:w="38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6BC0E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response to toxic substance</w:t>
            </w:r>
          </w:p>
        </w:tc>
        <w:tc>
          <w:tcPr>
            <w:tcW w:w="1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94D89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0628D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8.93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196A4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-7.00</w:t>
            </w:r>
          </w:p>
        </w:tc>
        <w:tc>
          <w:tcPr>
            <w:tcW w:w="10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CB5C4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-4.15</w:t>
            </w:r>
          </w:p>
        </w:tc>
      </w:tr>
      <w:tr w:rsidR="00A809AB" w:rsidRPr="00A231A8" w14:paraId="3353AF6A" w14:textId="77777777" w:rsidTr="00A809AB">
        <w:tc>
          <w:tcPr>
            <w:tcW w:w="16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C3953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GO:0061061</w:t>
            </w:r>
          </w:p>
        </w:tc>
        <w:tc>
          <w:tcPr>
            <w:tcW w:w="3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FDB40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GO Biological Processes</w:t>
            </w:r>
          </w:p>
        </w:tc>
        <w:tc>
          <w:tcPr>
            <w:tcW w:w="38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B05A2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muscle structure development</w:t>
            </w:r>
          </w:p>
        </w:tc>
        <w:tc>
          <w:tcPr>
            <w:tcW w:w="1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3FA74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C35D7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12.50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A6320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-6.61</w:t>
            </w:r>
          </w:p>
        </w:tc>
        <w:tc>
          <w:tcPr>
            <w:tcW w:w="10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9C3A7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-3.86</w:t>
            </w:r>
          </w:p>
        </w:tc>
      </w:tr>
      <w:tr w:rsidR="00A809AB" w:rsidRPr="00A231A8" w14:paraId="1B87EB05" w14:textId="77777777" w:rsidTr="00A809AB">
        <w:tc>
          <w:tcPr>
            <w:tcW w:w="16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D55DE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GO:0030335</w:t>
            </w:r>
          </w:p>
        </w:tc>
        <w:tc>
          <w:tcPr>
            <w:tcW w:w="3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3EFC0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GO Biological Processes</w:t>
            </w:r>
          </w:p>
        </w:tc>
        <w:tc>
          <w:tcPr>
            <w:tcW w:w="38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18B3E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positive regulation of cell migration</w:t>
            </w:r>
          </w:p>
        </w:tc>
        <w:tc>
          <w:tcPr>
            <w:tcW w:w="1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791FB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81677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11.61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28343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-6.46</w:t>
            </w:r>
          </w:p>
        </w:tc>
        <w:tc>
          <w:tcPr>
            <w:tcW w:w="10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26560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-3.74</w:t>
            </w:r>
          </w:p>
        </w:tc>
      </w:tr>
      <w:tr w:rsidR="00A809AB" w:rsidRPr="00A231A8" w14:paraId="4FA85BCB" w14:textId="77777777" w:rsidTr="00A809AB">
        <w:tc>
          <w:tcPr>
            <w:tcW w:w="16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FDBCF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R-HSA-6798695</w:t>
            </w:r>
          </w:p>
        </w:tc>
        <w:tc>
          <w:tcPr>
            <w:tcW w:w="3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0687F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Reactome Gene Sets</w:t>
            </w:r>
          </w:p>
        </w:tc>
        <w:tc>
          <w:tcPr>
            <w:tcW w:w="38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590E1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Neutrophil degranulation</w:t>
            </w:r>
          </w:p>
        </w:tc>
        <w:tc>
          <w:tcPr>
            <w:tcW w:w="1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3B8D2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602CB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10.71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5E98E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-6.30</w:t>
            </w:r>
          </w:p>
        </w:tc>
        <w:tc>
          <w:tcPr>
            <w:tcW w:w="10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DD530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-3.62</w:t>
            </w:r>
          </w:p>
        </w:tc>
      </w:tr>
      <w:tr w:rsidR="00A809AB" w:rsidRPr="00A231A8" w14:paraId="702C498D" w14:textId="77777777" w:rsidTr="00A809AB">
        <w:tc>
          <w:tcPr>
            <w:tcW w:w="16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64DEC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GO:0051403</w:t>
            </w:r>
          </w:p>
        </w:tc>
        <w:tc>
          <w:tcPr>
            <w:tcW w:w="3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7FBAD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GO Biological Processes</w:t>
            </w:r>
          </w:p>
        </w:tc>
        <w:tc>
          <w:tcPr>
            <w:tcW w:w="38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EE461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stress-activated MAPK cascade</w:t>
            </w:r>
          </w:p>
        </w:tc>
        <w:tc>
          <w:tcPr>
            <w:tcW w:w="1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C307D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CD752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8.04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D2933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-6.28</w:t>
            </w:r>
          </w:p>
        </w:tc>
        <w:tc>
          <w:tcPr>
            <w:tcW w:w="10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25D25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-3.61</w:t>
            </w:r>
          </w:p>
        </w:tc>
      </w:tr>
      <w:tr w:rsidR="00A809AB" w:rsidRPr="00A231A8" w14:paraId="60D58B39" w14:textId="77777777" w:rsidTr="00A809AB">
        <w:tc>
          <w:tcPr>
            <w:tcW w:w="16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EA2C0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GO:0032870</w:t>
            </w:r>
          </w:p>
        </w:tc>
        <w:tc>
          <w:tcPr>
            <w:tcW w:w="3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69BC2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GO Biological Processes</w:t>
            </w:r>
          </w:p>
        </w:tc>
        <w:tc>
          <w:tcPr>
            <w:tcW w:w="38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22CA1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cellular response to hormone stimulus</w:t>
            </w:r>
          </w:p>
        </w:tc>
        <w:tc>
          <w:tcPr>
            <w:tcW w:w="1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6FD71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5D9E7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11.61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54485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-6.19</w:t>
            </w:r>
          </w:p>
        </w:tc>
        <w:tc>
          <w:tcPr>
            <w:tcW w:w="10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24E60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-3.58</w:t>
            </w:r>
          </w:p>
        </w:tc>
      </w:tr>
      <w:tr w:rsidR="00A809AB" w:rsidRPr="00A231A8" w14:paraId="32480D33" w14:textId="77777777" w:rsidTr="00A809AB">
        <w:tc>
          <w:tcPr>
            <w:tcW w:w="16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AEC16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GO:0001817</w:t>
            </w:r>
          </w:p>
        </w:tc>
        <w:tc>
          <w:tcPr>
            <w:tcW w:w="3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FF4CB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GO Biological Processes</w:t>
            </w:r>
          </w:p>
        </w:tc>
        <w:tc>
          <w:tcPr>
            <w:tcW w:w="38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EB956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regulation of cytokine production</w:t>
            </w:r>
          </w:p>
        </w:tc>
        <w:tc>
          <w:tcPr>
            <w:tcW w:w="1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8C473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55010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13.39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D38F2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-6.18</w:t>
            </w:r>
          </w:p>
        </w:tc>
        <w:tc>
          <w:tcPr>
            <w:tcW w:w="10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E9287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-3.58</w:t>
            </w:r>
          </w:p>
        </w:tc>
      </w:tr>
      <w:tr w:rsidR="00A809AB" w:rsidRPr="00A231A8" w14:paraId="0C631F47" w14:textId="77777777" w:rsidTr="00A809AB">
        <w:tc>
          <w:tcPr>
            <w:tcW w:w="16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F344C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WP2882</w:t>
            </w:r>
          </w:p>
        </w:tc>
        <w:tc>
          <w:tcPr>
            <w:tcW w:w="3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6081F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WikiPathways</w:t>
            </w:r>
          </w:p>
        </w:tc>
        <w:tc>
          <w:tcPr>
            <w:tcW w:w="38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2762A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Nuclear receptors meta-pathway</w:t>
            </w:r>
          </w:p>
        </w:tc>
        <w:tc>
          <w:tcPr>
            <w:tcW w:w="1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BE820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4D651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8.93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E87DD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-6.17</w:t>
            </w:r>
          </w:p>
        </w:tc>
        <w:tc>
          <w:tcPr>
            <w:tcW w:w="10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F0A19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-3.58</w:t>
            </w:r>
          </w:p>
        </w:tc>
      </w:tr>
      <w:tr w:rsidR="00A809AB" w:rsidRPr="00A231A8" w14:paraId="6E3BDF04" w14:textId="77777777" w:rsidTr="00A809AB">
        <w:tc>
          <w:tcPr>
            <w:tcW w:w="16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39120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lastRenderedPageBreak/>
              <w:t>GO:0010942</w:t>
            </w:r>
          </w:p>
        </w:tc>
        <w:tc>
          <w:tcPr>
            <w:tcW w:w="3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36A83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GO Biological Processes</w:t>
            </w:r>
          </w:p>
        </w:tc>
        <w:tc>
          <w:tcPr>
            <w:tcW w:w="38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A2763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positive regulation of cell death</w:t>
            </w:r>
          </w:p>
        </w:tc>
        <w:tc>
          <w:tcPr>
            <w:tcW w:w="1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5EE4A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340F5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11.61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FDA0F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-5.95</w:t>
            </w:r>
          </w:p>
        </w:tc>
        <w:tc>
          <w:tcPr>
            <w:tcW w:w="10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D503B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-3.43</w:t>
            </w:r>
          </w:p>
        </w:tc>
      </w:tr>
      <w:tr w:rsidR="00A809AB" w:rsidRPr="00A231A8" w14:paraId="1B2D7F58" w14:textId="77777777" w:rsidTr="00A809AB">
        <w:tc>
          <w:tcPr>
            <w:tcW w:w="16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798C3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GO:0001935</w:t>
            </w:r>
          </w:p>
        </w:tc>
        <w:tc>
          <w:tcPr>
            <w:tcW w:w="3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C3182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GO Biological Processes</w:t>
            </w:r>
          </w:p>
        </w:tc>
        <w:tc>
          <w:tcPr>
            <w:tcW w:w="38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3F256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endothelial cell proliferation</w:t>
            </w:r>
          </w:p>
        </w:tc>
        <w:tc>
          <w:tcPr>
            <w:tcW w:w="1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4AA3B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35CDF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7.14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E9CC6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-5.85</w:t>
            </w:r>
          </w:p>
        </w:tc>
        <w:tc>
          <w:tcPr>
            <w:tcW w:w="10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10F86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-3.35</w:t>
            </w:r>
          </w:p>
        </w:tc>
      </w:tr>
      <w:tr w:rsidR="00A809AB" w:rsidRPr="00A231A8" w14:paraId="3FCC2337" w14:textId="77777777" w:rsidTr="00A809AB">
        <w:tc>
          <w:tcPr>
            <w:tcW w:w="16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B0984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WP15</w:t>
            </w:r>
          </w:p>
        </w:tc>
        <w:tc>
          <w:tcPr>
            <w:tcW w:w="3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8EFC8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WikiPathways</w:t>
            </w:r>
          </w:p>
        </w:tc>
        <w:tc>
          <w:tcPr>
            <w:tcW w:w="38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3BBE7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Selenium micronutrient network</w:t>
            </w:r>
          </w:p>
        </w:tc>
        <w:tc>
          <w:tcPr>
            <w:tcW w:w="1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C444A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4ADA3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5.36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62F7E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-5.73</w:t>
            </w:r>
          </w:p>
        </w:tc>
        <w:tc>
          <w:tcPr>
            <w:tcW w:w="10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8B031" w14:textId="77777777" w:rsidR="00A809AB" w:rsidRPr="00A231A8" w:rsidRDefault="00A809AB" w:rsidP="00A809AB">
            <w:pPr>
              <w:pBdr>
                <w:between w:val="single" w:sz="4" w:space="1" w:color="auto"/>
              </w:pBdr>
              <w:rPr>
                <w:rFonts w:cstheme="minorHAnsi"/>
                <w:sz w:val="20"/>
                <w:szCs w:val="20"/>
              </w:rPr>
            </w:pPr>
            <w:r w:rsidRPr="00A231A8">
              <w:rPr>
                <w:rFonts w:cstheme="minorHAnsi"/>
                <w:sz w:val="20"/>
                <w:szCs w:val="20"/>
              </w:rPr>
              <w:t>-3.25</w:t>
            </w:r>
          </w:p>
        </w:tc>
      </w:tr>
    </w:tbl>
    <w:p w14:paraId="1007B9B7" w14:textId="77777777" w:rsidR="00A809AB" w:rsidRPr="00A231A8" w:rsidRDefault="00A809AB" w:rsidP="00A809AB">
      <w:pPr>
        <w:pBdr>
          <w:between w:val="single" w:sz="4" w:space="1" w:color="auto"/>
        </w:pBdr>
        <w:rPr>
          <w:rFonts w:cstheme="minorHAnsi"/>
          <w:sz w:val="20"/>
          <w:szCs w:val="20"/>
        </w:rPr>
      </w:pPr>
    </w:p>
    <w:sectPr w:rsidR="00A809AB" w:rsidRPr="00A231A8" w:rsidSect="00A809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AA54" w14:textId="77777777" w:rsidR="00F7564C" w:rsidRDefault="00F7564C" w:rsidP="00A809AB">
      <w:pPr>
        <w:spacing w:after="0" w:line="240" w:lineRule="auto"/>
      </w:pPr>
      <w:r>
        <w:separator/>
      </w:r>
    </w:p>
  </w:endnote>
  <w:endnote w:type="continuationSeparator" w:id="0">
    <w:p w14:paraId="16513F44" w14:textId="77777777" w:rsidR="00F7564C" w:rsidRDefault="00F7564C" w:rsidP="00A8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9027" w14:textId="77777777" w:rsidR="00F7564C" w:rsidRDefault="00F7564C" w:rsidP="00A809AB">
      <w:pPr>
        <w:spacing w:after="0" w:line="240" w:lineRule="auto"/>
      </w:pPr>
      <w:r>
        <w:separator/>
      </w:r>
    </w:p>
  </w:footnote>
  <w:footnote w:type="continuationSeparator" w:id="0">
    <w:p w14:paraId="542EC4F2" w14:textId="77777777" w:rsidR="00F7564C" w:rsidRDefault="00F7564C" w:rsidP="00A80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1333B42D-7FBD-4598-A7BB-BBD14EA9DDFD}"/>
    <w:docVar w:name="KY_MEDREF_VERSION" w:val="3"/>
  </w:docVars>
  <w:rsids>
    <w:rsidRoot w:val="00A809AB"/>
    <w:rsid w:val="00187A1B"/>
    <w:rsid w:val="002C3185"/>
    <w:rsid w:val="006752DD"/>
    <w:rsid w:val="009B536C"/>
    <w:rsid w:val="00A231A8"/>
    <w:rsid w:val="00A809AB"/>
    <w:rsid w:val="00EF56E3"/>
    <w:rsid w:val="00F7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6269A"/>
  <w15:chartTrackingRefBased/>
  <w15:docId w15:val="{3CF2A48C-623B-4811-97DF-CE9F0C33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9AB"/>
  </w:style>
  <w:style w:type="paragraph" w:styleId="1">
    <w:name w:val="heading 1"/>
    <w:basedOn w:val="a"/>
    <w:next w:val="a"/>
    <w:link w:val="10"/>
    <w:uiPriority w:val="9"/>
    <w:qFormat/>
    <w:rsid w:val="006752D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2D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2D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52D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2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52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52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52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52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752D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标题 2 字符"/>
    <w:basedOn w:val="a0"/>
    <w:link w:val="2"/>
    <w:uiPriority w:val="9"/>
    <w:semiHidden/>
    <w:rsid w:val="006752D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6752D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6752D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标题 5 字符"/>
    <w:basedOn w:val="a0"/>
    <w:link w:val="5"/>
    <w:uiPriority w:val="9"/>
    <w:semiHidden/>
    <w:rsid w:val="006752D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标题 6 字符"/>
    <w:basedOn w:val="a0"/>
    <w:link w:val="6"/>
    <w:uiPriority w:val="9"/>
    <w:semiHidden/>
    <w:rsid w:val="006752D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标题 7 字符"/>
    <w:basedOn w:val="a0"/>
    <w:link w:val="7"/>
    <w:uiPriority w:val="9"/>
    <w:semiHidden/>
    <w:rsid w:val="006752D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标题 8 字符"/>
    <w:basedOn w:val="a0"/>
    <w:link w:val="8"/>
    <w:uiPriority w:val="9"/>
    <w:semiHidden/>
    <w:rsid w:val="006752D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6752D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52DD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6752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标题 字符"/>
    <w:basedOn w:val="a0"/>
    <w:link w:val="a4"/>
    <w:uiPriority w:val="10"/>
    <w:rsid w:val="006752D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6752D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标题 字符"/>
    <w:basedOn w:val="a0"/>
    <w:link w:val="a6"/>
    <w:uiPriority w:val="11"/>
    <w:rsid w:val="006752DD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6752DD"/>
    <w:rPr>
      <w:b/>
      <w:bCs/>
    </w:rPr>
  </w:style>
  <w:style w:type="character" w:styleId="a9">
    <w:name w:val="Emphasis"/>
    <w:basedOn w:val="a0"/>
    <w:uiPriority w:val="20"/>
    <w:qFormat/>
    <w:rsid w:val="006752DD"/>
    <w:rPr>
      <w:i/>
      <w:iCs/>
      <w:color w:val="70AD47" w:themeColor="accent6"/>
    </w:rPr>
  </w:style>
  <w:style w:type="paragraph" w:styleId="aa">
    <w:name w:val="No Spacing"/>
    <w:uiPriority w:val="1"/>
    <w:qFormat/>
    <w:rsid w:val="006752D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6752D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 字符"/>
    <w:basedOn w:val="a0"/>
    <w:link w:val="ab"/>
    <w:uiPriority w:val="29"/>
    <w:rsid w:val="006752DD"/>
    <w:rPr>
      <w:i/>
      <w:iCs/>
      <w:color w:val="262626" w:themeColor="text1" w:themeTint="D9"/>
    </w:rPr>
  </w:style>
  <w:style w:type="paragraph" w:styleId="ad">
    <w:name w:val="Intense Quote"/>
    <w:basedOn w:val="a"/>
    <w:next w:val="a"/>
    <w:link w:val="ae"/>
    <w:uiPriority w:val="30"/>
    <w:qFormat/>
    <w:rsid w:val="006752D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e">
    <w:name w:val="明显引用 字符"/>
    <w:basedOn w:val="a0"/>
    <w:link w:val="ad"/>
    <w:uiPriority w:val="30"/>
    <w:rsid w:val="006752D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f">
    <w:name w:val="Subtle Emphasis"/>
    <w:basedOn w:val="a0"/>
    <w:uiPriority w:val="19"/>
    <w:qFormat/>
    <w:rsid w:val="006752DD"/>
    <w:rPr>
      <w:i/>
      <w:iCs/>
    </w:rPr>
  </w:style>
  <w:style w:type="character" w:styleId="af0">
    <w:name w:val="Intense Emphasis"/>
    <w:basedOn w:val="a0"/>
    <w:uiPriority w:val="21"/>
    <w:qFormat/>
    <w:rsid w:val="006752DD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752DD"/>
    <w:rPr>
      <w:smallCaps/>
      <w:color w:val="595959" w:themeColor="text1" w:themeTint="A6"/>
    </w:rPr>
  </w:style>
  <w:style w:type="character" w:styleId="af2">
    <w:name w:val="Intense Reference"/>
    <w:basedOn w:val="a0"/>
    <w:uiPriority w:val="32"/>
    <w:qFormat/>
    <w:rsid w:val="006752DD"/>
    <w:rPr>
      <w:b/>
      <w:bCs/>
      <w:smallCaps/>
      <w:color w:val="70AD47" w:themeColor="accent6"/>
    </w:rPr>
  </w:style>
  <w:style w:type="character" w:styleId="af3">
    <w:name w:val="Book Title"/>
    <w:basedOn w:val="a0"/>
    <w:uiPriority w:val="33"/>
    <w:qFormat/>
    <w:rsid w:val="006752DD"/>
    <w:rPr>
      <w:b/>
      <w:bCs/>
      <w:caps w:val="0"/>
      <w:smallCaps/>
      <w:spacing w:val="7"/>
      <w:sz w:val="21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6752DD"/>
    <w:pPr>
      <w:outlineLvl w:val="9"/>
    </w:pPr>
  </w:style>
  <w:style w:type="paragraph" w:styleId="af4">
    <w:name w:val="header"/>
    <w:basedOn w:val="a"/>
    <w:link w:val="af5"/>
    <w:uiPriority w:val="99"/>
    <w:unhideWhenUsed/>
    <w:rsid w:val="00A80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5">
    <w:name w:val="页眉 字符"/>
    <w:basedOn w:val="a0"/>
    <w:link w:val="af4"/>
    <w:uiPriority w:val="99"/>
    <w:rsid w:val="00A809AB"/>
    <w:rPr>
      <w:sz w:val="18"/>
      <w:szCs w:val="18"/>
    </w:rPr>
  </w:style>
  <w:style w:type="paragraph" w:styleId="af6">
    <w:name w:val="footer"/>
    <w:basedOn w:val="a"/>
    <w:link w:val="af7"/>
    <w:uiPriority w:val="99"/>
    <w:unhideWhenUsed/>
    <w:rsid w:val="00A809A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7">
    <w:name w:val="页脚 字符"/>
    <w:basedOn w:val="a0"/>
    <w:link w:val="af6"/>
    <w:uiPriority w:val="99"/>
    <w:rsid w:val="00A809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4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Times New Roman"/>
        <a:ea typeface="宋体"/>
        <a:cs typeface=""/>
      </a:majorFont>
      <a:minorFont>
        <a:latin typeface="Times New Roman"/>
        <a:ea typeface="黑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 宇超</dc:creator>
  <cp:keywords/>
  <dc:description/>
  <cp:lastModifiedBy>樊 宇超</cp:lastModifiedBy>
  <cp:revision>3</cp:revision>
  <dcterms:created xsi:type="dcterms:W3CDTF">2021-08-14T05:06:00Z</dcterms:created>
  <dcterms:modified xsi:type="dcterms:W3CDTF">2021-09-05T10:04:00Z</dcterms:modified>
</cp:coreProperties>
</file>