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87DDC" w14:textId="53ECC6C6" w:rsidR="00FE0145" w:rsidRPr="001336BB" w:rsidRDefault="00A20B33" w:rsidP="004619DE">
      <w:pPr>
        <w:rPr>
          <w:b/>
          <w:bCs/>
          <w:color w:val="2F5496" w:themeColor="accent1" w:themeShade="BF"/>
          <w:sz w:val="32"/>
          <w:szCs w:val="32"/>
        </w:rPr>
      </w:pPr>
      <w:bookmarkStart w:id="0" w:name="_Toc77595248"/>
      <w:r w:rsidRPr="001336BB">
        <w:rPr>
          <w:b/>
          <w:bCs/>
          <w:color w:val="2F5496" w:themeColor="accent1" w:themeShade="BF"/>
          <w:sz w:val="32"/>
          <w:szCs w:val="32"/>
        </w:rPr>
        <w:t>Supplementary Material</w:t>
      </w:r>
      <w:r w:rsidR="00054637" w:rsidRPr="001336BB">
        <w:rPr>
          <w:b/>
          <w:bCs/>
          <w:color w:val="2F5496" w:themeColor="accent1" w:themeShade="BF"/>
          <w:sz w:val="32"/>
          <w:szCs w:val="32"/>
        </w:rPr>
        <w:t>s</w:t>
      </w:r>
      <w:bookmarkEnd w:id="0"/>
    </w:p>
    <w:p w14:paraId="3D927019" w14:textId="77777777" w:rsidR="001336BB" w:rsidRPr="004619DE" w:rsidRDefault="001336BB" w:rsidP="004619DE">
      <w:pPr>
        <w:rPr>
          <w:b/>
          <w:bCs/>
          <w:color w:val="0070C0"/>
          <w:sz w:val="32"/>
          <w:szCs w:val="32"/>
        </w:rPr>
      </w:pPr>
    </w:p>
    <w:p w14:paraId="151DE65A" w14:textId="728A15AC" w:rsidR="00517FEA" w:rsidRPr="00E22B39" w:rsidRDefault="001336BB" w:rsidP="00517FEA">
      <w:pPr>
        <w:rPr>
          <w:b/>
          <w:bCs/>
          <w:color w:val="000000" w:themeColor="text1"/>
          <w:sz w:val="32"/>
          <w:szCs w:val="32"/>
        </w:rPr>
      </w:pPr>
      <w:r w:rsidRPr="00E22B39">
        <w:rPr>
          <w:b/>
          <w:bCs/>
          <w:color w:val="000000" w:themeColor="text1"/>
          <w:sz w:val="32"/>
          <w:szCs w:val="32"/>
        </w:rPr>
        <w:t>Table of Contents</w:t>
      </w:r>
    </w:p>
    <w:p w14:paraId="33E52C85" w14:textId="2EC9E832" w:rsidR="00E22B39" w:rsidRPr="00E22B39" w:rsidRDefault="004A48F1">
      <w:pPr>
        <w:pStyle w:val="TOC1"/>
        <w:tabs>
          <w:tab w:val="right" w:leader="dot" w:pos="13950"/>
        </w:tabs>
        <w:rPr>
          <w:rFonts w:eastAsiaTheme="minorEastAsia" w:cstheme="minorBidi"/>
          <w:b w:val="0"/>
          <w:bCs w:val="0"/>
          <w:caps w:val="0"/>
          <w:noProof/>
          <w:color w:val="000000" w:themeColor="text1"/>
          <w:sz w:val="24"/>
          <w:szCs w:val="24"/>
          <w:lang w:eastAsia="en-GB"/>
        </w:rPr>
      </w:pPr>
      <w:r w:rsidRPr="00E22B39">
        <w:rPr>
          <w:color w:val="000000" w:themeColor="text1"/>
        </w:rPr>
        <w:fldChar w:fldCharType="begin"/>
      </w:r>
      <w:r w:rsidRPr="00E22B39">
        <w:rPr>
          <w:color w:val="000000" w:themeColor="text1"/>
        </w:rPr>
        <w:instrText xml:space="preserve"> TOC \o "1-3" \u </w:instrText>
      </w:r>
      <w:r w:rsidRPr="00E22B39">
        <w:rPr>
          <w:color w:val="000000" w:themeColor="text1"/>
        </w:rPr>
        <w:fldChar w:fldCharType="separate"/>
      </w:r>
      <w:r w:rsidR="00E22B39" w:rsidRPr="00E22B39">
        <w:rPr>
          <w:noProof/>
          <w:color w:val="000000" w:themeColor="text1"/>
        </w:rPr>
        <w:t>Supplementary Figures</w:t>
      </w:r>
      <w:r w:rsidR="00E22B39" w:rsidRPr="00E22B39">
        <w:rPr>
          <w:noProof/>
          <w:color w:val="000000" w:themeColor="text1"/>
        </w:rPr>
        <w:tab/>
      </w:r>
      <w:r w:rsidR="00E22B39" w:rsidRPr="00E22B39">
        <w:rPr>
          <w:noProof/>
          <w:color w:val="000000" w:themeColor="text1"/>
        </w:rPr>
        <w:fldChar w:fldCharType="begin"/>
      </w:r>
      <w:r w:rsidR="00E22B39" w:rsidRPr="00E22B39">
        <w:rPr>
          <w:noProof/>
          <w:color w:val="000000" w:themeColor="text1"/>
        </w:rPr>
        <w:instrText xml:space="preserve"> PAGEREF _Toc80281871 \h </w:instrText>
      </w:r>
      <w:r w:rsidR="00E22B39" w:rsidRPr="00E22B39">
        <w:rPr>
          <w:noProof/>
          <w:color w:val="000000" w:themeColor="text1"/>
        </w:rPr>
      </w:r>
      <w:r w:rsidR="00E22B39" w:rsidRPr="00E22B39">
        <w:rPr>
          <w:noProof/>
          <w:color w:val="000000" w:themeColor="text1"/>
        </w:rPr>
        <w:fldChar w:fldCharType="separate"/>
      </w:r>
      <w:r w:rsidR="00E22B39" w:rsidRPr="00E22B39">
        <w:rPr>
          <w:noProof/>
          <w:color w:val="000000" w:themeColor="text1"/>
        </w:rPr>
        <w:t>3</w:t>
      </w:r>
      <w:r w:rsidR="00E22B39" w:rsidRPr="00E22B39">
        <w:rPr>
          <w:noProof/>
          <w:color w:val="000000" w:themeColor="text1"/>
        </w:rPr>
        <w:fldChar w:fldCharType="end"/>
      </w:r>
    </w:p>
    <w:p w14:paraId="79E9BE75" w14:textId="54D7ABEC"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Supplementary Figure 1: Flowchart of participant selection for the UKIVAS cohort (1)</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_Toc80281872 \h </w:instrText>
      </w:r>
      <w:r w:rsidRPr="00E22B39">
        <w:rPr>
          <w:noProof/>
          <w:color w:val="000000" w:themeColor="text1"/>
        </w:rPr>
      </w:r>
      <w:r w:rsidRPr="00E22B39">
        <w:rPr>
          <w:noProof/>
          <w:color w:val="000000" w:themeColor="text1"/>
        </w:rPr>
        <w:fldChar w:fldCharType="separate"/>
      </w:r>
      <w:r w:rsidRPr="00E22B39">
        <w:rPr>
          <w:noProof/>
          <w:color w:val="000000" w:themeColor="text1"/>
        </w:rPr>
        <w:t>3</w:t>
      </w:r>
      <w:r w:rsidRPr="00E22B39">
        <w:rPr>
          <w:noProof/>
          <w:color w:val="000000" w:themeColor="text1"/>
        </w:rPr>
        <w:fldChar w:fldCharType="end"/>
      </w:r>
    </w:p>
    <w:p w14:paraId="173C8E09" w14:textId="02579EBE"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Supplementary Figure 2: Flowchart of participant selection for the RKD cohort (2)</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_Toc80281873 \h </w:instrText>
      </w:r>
      <w:r w:rsidRPr="00E22B39">
        <w:rPr>
          <w:noProof/>
          <w:color w:val="000000" w:themeColor="text1"/>
        </w:rPr>
      </w:r>
      <w:r w:rsidRPr="00E22B39">
        <w:rPr>
          <w:noProof/>
          <w:color w:val="000000" w:themeColor="text1"/>
        </w:rPr>
        <w:fldChar w:fldCharType="separate"/>
      </w:r>
      <w:r w:rsidRPr="00E22B39">
        <w:rPr>
          <w:noProof/>
          <w:color w:val="000000" w:themeColor="text1"/>
        </w:rPr>
        <w:t>4</w:t>
      </w:r>
      <w:r w:rsidRPr="00E22B39">
        <w:rPr>
          <w:noProof/>
          <w:color w:val="000000" w:themeColor="text1"/>
        </w:rPr>
        <w:fldChar w:fldCharType="end"/>
      </w:r>
    </w:p>
    <w:p w14:paraId="0921A8BE" w14:textId="26D703F6"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Supplementary Figure 3: Participant locations at diagnosis for i). UKIVAS and ii). RKD cohort</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_Toc80281874 \h </w:instrText>
      </w:r>
      <w:r w:rsidRPr="00E22B39">
        <w:rPr>
          <w:noProof/>
          <w:color w:val="000000" w:themeColor="text1"/>
        </w:rPr>
      </w:r>
      <w:r w:rsidRPr="00E22B39">
        <w:rPr>
          <w:noProof/>
          <w:color w:val="000000" w:themeColor="text1"/>
        </w:rPr>
        <w:fldChar w:fldCharType="separate"/>
      </w:r>
      <w:r w:rsidRPr="00E22B39">
        <w:rPr>
          <w:noProof/>
          <w:color w:val="000000" w:themeColor="text1"/>
        </w:rPr>
        <w:t>5</w:t>
      </w:r>
      <w:r w:rsidRPr="00E22B39">
        <w:rPr>
          <w:noProof/>
          <w:color w:val="000000" w:themeColor="text1"/>
        </w:rPr>
        <w:fldChar w:fldCharType="end"/>
      </w:r>
    </w:p>
    <w:p w14:paraId="6B5340B6" w14:textId="28A34D71"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rFonts w:ascii="Calibri Light" w:hAnsi="Calibri Light" w:cs="Calibri Light"/>
          <w:noProof/>
          <w:color w:val="000000" w:themeColor="text1"/>
          <w:shd w:val="clear" w:color="auto" w:fill="FFFFFF"/>
        </w:rPr>
        <w:t xml:space="preserve">Supplementary Figure 4: Distribution of vitD-UVB (kJ/m2) (a and b) and </w:t>
      </w:r>
      <w:r w:rsidRPr="00E22B39">
        <w:rPr>
          <w:noProof/>
          <w:color w:val="000000" w:themeColor="text1"/>
        </w:rPr>
        <w:t>CW-D-UVB (kJ/m2) (c and d) by month and season: CW-D-UVB peaks in late summer and nadirs in winter.</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_Toc80281875 \h </w:instrText>
      </w:r>
      <w:r w:rsidRPr="00E22B39">
        <w:rPr>
          <w:noProof/>
          <w:color w:val="000000" w:themeColor="text1"/>
        </w:rPr>
      </w:r>
      <w:r w:rsidRPr="00E22B39">
        <w:rPr>
          <w:noProof/>
          <w:color w:val="000000" w:themeColor="text1"/>
        </w:rPr>
        <w:fldChar w:fldCharType="separate"/>
      </w:r>
      <w:r w:rsidRPr="00E22B39">
        <w:rPr>
          <w:noProof/>
          <w:color w:val="000000" w:themeColor="text1"/>
        </w:rPr>
        <w:t>6</w:t>
      </w:r>
      <w:r w:rsidRPr="00E22B39">
        <w:rPr>
          <w:noProof/>
          <w:color w:val="000000" w:themeColor="text1"/>
        </w:rPr>
        <w:fldChar w:fldCharType="end"/>
      </w:r>
    </w:p>
    <w:p w14:paraId="73E66F17" w14:textId="63CDB7AE"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 xml:space="preserve">Supplementary Figure 5: The relationship between latitude (degrees) and a). annual daily average vitD-UVB (kJ/m2, Pearson correlation coefficient (corr) -0.98, </w:t>
      </w:r>
      <w:r w:rsidRPr="00E22B39">
        <w:rPr>
          <w:i/>
          <w:iCs/>
          <w:noProof/>
          <w:color w:val="000000" w:themeColor="text1"/>
        </w:rPr>
        <w:t>p</w:t>
      </w:r>
      <w:r w:rsidRPr="00E22B39">
        <w:rPr>
          <w:noProof/>
          <w:color w:val="000000" w:themeColor="text1"/>
        </w:rPr>
        <w:t xml:space="preserve"> &lt;0.001), b). annual daily average CW-D-UVB (kJ/m2, corr -0.96, </w:t>
      </w:r>
      <w:r w:rsidRPr="00E22B39">
        <w:rPr>
          <w:i/>
          <w:iCs/>
          <w:noProof/>
          <w:color w:val="000000" w:themeColor="text1"/>
        </w:rPr>
        <w:t>p</w:t>
      </w:r>
      <w:r w:rsidRPr="00E22B39">
        <w:rPr>
          <w:noProof/>
          <w:color w:val="000000" w:themeColor="text1"/>
        </w:rPr>
        <w:t xml:space="preserve"> &lt;0.001). CW-D-UVB at diagnosis c). not adjusted for season (kJ/m2, corr -0.12, </w:t>
      </w:r>
      <w:r w:rsidRPr="00E22B39">
        <w:rPr>
          <w:i/>
          <w:iCs/>
          <w:noProof/>
          <w:color w:val="000000" w:themeColor="text1"/>
        </w:rPr>
        <w:t>p</w:t>
      </w:r>
      <w:r w:rsidRPr="00E22B39">
        <w:rPr>
          <w:noProof/>
          <w:color w:val="000000" w:themeColor="text1"/>
        </w:rPr>
        <w:t xml:space="preserve"> &lt;0.001),  and d-g). stratified by season (corr winter -0.25, spring -0.15, summer -0.47, autumn -0.22,  </w:t>
      </w:r>
      <w:r w:rsidRPr="00E22B39">
        <w:rPr>
          <w:i/>
          <w:iCs/>
          <w:noProof/>
          <w:color w:val="000000" w:themeColor="text1"/>
        </w:rPr>
        <w:t>p</w:t>
      </w:r>
      <w:r w:rsidRPr="00E22B39">
        <w:rPr>
          <w:noProof/>
          <w:color w:val="000000" w:themeColor="text1"/>
        </w:rPr>
        <w:t xml:space="preserve"> &lt;0.001 for all).</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_Toc80281876 \h </w:instrText>
      </w:r>
      <w:r w:rsidRPr="00E22B39">
        <w:rPr>
          <w:noProof/>
          <w:color w:val="000000" w:themeColor="text1"/>
        </w:rPr>
      </w:r>
      <w:r w:rsidRPr="00E22B39">
        <w:rPr>
          <w:noProof/>
          <w:color w:val="000000" w:themeColor="text1"/>
        </w:rPr>
        <w:fldChar w:fldCharType="separate"/>
      </w:r>
      <w:r w:rsidRPr="00E22B39">
        <w:rPr>
          <w:noProof/>
          <w:color w:val="000000" w:themeColor="text1"/>
        </w:rPr>
        <w:t>7</w:t>
      </w:r>
      <w:r w:rsidRPr="00E22B39">
        <w:rPr>
          <w:noProof/>
          <w:color w:val="000000" w:themeColor="text1"/>
        </w:rPr>
        <w:fldChar w:fldCharType="end"/>
      </w:r>
    </w:p>
    <w:p w14:paraId="6A40B1A0" w14:textId="57345107"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 xml:space="preserve">Supplementary Figure 6: </w:t>
      </w:r>
      <w:r w:rsidRPr="00E22B39">
        <w:rPr>
          <w:i/>
          <w:iCs/>
          <w:noProof/>
          <w:color w:val="000000" w:themeColor="text1"/>
        </w:rPr>
        <w:t xml:space="preserve">AAV relapse: </w:t>
      </w:r>
      <w:r w:rsidRPr="00E22B39">
        <w:rPr>
          <w:noProof/>
          <w:color w:val="000000" w:themeColor="text1"/>
        </w:rPr>
        <w:t>a). CW-D-UVB at symptom onset (kJ/m2), b). average preceding winter vitD-UVB (kJ/m2) and c). average preceding winter CW-D-UVB (kJ/m2) stratified by disease activity (Active vs. Remission) in the entire cohort 2.</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_Toc80281877 \h </w:instrText>
      </w:r>
      <w:r w:rsidRPr="00E22B39">
        <w:rPr>
          <w:noProof/>
          <w:color w:val="000000" w:themeColor="text1"/>
        </w:rPr>
      </w:r>
      <w:r w:rsidRPr="00E22B39">
        <w:rPr>
          <w:noProof/>
          <w:color w:val="000000" w:themeColor="text1"/>
        </w:rPr>
        <w:fldChar w:fldCharType="separate"/>
      </w:r>
      <w:r w:rsidRPr="00E22B39">
        <w:rPr>
          <w:noProof/>
          <w:color w:val="000000" w:themeColor="text1"/>
        </w:rPr>
        <w:t>8</w:t>
      </w:r>
      <w:r w:rsidRPr="00E22B39">
        <w:rPr>
          <w:noProof/>
          <w:color w:val="000000" w:themeColor="text1"/>
        </w:rPr>
        <w:fldChar w:fldCharType="end"/>
      </w:r>
    </w:p>
    <w:p w14:paraId="4EEB3319" w14:textId="4A8A0E78"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 xml:space="preserve">Supplementary Figure 7: </w:t>
      </w:r>
      <w:r w:rsidRPr="00E22B39">
        <w:rPr>
          <w:i/>
          <w:iCs/>
          <w:noProof/>
          <w:color w:val="000000" w:themeColor="text1"/>
        </w:rPr>
        <w:t xml:space="preserve">AAV diagnosis: </w:t>
      </w:r>
      <w:r w:rsidRPr="00E22B39">
        <w:rPr>
          <w:noProof/>
          <w:color w:val="000000" w:themeColor="text1"/>
        </w:rPr>
        <w:t>a).</w:t>
      </w:r>
      <w:r w:rsidRPr="00E22B39">
        <w:rPr>
          <w:i/>
          <w:iCs/>
          <w:noProof/>
          <w:color w:val="000000" w:themeColor="text1"/>
        </w:rPr>
        <w:t xml:space="preserve"> </w:t>
      </w:r>
      <w:r w:rsidRPr="00E22B39">
        <w:rPr>
          <w:noProof/>
          <w:color w:val="000000" w:themeColor="text1"/>
        </w:rPr>
        <w:t xml:space="preserve">Latitude (degrees), b). average annual vitD-UVB (kJ/m2), c). average winter vitD-UVB (kJ/m2) and d). CW-D-UVB (kJ/m2) stratified by AAV phenotype (GPA and EGPA (“Not MPA”) vs. MPA), </w:t>
      </w:r>
      <w:r w:rsidRPr="00E22B39">
        <w:rPr>
          <w:i/>
          <w:iCs/>
          <w:noProof/>
          <w:color w:val="000000" w:themeColor="text1"/>
        </w:rPr>
        <w:t>at diagnosis</w:t>
      </w:r>
      <w:r w:rsidRPr="00E22B39">
        <w:rPr>
          <w:noProof/>
          <w:color w:val="000000" w:themeColor="text1"/>
        </w:rPr>
        <w:t>.</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_Toc80281878 \h </w:instrText>
      </w:r>
      <w:r w:rsidRPr="00E22B39">
        <w:rPr>
          <w:noProof/>
          <w:color w:val="000000" w:themeColor="text1"/>
        </w:rPr>
      </w:r>
      <w:r w:rsidRPr="00E22B39">
        <w:rPr>
          <w:noProof/>
          <w:color w:val="000000" w:themeColor="text1"/>
        </w:rPr>
        <w:fldChar w:fldCharType="separate"/>
      </w:r>
      <w:r w:rsidRPr="00E22B39">
        <w:rPr>
          <w:noProof/>
          <w:color w:val="000000" w:themeColor="text1"/>
        </w:rPr>
        <w:t>9</w:t>
      </w:r>
      <w:r w:rsidRPr="00E22B39">
        <w:rPr>
          <w:noProof/>
          <w:color w:val="000000" w:themeColor="text1"/>
        </w:rPr>
        <w:fldChar w:fldCharType="end"/>
      </w:r>
    </w:p>
    <w:p w14:paraId="3014161B" w14:textId="5A371B2F"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 xml:space="preserve">Supplementary Figure 8: </w:t>
      </w:r>
      <w:r w:rsidRPr="00E22B39">
        <w:rPr>
          <w:i/>
          <w:iCs/>
          <w:noProof/>
          <w:color w:val="000000" w:themeColor="text1"/>
        </w:rPr>
        <w:t xml:space="preserve">AAV diagnosis: </w:t>
      </w:r>
      <w:r w:rsidRPr="00E22B39">
        <w:rPr>
          <w:noProof/>
          <w:color w:val="000000" w:themeColor="text1"/>
        </w:rPr>
        <w:t xml:space="preserve">Latitude (degrees), average annual vitD-UVB (kJ/m2), average winter vitD-UVB (kJ/m2) and CW-D-UVB (kJ/m2) stratified by AAV serotype (a-d: MPO vs. Not MPO), </w:t>
      </w:r>
      <w:r w:rsidRPr="00E22B39">
        <w:rPr>
          <w:i/>
          <w:iCs/>
          <w:noProof/>
          <w:color w:val="000000" w:themeColor="text1"/>
        </w:rPr>
        <w:t>at diagnosis</w:t>
      </w:r>
      <w:r w:rsidRPr="00E22B39">
        <w:rPr>
          <w:noProof/>
          <w:color w:val="000000" w:themeColor="text1"/>
        </w:rPr>
        <w:t>.</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_Toc80281879 \h </w:instrText>
      </w:r>
      <w:r w:rsidRPr="00E22B39">
        <w:rPr>
          <w:noProof/>
          <w:color w:val="000000" w:themeColor="text1"/>
        </w:rPr>
      </w:r>
      <w:r w:rsidRPr="00E22B39">
        <w:rPr>
          <w:noProof/>
          <w:color w:val="000000" w:themeColor="text1"/>
        </w:rPr>
        <w:fldChar w:fldCharType="separate"/>
      </w:r>
      <w:r w:rsidRPr="00E22B39">
        <w:rPr>
          <w:noProof/>
          <w:color w:val="000000" w:themeColor="text1"/>
        </w:rPr>
        <w:t>10</w:t>
      </w:r>
      <w:r w:rsidRPr="00E22B39">
        <w:rPr>
          <w:noProof/>
          <w:color w:val="000000" w:themeColor="text1"/>
        </w:rPr>
        <w:fldChar w:fldCharType="end"/>
      </w:r>
    </w:p>
    <w:p w14:paraId="0DA0E35A" w14:textId="5F9BA439"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shd w:val="clear" w:color="auto" w:fill="FFFFFF"/>
        </w:rPr>
        <w:t>ANCA-associated vasculitis (AAV), Myeloperoxidase (MPO), Cumulative-weighted UVB dose (CW-D-UVB)</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_Toc80281880 \h </w:instrText>
      </w:r>
      <w:r w:rsidRPr="00E22B39">
        <w:rPr>
          <w:noProof/>
          <w:color w:val="000000" w:themeColor="text1"/>
        </w:rPr>
      </w:r>
      <w:r w:rsidRPr="00E22B39">
        <w:rPr>
          <w:noProof/>
          <w:color w:val="000000" w:themeColor="text1"/>
        </w:rPr>
        <w:fldChar w:fldCharType="separate"/>
      </w:r>
      <w:r w:rsidRPr="00E22B39">
        <w:rPr>
          <w:noProof/>
          <w:color w:val="000000" w:themeColor="text1"/>
        </w:rPr>
        <w:t>10</w:t>
      </w:r>
      <w:r w:rsidRPr="00E22B39">
        <w:rPr>
          <w:noProof/>
          <w:color w:val="000000" w:themeColor="text1"/>
        </w:rPr>
        <w:fldChar w:fldCharType="end"/>
      </w:r>
    </w:p>
    <w:p w14:paraId="703EA97E" w14:textId="5EAA16F5"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Supplementary Figure 9: Ratio of cumulative-weighted UVB at diagnosis relative to the average value at the participant’s location: a). cohort 1 &amp; 2 and stratified by b). AAV phenotype and c). AAV serotype</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_Toc80281881 \h </w:instrText>
      </w:r>
      <w:r w:rsidRPr="00E22B39">
        <w:rPr>
          <w:noProof/>
          <w:color w:val="000000" w:themeColor="text1"/>
        </w:rPr>
      </w:r>
      <w:r w:rsidRPr="00E22B39">
        <w:rPr>
          <w:noProof/>
          <w:color w:val="000000" w:themeColor="text1"/>
        </w:rPr>
        <w:fldChar w:fldCharType="separate"/>
      </w:r>
      <w:r w:rsidRPr="00E22B39">
        <w:rPr>
          <w:noProof/>
          <w:color w:val="000000" w:themeColor="text1"/>
        </w:rPr>
        <w:t>11</w:t>
      </w:r>
      <w:r w:rsidRPr="00E22B39">
        <w:rPr>
          <w:noProof/>
          <w:color w:val="000000" w:themeColor="text1"/>
        </w:rPr>
        <w:fldChar w:fldCharType="end"/>
      </w:r>
    </w:p>
    <w:p w14:paraId="2EF930A6" w14:textId="00DA898A" w:rsidR="00E22B39" w:rsidRPr="00E22B39" w:rsidRDefault="00E22B39">
      <w:pPr>
        <w:pStyle w:val="TOC1"/>
        <w:tabs>
          <w:tab w:val="right" w:leader="dot" w:pos="13950"/>
        </w:tabs>
        <w:rPr>
          <w:rFonts w:eastAsiaTheme="minorEastAsia" w:cstheme="minorBidi"/>
          <w:b w:val="0"/>
          <w:bCs w:val="0"/>
          <w:caps w:val="0"/>
          <w:noProof/>
          <w:color w:val="000000" w:themeColor="text1"/>
          <w:sz w:val="24"/>
          <w:szCs w:val="24"/>
          <w:lang w:eastAsia="en-GB"/>
        </w:rPr>
      </w:pPr>
      <w:r w:rsidRPr="00E22B39">
        <w:rPr>
          <w:noProof/>
          <w:color w:val="000000" w:themeColor="text1"/>
        </w:rPr>
        <w:t>Supplementary Tables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_Toc80281882 \h </w:instrText>
      </w:r>
      <w:r w:rsidRPr="00E22B39">
        <w:rPr>
          <w:noProof/>
          <w:color w:val="000000" w:themeColor="text1"/>
        </w:rPr>
      </w:r>
      <w:r w:rsidRPr="00E22B39">
        <w:rPr>
          <w:noProof/>
          <w:color w:val="000000" w:themeColor="text1"/>
        </w:rPr>
        <w:fldChar w:fldCharType="separate"/>
      </w:r>
      <w:r w:rsidRPr="00E22B39">
        <w:rPr>
          <w:noProof/>
          <w:color w:val="000000" w:themeColor="text1"/>
        </w:rPr>
        <w:t>12</w:t>
      </w:r>
      <w:r w:rsidRPr="00E22B39">
        <w:rPr>
          <w:noProof/>
          <w:color w:val="000000" w:themeColor="text1"/>
        </w:rPr>
        <w:fldChar w:fldCharType="end"/>
      </w:r>
    </w:p>
    <w:p w14:paraId="28CC1D1C" w14:textId="61DC0114"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Supplementary Table 1: Induction and maintenance treatment of RKD cohort (2)</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_Toc80281883 \h </w:instrText>
      </w:r>
      <w:r w:rsidRPr="00E22B39">
        <w:rPr>
          <w:noProof/>
          <w:color w:val="000000" w:themeColor="text1"/>
        </w:rPr>
      </w:r>
      <w:r w:rsidRPr="00E22B39">
        <w:rPr>
          <w:noProof/>
          <w:color w:val="000000" w:themeColor="text1"/>
        </w:rPr>
        <w:fldChar w:fldCharType="separate"/>
      </w:r>
      <w:r w:rsidRPr="00E22B39">
        <w:rPr>
          <w:noProof/>
          <w:color w:val="000000" w:themeColor="text1"/>
        </w:rPr>
        <w:t>12</w:t>
      </w:r>
      <w:r w:rsidRPr="00E22B39">
        <w:rPr>
          <w:noProof/>
          <w:color w:val="000000" w:themeColor="text1"/>
        </w:rPr>
        <w:fldChar w:fldCharType="end"/>
      </w:r>
    </w:p>
    <w:p w14:paraId="3985759E" w14:textId="02878D14"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rFonts w:cstheme="majorHAnsi"/>
          <w:noProof/>
          <w:color w:val="000000" w:themeColor="text1"/>
        </w:rPr>
        <w:t>Supplementary Table 2: Multi-level model investigating the factors associated with AAV relapse risk, stratified by AAV phenotype (sensitivity analysis)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_Toc80281884 \h </w:instrText>
      </w:r>
      <w:r w:rsidRPr="00E22B39">
        <w:rPr>
          <w:noProof/>
          <w:color w:val="000000" w:themeColor="text1"/>
        </w:rPr>
      </w:r>
      <w:r w:rsidRPr="00E22B39">
        <w:rPr>
          <w:noProof/>
          <w:color w:val="000000" w:themeColor="text1"/>
        </w:rPr>
        <w:fldChar w:fldCharType="separate"/>
      </w:r>
      <w:r w:rsidRPr="00E22B39">
        <w:rPr>
          <w:noProof/>
          <w:color w:val="000000" w:themeColor="text1"/>
        </w:rPr>
        <w:t>13</w:t>
      </w:r>
      <w:r w:rsidRPr="00E22B39">
        <w:rPr>
          <w:noProof/>
          <w:color w:val="000000" w:themeColor="text1"/>
        </w:rPr>
        <w:fldChar w:fldCharType="end"/>
      </w:r>
    </w:p>
    <w:p w14:paraId="4FFDFBF3" w14:textId="757AB2EE"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Supplementary Table 3: Multi-level model investigating the association between CW-D-UVB and the risk of AAV relapse (with treatment breakdown)</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_Toc80281885 \h </w:instrText>
      </w:r>
      <w:r w:rsidRPr="00E22B39">
        <w:rPr>
          <w:noProof/>
          <w:color w:val="000000" w:themeColor="text1"/>
        </w:rPr>
      </w:r>
      <w:r w:rsidRPr="00E22B39">
        <w:rPr>
          <w:noProof/>
          <w:color w:val="000000" w:themeColor="text1"/>
        </w:rPr>
        <w:fldChar w:fldCharType="separate"/>
      </w:r>
      <w:r w:rsidRPr="00E22B39">
        <w:rPr>
          <w:noProof/>
          <w:color w:val="000000" w:themeColor="text1"/>
        </w:rPr>
        <w:t>14</w:t>
      </w:r>
      <w:r w:rsidRPr="00E22B39">
        <w:rPr>
          <w:noProof/>
          <w:color w:val="000000" w:themeColor="text1"/>
        </w:rPr>
        <w:fldChar w:fldCharType="end"/>
      </w:r>
    </w:p>
    <w:p w14:paraId="5DB7730A" w14:textId="016DB2DA"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rFonts w:ascii="Calibri Light" w:hAnsi="Calibri Light" w:cs="Calibri Light"/>
          <w:noProof/>
          <w:color w:val="000000" w:themeColor="text1"/>
          <w:shd w:val="clear" w:color="auto" w:fill="FFFFFF"/>
        </w:rPr>
        <w:t>Supplementary Table 5</w:t>
      </w:r>
      <w:r w:rsidRPr="00E22B39">
        <w:rPr>
          <w:rFonts w:ascii="Calibri Light" w:hAnsi="Calibri Light" w:cs="Calibri Light"/>
          <w:i/>
          <w:iCs/>
          <w:noProof/>
          <w:color w:val="000000" w:themeColor="text1"/>
          <w:shd w:val="clear" w:color="auto" w:fill="FFFFFF"/>
        </w:rPr>
        <w:t>:  </w:t>
      </w:r>
      <w:r w:rsidRPr="00E22B39">
        <w:rPr>
          <w:rFonts w:ascii="Calibri Light" w:hAnsi="Calibri Light" w:cs="Calibri Light"/>
          <w:noProof/>
          <w:color w:val="000000" w:themeColor="text1"/>
          <w:shd w:val="clear" w:color="auto" w:fill="FFFFFF"/>
        </w:rPr>
        <w:t xml:space="preserve">Uni- and multivariable logistic regression analysis </w:t>
      </w:r>
      <w:r w:rsidRPr="00E22B39">
        <w:rPr>
          <w:noProof/>
          <w:color w:val="000000" w:themeColor="text1"/>
        </w:rPr>
        <w:t>of factors associated with AAV phenotype in the combined UKIVAS and RKD cohort, restricted to White participants (sensitivity analysis)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_Toc80281886 \h </w:instrText>
      </w:r>
      <w:r w:rsidRPr="00E22B39">
        <w:rPr>
          <w:noProof/>
          <w:color w:val="000000" w:themeColor="text1"/>
        </w:rPr>
      </w:r>
      <w:r w:rsidRPr="00E22B39">
        <w:rPr>
          <w:noProof/>
          <w:color w:val="000000" w:themeColor="text1"/>
        </w:rPr>
        <w:fldChar w:fldCharType="separate"/>
      </w:r>
      <w:r w:rsidRPr="00E22B39">
        <w:rPr>
          <w:noProof/>
          <w:color w:val="000000" w:themeColor="text1"/>
        </w:rPr>
        <w:t>17</w:t>
      </w:r>
      <w:r w:rsidRPr="00E22B39">
        <w:rPr>
          <w:noProof/>
          <w:color w:val="000000" w:themeColor="text1"/>
        </w:rPr>
        <w:fldChar w:fldCharType="end"/>
      </w:r>
    </w:p>
    <w:p w14:paraId="61C537B3" w14:textId="3F98CAFD" w:rsidR="00E22B39" w:rsidRPr="00E22B39" w:rsidRDefault="00E22B39">
      <w:pPr>
        <w:pStyle w:val="TOC1"/>
        <w:tabs>
          <w:tab w:val="right" w:leader="dot" w:pos="13950"/>
        </w:tabs>
        <w:rPr>
          <w:rFonts w:eastAsiaTheme="minorEastAsia" w:cstheme="minorBidi"/>
          <w:b w:val="0"/>
          <w:bCs w:val="0"/>
          <w:caps w:val="0"/>
          <w:noProof/>
          <w:color w:val="000000" w:themeColor="text1"/>
          <w:sz w:val="24"/>
          <w:szCs w:val="24"/>
          <w:lang w:eastAsia="en-GB"/>
        </w:rPr>
      </w:pPr>
      <w:r w:rsidRPr="00E22B39">
        <w:rPr>
          <w:noProof/>
          <w:color w:val="000000" w:themeColor="text1"/>
        </w:rPr>
        <w:t>Supplementary Methods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_Toc80281887 \h </w:instrText>
      </w:r>
      <w:r w:rsidRPr="00E22B39">
        <w:rPr>
          <w:noProof/>
          <w:color w:val="000000" w:themeColor="text1"/>
        </w:rPr>
      </w:r>
      <w:r w:rsidRPr="00E22B39">
        <w:rPr>
          <w:noProof/>
          <w:color w:val="000000" w:themeColor="text1"/>
        </w:rPr>
        <w:fldChar w:fldCharType="separate"/>
      </w:r>
      <w:r w:rsidRPr="00E22B39">
        <w:rPr>
          <w:noProof/>
          <w:color w:val="000000" w:themeColor="text1"/>
        </w:rPr>
        <w:t>18</w:t>
      </w:r>
      <w:r w:rsidRPr="00E22B39">
        <w:rPr>
          <w:noProof/>
          <w:color w:val="000000" w:themeColor="text1"/>
        </w:rPr>
        <w:fldChar w:fldCharType="end"/>
      </w:r>
    </w:p>
    <w:p w14:paraId="65F6AB89" w14:textId="0B6D2754"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Ultraviolet B (UVB) data resource: TEMIS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_Toc80281888 \h </w:instrText>
      </w:r>
      <w:r w:rsidRPr="00E22B39">
        <w:rPr>
          <w:noProof/>
          <w:color w:val="000000" w:themeColor="text1"/>
        </w:rPr>
      </w:r>
      <w:r w:rsidRPr="00E22B39">
        <w:rPr>
          <w:noProof/>
          <w:color w:val="000000" w:themeColor="text1"/>
        </w:rPr>
        <w:fldChar w:fldCharType="separate"/>
      </w:r>
      <w:r w:rsidRPr="00E22B39">
        <w:rPr>
          <w:noProof/>
          <w:color w:val="000000" w:themeColor="text1"/>
        </w:rPr>
        <w:t>18</w:t>
      </w:r>
      <w:r w:rsidRPr="00E22B39">
        <w:rPr>
          <w:noProof/>
          <w:color w:val="000000" w:themeColor="text1"/>
        </w:rPr>
        <w:fldChar w:fldCharType="end"/>
      </w:r>
    </w:p>
    <w:p w14:paraId="431F9AFC" w14:textId="1F077EB6"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Cumulative-weighted UVB dose (CW-D-UVB)</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_Toc80281889 \h </w:instrText>
      </w:r>
      <w:r w:rsidRPr="00E22B39">
        <w:rPr>
          <w:noProof/>
          <w:color w:val="000000" w:themeColor="text1"/>
        </w:rPr>
      </w:r>
      <w:r w:rsidRPr="00E22B39">
        <w:rPr>
          <w:noProof/>
          <w:color w:val="000000" w:themeColor="text1"/>
        </w:rPr>
        <w:fldChar w:fldCharType="separate"/>
      </w:r>
      <w:r w:rsidRPr="00E22B39">
        <w:rPr>
          <w:noProof/>
          <w:color w:val="000000" w:themeColor="text1"/>
        </w:rPr>
        <w:t>18</w:t>
      </w:r>
      <w:r w:rsidRPr="00E22B39">
        <w:rPr>
          <w:noProof/>
          <w:color w:val="000000" w:themeColor="text1"/>
        </w:rPr>
        <w:fldChar w:fldCharType="end"/>
      </w:r>
    </w:p>
    <w:p w14:paraId="2E8984D3" w14:textId="1F370F2A"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Study design: AAV relapse</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_Toc80281890 \h </w:instrText>
      </w:r>
      <w:r w:rsidRPr="00E22B39">
        <w:rPr>
          <w:noProof/>
          <w:color w:val="000000" w:themeColor="text1"/>
        </w:rPr>
      </w:r>
      <w:r w:rsidRPr="00E22B39">
        <w:rPr>
          <w:noProof/>
          <w:color w:val="000000" w:themeColor="text1"/>
        </w:rPr>
        <w:fldChar w:fldCharType="separate"/>
      </w:r>
      <w:r w:rsidRPr="00E22B39">
        <w:rPr>
          <w:noProof/>
          <w:color w:val="000000" w:themeColor="text1"/>
        </w:rPr>
        <w:t>19</w:t>
      </w:r>
      <w:r w:rsidRPr="00E22B39">
        <w:rPr>
          <w:noProof/>
          <w:color w:val="000000" w:themeColor="text1"/>
        </w:rPr>
        <w:fldChar w:fldCharType="end"/>
      </w:r>
    </w:p>
    <w:p w14:paraId="6CB94CDF" w14:textId="48D9BB91"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Study Design: AAV diagnosis: 77-day prodrome between date of symptom onset and diagnosis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_Toc80281891 \h </w:instrText>
      </w:r>
      <w:r w:rsidRPr="00E22B39">
        <w:rPr>
          <w:noProof/>
          <w:color w:val="000000" w:themeColor="text1"/>
        </w:rPr>
      </w:r>
      <w:r w:rsidRPr="00E22B39">
        <w:rPr>
          <w:noProof/>
          <w:color w:val="000000" w:themeColor="text1"/>
        </w:rPr>
        <w:fldChar w:fldCharType="separate"/>
      </w:r>
      <w:r w:rsidRPr="00E22B39">
        <w:rPr>
          <w:noProof/>
          <w:color w:val="000000" w:themeColor="text1"/>
        </w:rPr>
        <w:t>19</w:t>
      </w:r>
      <w:r w:rsidRPr="00E22B39">
        <w:rPr>
          <w:noProof/>
          <w:color w:val="000000" w:themeColor="text1"/>
        </w:rPr>
        <w:fldChar w:fldCharType="end"/>
      </w:r>
    </w:p>
    <w:p w14:paraId="1BC6E606" w14:textId="27E6CCDB"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Patient and public involvement</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_Toc80281892 \h </w:instrText>
      </w:r>
      <w:r w:rsidRPr="00E22B39">
        <w:rPr>
          <w:noProof/>
          <w:color w:val="000000" w:themeColor="text1"/>
        </w:rPr>
      </w:r>
      <w:r w:rsidRPr="00E22B39">
        <w:rPr>
          <w:noProof/>
          <w:color w:val="000000" w:themeColor="text1"/>
        </w:rPr>
        <w:fldChar w:fldCharType="separate"/>
      </w:r>
      <w:r w:rsidRPr="00E22B39">
        <w:rPr>
          <w:noProof/>
          <w:color w:val="000000" w:themeColor="text1"/>
        </w:rPr>
        <w:t>19</w:t>
      </w:r>
      <w:r w:rsidRPr="00E22B39">
        <w:rPr>
          <w:noProof/>
          <w:color w:val="000000" w:themeColor="text1"/>
        </w:rPr>
        <w:fldChar w:fldCharType="end"/>
      </w:r>
    </w:p>
    <w:p w14:paraId="387333F2" w14:textId="029FC3A0"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lastRenderedPageBreak/>
        <w:t>Statistical analysis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_Toc80281893 \h </w:instrText>
      </w:r>
      <w:r w:rsidRPr="00E22B39">
        <w:rPr>
          <w:noProof/>
          <w:color w:val="000000" w:themeColor="text1"/>
        </w:rPr>
      </w:r>
      <w:r w:rsidRPr="00E22B39">
        <w:rPr>
          <w:noProof/>
          <w:color w:val="000000" w:themeColor="text1"/>
        </w:rPr>
        <w:fldChar w:fldCharType="separate"/>
      </w:r>
      <w:r w:rsidRPr="00E22B39">
        <w:rPr>
          <w:noProof/>
          <w:color w:val="000000" w:themeColor="text1"/>
        </w:rPr>
        <w:t>19</w:t>
      </w:r>
      <w:r w:rsidRPr="00E22B39">
        <w:rPr>
          <w:noProof/>
          <w:color w:val="000000" w:themeColor="text1"/>
        </w:rPr>
        <w:fldChar w:fldCharType="end"/>
      </w:r>
    </w:p>
    <w:p w14:paraId="369C947F" w14:textId="50106E1B" w:rsidR="00E22B39" w:rsidRPr="00E22B39" w:rsidRDefault="00E22B39">
      <w:pPr>
        <w:pStyle w:val="TOC2"/>
        <w:tabs>
          <w:tab w:val="right" w:leader="dot" w:pos="13950"/>
        </w:tabs>
        <w:rPr>
          <w:rFonts w:eastAsiaTheme="minorEastAsia" w:cstheme="minorBidi"/>
          <w:smallCaps w:val="0"/>
          <w:noProof/>
          <w:color w:val="000000" w:themeColor="text1"/>
          <w:sz w:val="24"/>
          <w:szCs w:val="24"/>
          <w:lang w:eastAsia="en-GB"/>
        </w:rPr>
      </w:pPr>
      <w:r w:rsidRPr="00E22B39">
        <w:rPr>
          <w:noProof/>
          <w:color w:val="000000" w:themeColor="text1"/>
        </w:rPr>
        <w:t>Additional References</w:t>
      </w:r>
      <w:r w:rsidRPr="00E22B39">
        <w:rPr>
          <w:noProof/>
          <w:color w:val="000000" w:themeColor="text1"/>
        </w:rPr>
        <w:tab/>
      </w:r>
      <w:r w:rsidRPr="00E22B39">
        <w:rPr>
          <w:noProof/>
          <w:color w:val="000000" w:themeColor="text1"/>
        </w:rPr>
        <w:fldChar w:fldCharType="begin"/>
      </w:r>
      <w:r w:rsidRPr="00E22B39">
        <w:rPr>
          <w:noProof/>
          <w:color w:val="000000" w:themeColor="text1"/>
        </w:rPr>
        <w:instrText xml:space="preserve"> PAGEREF _Toc80281894 \h </w:instrText>
      </w:r>
      <w:r w:rsidRPr="00E22B39">
        <w:rPr>
          <w:noProof/>
          <w:color w:val="000000" w:themeColor="text1"/>
        </w:rPr>
      </w:r>
      <w:r w:rsidRPr="00E22B39">
        <w:rPr>
          <w:noProof/>
          <w:color w:val="000000" w:themeColor="text1"/>
        </w:rPr>
        <w:fldChar w:fldCharType="separate"/>
      </w:r>
      <w:r w:rsidRPr="00E22B39">
        <w:rPr>
          <w:noProof/>
          <w:color w:val="000000" w:themeColor="text1"/>
        </w:rPr>
        <w:t>20</w:t>
      </w:r>
      <w:r w:rsidRPr="00E22B39">
        <w:rPr>
          <w:noProof/>
          <w:color w:val="000000" w:themeColor="text1"/>
        </w:rPr>
        <w:fldChar w:fldCharType="end"/>
      </w:r>
    </w:p>
    <w:p w14:paraId="7D52BD1F" w14:textId="2FF98DDA" w:rsidR="00DF1374" w:rsidRPr="00E06D68" w:rsidRDefault="004A48F1" w:rsidP="00517FEA">
      <w:pPr>
        <w:rPr>
          <w:color w:val="000000" w:themeColor="text1"/>
        </w:rPr>
      </w:pPr>
      <w:r w:rsidRPr="00E22B39">
        <w:rPr>
          <w:color w:val="000000" w:themeColor="text1"/>
        </w:rPr>
        <w:fldChar w:fldCharType="end"/>
      </w:r>
    </w:p>
    <w:p w14:paraId="11D2229C" w14:textId="77777777" w:rsidR="00B04E50" w:rsidRPr="002F0F93" w:rsidRDefault="00B04E50">
      <w:pPr>
        <w:rPr>
          <w:rFonts w:asciiTheme="majorHAnsi" w:eastAsiaTheme="majorEastAsia" w:hAnsiTheme="majorHAnsi" w:cstheme="majorBidi"/>
          <w:color w:val="000000" w:themeColor="text1"/>
          <w:sz w:val="32"/>
          <w:szCs w:val="32"/>
        </w:rPr>
      </w:pPr>
      <w:bookmarkStart w:id="1" w:name="_Toc77595467"/>
      <w:bookmarkStart w:id="2" w:name="_Toc77595716"/>
      <w:r w:rsidRPr="002F0F93">
        <w:rPr>
          <w:color w:val="000000" w:themeColor="text1"/>
        </w:rPr>
        <w:br w:type="page"/>
      </w:r>
    </w:p>
    <w:p w14:paraId="51416D75" w14:textId="3D7B8404" w:rsidR="0046488A" w:rsidRDefault="004619DE" w:rsidP="004619DE">
      <w:pPr>
        <w:pStyle w:val="Heading1"/>
      </w:pPr>
      <w:bookmarkStart w:id="3" w:name="_Toc80281871"/>
      <w:r>
        <w:lastRenderedPageBreak/>
        <w:t>Supplementary Figures</w:t>
      </w:r>
      <w:bookmarkEnd w:id="1"/>
      <w:bookmarkEnd w:id="2"/>
      <w:bookmarkEnd w:id="3"/>
    </w:p>
    <w:p w14:paraId="2EE9C5A0" w14:textId="34F0A6C4" w:rsidR="00592F07" w:rsidRDefault="0047329E" w:rsidP="00592F07">
      <w:pPr>
        <w:pStyle w:val="Heading2"/>
      </w:pPr>
      <w:bookmarkStart w:id="4" w:name="_Toc77595249"/>
      <w:bookmarkStart w:id="5" w:name="_Toc77595468"/>
      <w:bookmarkStart w:id="6" w:name="_Toc77595717"/>
      <w:bookmarkStart w:id="7" w:name="_Toc80281872"/>
      <w:r>
        <w:t>Supplementary</w:t>
      </w:r>
      <w:r w:rsidR="00592F07">
        <w:t xml:space="preserve"> Figure 1: Flowchart of participant selection for the UKIVAS cohort (1)</w:t>
      </w:r>
      <w:bookmarkEnd w:id="4"/>
      <w:bookmarkEnd w:id="5"/>
      <w:bookmarkEnd w:id="6"/>
      <w:bookmarkEnd w:id="7"/>
    </w:p>
    <w:p w14:paraId="0F3A7A62" w14:textId="5175B886" w:rsidR="00DF1A30" w:rsidRDefault="00DF1A30" w:rsidP="00DF1A30"/>
    <w:p w14:paraId="2C34CBFD" w14:textId="1686E7BF" w:rsidR="00DF1A30" w:rsidRPr="00DF1A30" w:rsidRDefault="00520A21" w:rsidP="00DF1A30">
      <w:r>
        <w:rPr>
          <w:noProof/>
        </w:rPr>
        <w:drawing>
          <wp:inline distT="0" distB="0" distL="0" distR="0" wp14:anchorId="5075394B" wp14:editId="6215C65F">
            <wp:extent cx="8864600" cy="33859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extLst>
                        <a:ext uri="{28A0092B-C50C-407E-A947-70E740481C1C}">
                          <a14:useLocalDpi xmlns:a14="http://schemas.microsoft.com/office/drawing/2010/main" val="0"/>
                        </a:ext>
                      </a:extLst>
                    </a:blip>
                    <a:srcRect b="33645"/>
                    <a:stretch/>
                  </pic:blipFill>
                  <pic:spPr bwMode="auto">
                    <a:xfrm>
                      <a:off x="0" y="0"/>
                      <a:ext cx="8864600" cy="3385996"/>
                    </a:xfrm>
                    <a:prstGeom prst="rect">
                      <a:avLst/>
                    </a:prstGeom>
                    <a:ln>
                      <a:noFill/>
                    </a:ln>
                    <a:extLst>
                      <a:ext uri="{53640926-AAD7-44D8-BBD7-CCE9431645EC}">
                        <a14:shadowObscured xmlns:a14="http://schemas.microsoft.com/office/drawing/2010/main"/>
                      </a:ext>
                    </a:extLst>
                  </pic:spPr>
                </pic:pic>
              </a:graphicData>
            </a:graphic>
          </wp:inline>
        </w:drawing>
      </w:r>
    </w:p>
    <w:p w14:paraId="594F67A9" w14:textId="77777777" w:rsidR="00592F07" w:rsidRDefault="00592F07" w:rsidP="00592F07"/>
    <w:p w14:paraId="5648A4BF" w14:textId="551967A3" w:rsidR="00592F07" w:rsidRPr="0087108B" w:rsidRDefault="00592F07" w:rsidP="00592F07"/>
    <w:p w14:paraId="34C6F370" w14:textId="77777777" w:rsidR="00C535BC" w:rsidRDefault="00C535BC" w:rsidP="00B6281A">
      <w:pPr>
        <w:pStyle w:val="Heading2"/>
      </w:pPr>
    </w:p>
    <w:p w14:paraId="0B02A3FE" w14:textId="77777777" w:rsidR="008425D7" w:rsidRDefault="008425D7">
      <w:pPr>
        <w:rPr>
          <w:rFonts w:asciiTheme="majorHAnsi" w:eastAsiaTheme="majorEastAsia" w:hAnsiTheme="majorHAnsi" w:cstheme="majorBidi"/>
          <w:color w:val="2F5496" w:themeColor="accent1" w:themeShade="BF"/>
          <w:sz w:val="26"/>
          <w:szCs w:val="26"/>
        </w:rPr>
      </w:pPr>
      <w:bookmarkStart w:id="8" w:name="_Toc77595250"/>
      <w:bookmarkStart w:id="9" w:name="_Toc77595469"/>
      <w:bookmarkStart w:id="10" w:name="_Toc77595718"/>
      <w:r>
        <w:br w:type="page"/>
      </w:r>
    </w:p>
    <w:p w14:paraId="5F058027" w14:textId="223900A8" w:rsidR="00B6281A" w:rsidRDefault="0047329E" w:rsidP="00B6281A">
      <w:pPr>
        <w:pStyle w:val="Heading2"/>
      </w:pPr>
      <w:bookmarkStart w:id="11" w:name="_Toc80281873"/>
      <w:r>
        <w:lastRenderedPageBreak/>
        <w:t>Supplementary</w:t>
      </w:r>
      <w:r w:rsidR="00B6281A">
        <w:t xml:space="preserve"> Figure 2: Flowchart of participant selection for the RKD cohort (2)</w:t>
      </w:r>
      <w:bookmarkEnd w:id="8"/>
      <w:bookmarkEnd w:id="9"/>
      <w:bookmarkEnd w:id="10"/>
      <w:bookmarkEnd w:id="11"/>
    </w:p>
    <w:p w14:paraId="7FDAFB67" w14:textId="4D6E5631" w:rsidR="00141804" w:rsidRDefault="00141804" w:rsidP="00141804"/>
    <w:p w14:paraId="1CED7757" w14:textId="7F9F9B0F" w:rsidR="00141804" w:rsidRPr="00141804" w:rsidRDefault="002E4222" w:rsidP="00141804">
      <w:r>
        <w:rPr>
          <w:noProof/>
        </w:rPr>
        <w:drawing>
          <wp:inline distT="0" distB="0" distL="0" distR="0" wp14:anchorId="290C946C" wp14:editId="3E374D0E">
            <wp:extent cx="8864600" cy="26979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8">
                      <a:extLst>
                        <a:ext uri="{28A0092B-C50C-407E-A947-70E740481C1C}">
                          <a14:useLocalDpi xmlns:a14="http://schemas.microsoft.com/office/drawing/2010/main" val="0"/>
                        </a:ext>
                      </a:extLst>
                    </a:blip>
                    <a:srcRect b="47129"/>
                    <a:stretch/>
                  </pic:blipFill>
                  <pic:spPr bwMode="auto">
                    <a:xfrm>
                      <a:off x="0" y="0"/>
                      <a:ext cx="8864600" cy="2697933"/>
                    </a:xfrm>
                    <a:prstGeom prst="rect">
                      <a:avLst/>
                    </a:prstGeom>
                    <a:ln>
                      <a:noFill/>
                    </a:ln>
                    <a:extLst>
                      <a:ext uri="{53640926-AAD7-44D8-BBD7-CCE9431645EC}">
                        <a14:shadowObscured xmlns:a14="http://schemas.microsoft.com/office/drawing/2010/main"/>
                      </a:ext>
                    </a:extLst>
                  </pic:spPr>
                </pic:pic>
              </a:graphicData>
            </a:graphic>
          </wp:inline>
        </w:drawing>
      </w:r>
    </w:p>
    <w:p w14:paraId="711251C6" w14:textId="26576E4A" w:rsidR="00B6281A" w:rsidRDefault="00B6281A" w:rsidP="00B6281A"/>
    <w:p w14:paraId="032ED14C" w14:textId="57D84145" w:rsidR="007C229A" w:rsidRDefault="007C229A" w:rsidP="00B6281A"/>
    <w:p w14:paraId="66D81190" w14:textId="0968A83D" w:rsidR="00B6281A" w:rsidRDefault="00B6281A" w:rsidP="00B6281A">
      <w:pPr>
        <w:pStyle w:val="Heading2"/>
      </w:pPr>
    </w:p>
    <w:p w14:paraId="2CF82047" w14:textId="77777777" w:rsidR="00283C9F" w:rsidRDefault="00283C9F">
      <w:pPr>
        <w:rPr>
          <w:rFonts w:asciiTheme="majorHAnsi" w:eastAsiaTheme="majorEastAsia" w:hAnsiTheme="majorHAnsi" w:cstheme="majorBidi"/>
          <w:color w:val="2F5496" w:themeColor="accent1" w:themeShade="BF"/>
          <w:sz w:val="26"/>
          <w:szCs w:val="26"/>
        </w:rPr>
      </w:pPr>
      <w:r>
        <w:br w:type="page"/>
      </w:r>
    </w:p>
    <w:p w14:paraId="1765B17B" w14:textId="60C8D2BE" w:rsidR="00D210DB" w:rsidRDefault="00D210DB" w:rsidP="00D210DB">
      <w:pPr>
        <w:pStyle w:val="Heading2"/>
      </w:pPr>
      <w:bookmarkStart w:id="12" w:name="_Toc77595251"/>
      <w:bookmarkStart w:id="13" w:name="_Toc77595470"/>
      <w:bookmarkStart w:id="14" w:name="_Toc77595719"/>
      <w:bookmarkStart w:id="15" w:name="_Toc80281874"/>
      <w:r>
        <w:lastRenderedPageBreak/>
        <w:t>Supplement</w:t>
      </w:r>
      <w:r w:rsidR="00283C9F">
        <w:t>ary</w:t>
      </w:r>
      <w:r>
        <w:t xml:space="preserve"> Figure 3: Participant locations at diagnosis for i). UKIVAS and ii). RKD</w:t>
      </w:r>
      <w:r w:rsidR="00284E95" w:rsidRPr="00284E95">
        <w:t xml:space="preserve"> </w:t>
      </w:r>
      <w:r w:rsidR="00284E95">
        <w:t>cohort</w:t>
      </w:r>
      <w:bookmarkEnd w:id="12"/>
      <w:bookmarkEnd w:id="13"/>
      <w:bookmarkEnd w:id="14"/>
      <w:bookmarkEnd w:id="15"/>
    </w:p>
    <w:p w14:paraId="30BC102C" w14:textId="39C525E0" w:rsidR="007C229A" w:rsidRDefault="007C229A" w:rsidP="007C229A"/>
    <w:p w14:paraId="5B4ADD90" w14:textId="6E18EF5B" w:rsidR="007C229A" w:rsidRPr="007C229A" w:rsidRDefault="00166A20" w:rsidP="007C229A">
      <w:r>
        <w:rPr>
          <w:noProof/>
        </w:rPr>
        <w:drawing>
          <wp:inline distT="0" distB="0" distL="0" distR="0" wp14:anchorId="4DA35AB0" wp14:editId="1E300A8F">
            <wp:extent cx="7134131" cy="498665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a:extLst>
                        <a:ext uri="{28A0092B-C50C-407E-A947-70E740481C1C}">
                          <a14:useLocalDpi xmlns:a14="http://schemas.microsoft.com/office/drawing/2010/main" val="0"/>
                        </a:ext>
                      </a:extLst>
                    </a:blip>
                    <a:srcRect r="19521"/>
                    <a:stretch/>
                  </pic:blipFill>
                  <pic:spPr bwMode="auto">
                    <a:xfrm>
                      <a:off x="0" y="0"/>
                      <a:ext cx="7134131" cy="4986655"/>
                    </a:xfrm>
                    <a:prstGeom prst="rect">
                      <a:avLst/>
                    </a:prstGeom>
                    <a:ln>
                      <a:noFill/>
                    </a:ln>
                    <a:extLst>
                      <a:ext uri="{53640926-AAD7-44D8-BBD7-CCE9431645EC}">
                        <a14:shadowObscured xmlns:a14="http://schemas.microsoft.com/office/drawing/2010/main"/>
                      </a:ext>
                    </a:extLst>
                  </pic:spPr>
                </pic:pic>
              </a:graphicData>
            </a:graphic>
          </wp:inline>
        </w:drawing>
      </w:r>
    </w:p>
    <w:p w14:paraId="0A26AC3D" w14:textId="6FC5F124" w:rsidR="00B6281A" w:rsidRDefault="00D210DB" w:rsidP="00D210DB">
      <w:pPr>
        <w:rPr>
          <w:sz w:val="20"/>
          <w:szCs w:val="20"/>
        </w:rPr>
      </w:pPr>
      <w:r w:rsidRPr="0B8DBBA7">
        <w:rPr>
          <w:sz w:val="20"/>
          <w:szCs w:val="20"/>
        </w:rPr>
        <w:t xml:space="preserve">Shading represents the absolute number of participants </w:t>
      </w:r>
      <w:r>
        <w:rPr>
          <w:sz w:val="20"/>
          <w:szCs w:val="20"/>
        </w:rPr>
        <w:t xml:space="preserve">recruited to the study </w:t>
      </w:r>
      <w:r w:rsidRPr="0B8DBBA7">
        <w:rPr>
          <w:sz w:val="20"/>
          <w:szCs w:val="20"/>
        </w:rPr>
        <w:t>in that region</w:t>
      </w:r>
      <w:r>
        <w:rPr>
          <w:sz w:val="20"/>
          <w:szCs w:val="20"/>
        </w:rPr>
        <w:t>,</w:t>
      </w:r>
      <w:r w:rsidRPr="0B8DBBA7">
        <w:rPr>
          <w:sz w:val="20"/>
          <w:szCs w:val="20"/>
        </w:rPr>
        <w:t xml:space="preserve"> at the time of their diagnosis</w:t>
      </w:r>
      <w:r>
        <w:rPr>
          <w:sz w:val="20"/>
          <w:szCs w:val="20"/>
        </w:rPr>
        <w:t xml:space="preserve">. </w:t>
      </w:r>
      <w:r>
        <w:rPr>
          <w:sz w:val="20"/>
          <w:szCs w:val="20"/>
        </w:rPr>
        <w:br/>
        <w:t xml:space="preserve">Tendency to cluster around vasculitis </w:t>
      </w:r>
      <w:r w:rsidRPr="002F6CE9">
        <w:rPr>
          <w:sz w:val="20"/>
          <w:szCs w:val="20"/>
        </w:rPr>
        <w:t>referral</w:t>
      </w:r>
      <w:r>
        <w:rPr>
          <w:sz w:val="20"/>
          <w:szCs w:val="20"/>
        </w:rPr>
        <w:t xml:space="preserve"> centres is observed.        </w:t>
      </w:r>
    </w:p>
    <w:p w14:paraId="1DD4346D" w14:textId="77777777" w:rsidR="00F938E7" w:rsidRDefault="00F938E7" w:rsidP="00BC2F47">
      <w:pPr>
        <w:pStyle w:val="Heading2"/>
        <w:sectPr w:rsidR="00F938E7" w:rsidSect="00633CDC">
          <w:pgSz w:w="16840" w:h="11900" w:orient="landscape"/>
          <w:pgMar w:top="1440" w:right="1440" w:bottom="1440" w:left="1440" w:header="708" w:footer="708" w:gutter="0"/>
          <w:cols w:space="708"/>
          <w:docGrid w:linePitch="360"/>
        </w:sectPr>
      </w:pPr>
    </w:p>
    <w:p w14:paraId="5026A954" w14:textId="262A9213" w:rsidR="004F1F39" w:rsidRDefault="004F1F39" w:rsidP="004F1F39">
      <w:pPr>
        <w:pStyle w:val="Heading2"/>
      </w:pPr>
      <w:bookmarkStart w:id="16" w:name="_Toc77595253"/>
      <w:bookmarkStart w:id="17" w:name="_Toc77595472"/>
      <w:bookmarkStart w:id="18" w:name="_Toc77595721"/>
      <w:bookmarkStart w:id="19" w:name="_Toc80281875"/>
      <w:bookmarkStart w:id="20" w:name="_Toc77595252"/>
      <w:bookmarkStart w:id="21" w:name="_Toc77595471"/>
      <w:bookmarkStart w:id="22" w:name="_Toc77595720"/>
      <w:r>
        <w:rPr>
          <w:rFonts w:ascii="Calibri Light" w:hAnsi="Calibri Light" w:cs="Calibri Light"/>
          <w:color w:val="2F5496"/>
          <w:shd w:val="clear" w:color="auto" w:fill="FFFFFF"/>
        </w:rPr>
        <w:lastRenderedPageBreak/>
        <w:t xml:space="preserve">Supplementary Figure 4: Distribution of vitD-UVB (kJ/m2) (a and b) and </w:t>
      </w:r>
      <w:r>
        <w:t>CW-D-UVB (kJ/m2) (c and d) by month and season: CW-D-UVB peaks in late summer and nadirs in winter.</w:t>
      </w:r>
      <w:bookmarkEnd w:id="16"/>
      <w:bookmarkEnd w:id="17"/>
      <w:bookmarkEnd w:id="18"/>
      <w:bookmarkEnd w:id="19"/>
    </w:p>
    <w:p w14:paraId="763AD38E" w14:textId="1467432D" w:rsidR="004F1F39" w:rsidRPr="00AA3C33" w:rsidRDefault="0047248E" w:rsidP="004F1F39">
      <w:pPr>
        <w:rPr>
          <w:rFonts w:ascii="Times New Roman" w:eastAsia="Times New Roman" w:hAnsi="Times New Roman" w:cs="Times New Roman"/>
        </w:rPr>
        <w:sectPr w:rsidR="004F1F39" w:rsidRPr="00AA3C33" w:rsidSect="00633CDC">
          <w:pgSz w:w="11900" w:h="16840"/>
          <w:pgMar w:top="1440" w:right="1440" w:bottom="1440" w:left="1440" w:header="708" w:footer="708" w:gutter="0"/>
          <w:cols w:space="708"/>
          <w:docGrid w:linePitch="360"/>
        </w:sectPr>
      </w:pPr>
      <w:r>
        <w:rPr>
          <w:noProof/>
        </w:rPr>
        <w:drawing>
          <wp:inline distT="0" distB="0" distL="0" distR="0" wp14:anchorId="5888D69C" wp14:editId="00F81851">
            <wp:extent cx="5567881" cy="82046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0">
                      <a:extLst>
                        <a:ext uri="{28A0092B-C50C-407E-A947-70E740481C1C}">
                          <a14:useLocalDpi xmlns:a14="http://schemas.microsoft.com/office/drawing/2010/main" val="0"/>
                        </a:ext>
                      </a:extLst>
                    </a:blip>
                    <a:srcRect r="49103"/>
                    <a:stretch/>
                  </pic:blipFill>
                  <pic:spPr bwMode="auto">
                    <a:xfrm>
                      <a:off x="0" y="0"/>
                      <a:ext cx="5578717" cy="8220630"/>
                    </a:xfrm>
                    <a:prstGeom prst="rect">
                      <a:avLst/>
                    </a:prstGeom>
                    <a:ln>
                      <a:noFill/>
                    </a:ln>
                    <a:extLst>
                      <a:ext uri="{53640926-AAD7-44D8-BBD7-CCE9431645EC}">
                        <a14:shadowObscured xmlns:a14="http://schemas.microsoft.com/office/drawing/2010/main"/>
                      </a:ext>
                    </a:extLst>
                  </pic:spPr>
                </pic:pic>
              </a:graphicData>
            </a:graphic>
          </wp:inline>
        </w:drawing>
      </w:r>
      <w:r w:rsidR="004F1F39">
        <w:br w:type="page"/>
      </w:r>
    </w:p>
    <w:p w14:paraId="20DD52ED" w14:textId="6F0DFDD0" w:rsidR="00BC2F47" w:rsidRDefault="00B1237E" w:rsidP="00BC2F47">
      <w:pPr>
        <w:pStyle w:val="Heading2"/>
      </w:pPr>
      <w:bookmarkStart w:id="23" w:name="_Toc80281876"/>
      <w:r>
        <w:lastRenderedPageBreak/>
        <w:t xml:space="preserve">Supplementary Figure </w:t>
      </w:r>
      <w:r w:rsidR="004F1F39">
        <w:t>5</w:t>
      </w:r>
      <w:r>
        <w:t xml:space="preserve">: </w:t>
      </w:r>
      <w:r w:rsidR="00BC2F47">
        <w:t>The relationship between latitude (degrees) and a). annual daily average vitD-UVB (kJ/m2, Pearson correlation coefficient (</w:t>
      </w:r>
      <w:proofErr w:type="spellStart"/>
      <w:r w:rsidR="00BC2F47">
        <w:t>corr</w:t>
      </w:r>
      <w:proofErr w:type="spellEnd"/>
      <w:r w:rsidR="00BC2F47">
        <w:t xml:space="preserve">) -0.98, </w:t>
      </w:r>
      <w:r w:rsidR="00BC2F47">
        <w:rPr>
          <w:i/>
          <w:iCs/>
        </w:rPr>
        <w:t>p</w:t>
      </w:r>
      <w:r w:rsidR="00BC2F47">
        <w:t xml:space="preserve"> &lt;0.001), b). annual daily average CW-D-UVB (kJ/m2, </w:t>
      </w:r>
      <w:proofErr w:type="spellStart"/>
      <w:r w:rsidR="00BC2F47">
        <w:t>corr</w:t>
      </w:r>
      <w:proofErr w:type="spellEnd"/>
      <w:r w:rsidR="00BC2F47">
        <w:t xml:space="preserve"> -0.96, </w:t>
      </w:r>
      <w:r w:rsidR="00BC2F47">
        <w:rPr>
          <w:i/>
          <w:iCs/>
        </w:rPr>
        <w:t>p</w:t>
      </w:r>
      <w:r w:rsidR="00BC2F47">
        <w:t xml:space="preserve"> &lt;0.001)</w:t>
      </w:r>
      <w:r w:rsidR="003E77AA">
        <w:t>.</w:t>
      </w:r>
      <w:r w:rsidR="00BC2F47">
        <w:t xml:space="preserve"> </w:t>
      </w:r>
      <w:r w:rsidR="003E77AA">
        <w:t xml:space="preserve">CW-D-UVB at diagnosis c). </w:t>
      </w:r>
      <w:r w:rsidR="00BC2F47">
        <w:t xml:space="preserve">not adjusted for season (kJ/m2, </w:t>
      </w:r>
      <w:proofErr w:type="spellStart"/>
      <w:r w:rsidR="00BC2F47">
        <w:t>corr</w:t>
      </w:r>
      <w:proofErr w:type="spellEnd"/>
      <w:r w:rsidR="00BC2F47">
        <w:t xml:space="preserve"> -0.12, </w:t>
      </w:r>
      <w:r w:rsidR="00BC2F47">
        <w:rPr>
          <w:i/>
          <w:iCs/>
        </w:rPr>
        <w:t>p</w:t>
      </w:r>
      <w:r w:rsidR="00BC2F47">
        <w:t xml:space="preserve"> &lt;0.001),  and d-g). stratified by season (</w:t>
      </w:r>
      <w:proofErr w:type="spellStart"/>
      <w:r w:rsidR="00BC2F47">
        <w:t>corr</w:t>
      </w:r>
      <w:proofErr w:type="spellEnd"/>
      <w:r w:rsidR="00BC2F47">
        <w:t xml:space="preserve"> winter -0.25, spring -0.15, summer -0.47, autumn -0.22,  </w:t>
      </w:r>
      <w:r w:rsidR="00BC2F47">
        <w:rPr>
          <w:i/>
          <w:iCs/>
        </w:rPr>
        <w:t>p</w:t>
      </w:r>
      <w:r w:rsidR="00BC2F47">
        <w:t xml:space="preserve"> &lt;0.001 for all).</w:t>
      </w:r>
      <w:bookmarkEnd w:id="20"/>
      <w:bookmarkEnd w:id="21"/>
      <w:bookmarkEnd w:id="22"/>
      <w:bookmarkEnd w:id="23"/>
    </w:p>
    <w:p w14:paraId="06CF0F99" w14:textId="74F40A8A" w:rsidR="002F0C6D" w:rsidRDefault="002F0C6D" w:rsidP="002F0C6D"/>
    <w:p w14:paraId="2B00B7F6" w14:textId="175D69F1" w:rsidR="005134E3" w:rsidRPr="005134E3" w:rsidRDefault="002F0C6D" w:rsidP="005134E3">
      <w:r>
        <w:rPr>
          <w:noProof/>
        </w:rPr>
        <w:drawing>
          <wp:inline distT="0" distB="0" distL="0" distR="0" wp14:anchorId="4DCFE0A5" wp14:editId="2444D9BE">
            <wp:extent cx="6219731" cy="7326351"/>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extLst>
                        <a:ext uri="{28A0092B-C50C-407E-A947-70E740481C1C}">
                          <a14:useLocalDpi xmlns:a14="http://schemas.microsoft.com/office/drawing/2010/main" val="0"/>
                        </a:ext>
                      </a:extLst>
                    </a:blip>
                    <a:srcRect r="14013"/>
                    <a:stretch/>
                  </pic:blipFill>
                  <pic:spPr bwMode="auto">
                    <a:xfrm>
                      <a:off x="0" y="0"/>
                      <a:ext cx="6234678" cy="7343958"/>
                    </a:xfrm>
                    <a:prstGeom prst="rect">
                      <a:avLst/>
                    </a:prstGeom>
                    <a:ln>
                      <a:noFill/>
                    </a:ln>
                    <a:extLst>
                      <a:ext uri="{53640926-AAD7-44D8-BBD7-CCE9431645EC}">
                        <a14:shadowObscured xmlns:a14="http://schemas.microsoft.com/office/drawing/2010/main"/>
                      </a:ext>
                    </a:extLst>
                  </pic:spPr>
                </pic:pic>
              </a:graphicData>
            </a:graphic>
          </wp:inline>
        </w:drawing>
      </w:r>
    </w:p>
    <w:p w14:paraId="3C8BB96D" w14:textId="77777777" w:rsidR="004F1F39" w:rsidRDefault="004F1F39" w:rsidP="00B710C4">
      <w:pPr>
        <w:pStyle w:val="Heading2"/>
        <w:sectPr w:rsidR="004F1F39" w:rsidSect="004F1F39">
          <w:pgSz w:w="11900" w:h="16840"/>
          <w:pgMar w:top="1440" w:right="1440" w:bottom="1440" w:left="1440" w:header="708" w:footer="708" w:gutter="0"/>
          <w:cols w:space="708"/>
          <w:docGrid w:linePitch="360"/>
        </w:sectPr>
      </w:pPr>
      <w:bookmarkStart w:id="24" w:name="_Toc77595254"/>
      <w:bookmarkStart w:id="25" w:name="_Toc77595473"/>
      <w:bookmarkStart w:id="26" w:name="_Toc77595722"/>
    </w:p>
    <w:p w14:paraId="18DD0D17" w14:textId="312886D3" w:rsidR="00773ABB" w:rsidRPr="00773ABB" w:rsidRDefault="006E355B" w:rsidP="00773ABB">
      <w:pPr>
        <w:pStyle w:val="Heading2"/>
        <w:spacing w:line="276" w:lineRule="auto"/>
      </w:pPr>
      <w:bookmarkStart w:id="27" w:name="_Toc80281877"/>
      <w:r w:rsidRPr="00773ABB">
        <w:lastRenderedPageBreak/>
        <w:t>Supplementary Figure 6:</w:t>
      </w:r>
      <w:r w:rsidR="00773ABB" w:rsidRPr="00773ABB">
        <w:t xml:space="preserve"> </w:t>
      </w:r>
      <w:r w:rsidR="00773ABB" w:rsidRPr="00773ABB">
        <w:rPr>
          <w:i/>
          <w:iCs/>
        </w:rPr>
        <w:t xml:space="preserve">AAV relapse: </w:t>
      </w:r>
      <w:r w:rsidR="00773ABB" w:rsidRPr="00773ABB">
        <w:t>a). CW-D-UVB at symptom onset (kJ/m2), b). average preceding winter vitD-UVB (kJ/m2) and c). average preceding winter CW-D-UVB (kJ/m2) stratified by disease activity (Active vs. Remission) in the entire cohort 2.</w:t>
      </w:r>
      <w:bookmarkEnd w:id="27"/>
      <w:r w:rsidR="00DA2B0A">
        <w:t xml:space="preserve"> </w:t>
      </w:r>
    </w:p>
    <w:p w14:paraId="5CCA431C" w14:textId="725FF53A" w:rsidR="00DE3CA6" w:rsidRDefault="00DA2B0A" w:rsidP="00DA2B0A">
      <w:pPr>
        <w:rPr>
          <w:sz w:val="20"/>
          <w:szCs w:val="20"/>
          <w:shd w:val="clear" w:color="auto" w:fill="FFFFFF"/>
        </w:rPr>
      </w:pPr>
      <w:r>
        <w:rPr>
          <w:rFonts w:cstheme="minorHAnsi"/>
          <w:sz w:val="20"/>
          <w:szCs w:val="20"/>
          <w:shd w:val="clear" w:color="auto" w:fill="FFFFFF"/>
        </w:rPr>
        <w:t xml:space="preserve">Ambient UVB dose at wavelengths than induce vitD synthesis (vitD-UVB), </w:t>
      </w:r>
      <w:r w:rsidRPr="00D7188B">
        <w:rPr>
          <w:sz w:val="20"/>
          <w:szCs w:val="20"/>
          <w:shd w:val="clear" w:color="auto" w:fill="FFFFFF"/>
        </w:rPr>
        <w:t>Cumulative-weighted UVB dose (CW-D-UVB)</w:t>
      </w:r>
      <w:r w:rsidR="00DE3CA6">
        <w:rPr>
          <w:sz w:val="20"/>
          <w:szCs w:val="20"/>
          <w:shd w:val="clear" w:color="auto" w:fill="FFFFFF"/>
        </w:rPr>
        <w:br/>
      </w:r>
    </w:p>
    <w:p w14:paraId="10D28B61" w14:textId="3C60F3C4" w:rsidR="00773ABB" w:rsidRDefault="00DE3CA6" w:rsidP="00935E5C">
      <w:pPr>
        <w:jc w:val="center"/>
        <w:rPr>
          <w:sz w:val="20"/>
          <w:szCs w:val="20"/>
          <w:shd w:val="clear" w:color="auto" w:fill="FFFFFF"/>
        </w:rPr>
      </w:pPr>
      <w:r>
        <w:rPr>
          <w:noProof/>
          <w:sz w:val="20"/>
          <w:szCs w:val="20"/>
          <w:shd w:val="clear" w:color="auto" w:fill="FFFFFF"/>
        </w:rPr>
        <w:drawing>
          <wp:inline distT="0" distB="0" distL="0" distR="0" wp14:anchorId="08D3C88F" wp14:editId="470695E6">
            <wp:extent cx="6929818" cy="489792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2">
                      <a:extLst>
                        <a:ext uri="{28A0092B-C50C-407E-A947-70E740481C1C}">
                          <a14:useLocalDpi xmlns:a14="http://schemas.microsoft.com/office/drawing/2010/main" val="0"/>
                        </a:ext>
                      </a:extLst>
                    </a:blip>
                    <a:srcRect r="24423" b="5043"/>
                    <a:stretch/>
                  </pic:blipFill>
                  <pic:spPr bwMode="auto">
                    <a:xfrm>
                      <a:off x="0" y="0"/>
                      <a:ext cx="6952935" cy="4914264"/>
                    </a:xfrm>
                    <a:prstGeom prst="rect">
                      <a:avLst/>
                    </a:prstGeom>
                    <a:ln>
                      <a:noFill/>
                    </a:ln>
                    <a:extLst>
                      <a:ext uri="{53640926-AAD7-44D8-BBD7-CCE9431645EC}">
                        <a14:shadowObscured xmlns:a14="http://schemas.microsoft.com/office/drawing/2010/main"/>
                      </a:ext>
                    </a:extLst>
                  </pic:spPr>
                </pic:pic>
              </a:graphicData>
            </a:graphic>
          </wp:inline>
        </w:drawing>
      </w:r>
    </w:p>
    <w:p w14:paraId="24B96F32" w14:textId="49F0C11B" w:rsidR="00082B80" w:rsidRPr="00082B80" w:rsidRDefault="00327D99" w:rsidP="00082B80">
      <w:pPr>
        <w:pStyle w:val="Heading2"/>
        <w:spacing w:line="276" w:lineRule="auto"/>
      </w:pPr>
      <w:bookmarkStart w:id="28" w:name="_Toc80281878"/>
      <w:r w:rsidRPr="00082B80">
        <w:lastRenderedPageBreak/>
        <w:t xml:space="preserve">Supplementary Figure 7: </w:t>
      </w:r>
      <w:r w:rsidR="00082B80" w:rsidRPr="00082B80">
        <w:rPr>
          <w:i/>
          <w:iCs/>
        </w:rPr>
        <w:t xml:space="preserve">AAV diagnosis: </w:t>
      </w:r>
      <w:r w:rsidR="00082B80" w:rsidRPr="00082B80">
        <w:t>a).</w:t>
      </w:r>
      <w:r w:rsidR="00082B80" w:rsidRPr="00082B80">
        <w:rPr>
          <w:i/>
          <w:iCs/>
        </w:rPr>
        <w:t xml:space="preserve"> </w:t>
      </w:r>
      <w:r w:rsidR="00082B80" w:rsidRPr="00082B80">
        <w:t xml:space="preserve">Latitude (degrees), b). average annual vitD-UVB (kJ/m2), c). average winter vitD-UVB (kJ/m2) and d). CW-D-UVB (kJ/m2) stratified by </w:t>
      </w:r>
      <w:r w:rsidR="00082B80" w:rsidRPr="00725674">
        <w:rPr>
          <w:b/>
          <w:bCs/>
        </w:rPr>
        <w:t>AAV phenotype</w:t>
      </w:r>
      <w:r w:rsidR="00082B80" w:rsidRPr="00082B80">
        <w:t xml:space="preserve"> (GPA and EGPA (“Not MPA”) vs. MPA), </w:t>
      </w:r>
      <w:r w:rsidR="00082B80" w:rsidRPr="00082B80">
        <w:rPr>
          <w:i/>
          <w:iCs/>
        </w:rPr>
        <w:t>at diagnosis</w:t>
      </w:r>
      <w:r w:rsidR="00082B80" w:rsidRPr="00082B80">
        <w:t>.</w:t>
      </w:r>
      <w:bookmarkEnd w:id="28"/>
      <w:r w:rsidR="00082B80" w:rsidRPr="00082B80">
        <w:t xml:space="preserve"> </w:t>
      </w:r>
    </w:p>
    <w:p w14:paraId="49EED27E" w14:textId="77777777" w:rsidR="00891138" w:rsidRPr="00082B80" w:rsidRDefault="00082B80" w:rsidP="00891138">
      <w:pPr>
        <w:spacing w:line="276" w:lineRule="auto"/>
      </w:pPr>
      <w:r w:rsidRPr="00082B80">
        <w:rPr>
          <w:color w:val="000000" w:themeColor="text1"/>
          <w:sz w:val="20"/>
          <w:szCs w:val="20"/>
          <w:shd w:val="clear" w:color="auto" w:fill="FFFFFF"/>
        </w:rPr>
        <w:t xml:space="preserve">ANCA-associated vasculitis (AAV), Microscopic polyangiitis (MPA), </w:t>
      </w:r>
      <w:r w:rsidRPr="00082B80">
        <w:rPr>
          <w:rFonts w:cstheme="minorHAnsi"/>
          <w:color w:val="000000" w:themeColor="text1"/>
          <w:sz w:val="20"/>
          <w:szCs w:val="20"/>
          <w:shd w:val="clear" w:color="auto" w:fill="FFFFFF"/>
        </w:rPr>
        <w:t xml:space="preserve">Ambient UVB dose at wavelengths than induce vitD synthesis (vitD-UVB), </w:t>
      </w:r>
      <w:r w:rsidRPr="00082B80">
        <w:rPr>
          <w:color w:val="000000" w:themeColor="text1"/>
          <w:sz w:val="20"/>
          <w:szCs w:val="20"/>
          <w:shd w:val="clear" w:color="auto" w:fill="FFFFFF"/>
        </w:rPr>
        <w:t>Cumulative-weighted UVB dose (CW-D-UVB)</w:t>
      </w:r>
    </w:p>
    <w:p w14:paraId="412129E2" w14:textId="381CF4F9" w:rsidR="00327D99" w:rsidRPr="00082B80" w:rsidRDefault="00082B80" w:rsidP="00082B80">
      <w:pPr>
        <w:spacing w:line="276" w:lineRule="auto"/>
      </w:pPr>
      <w:r>
        <w:rPr>
          <w:noProof/>
        </w:rPr>
        <w:drawing>
          <wp:inline distT="0" distB="0" distL="0" distR="0" wp14:anchorId="12B839E8" wp14:editId="2D3BF690">
            <wp:extent cx="8548577" cy="4688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r="3562" b="5970"/>
                    <a:stretch/>
                  </pic:blipFill>
                  <pic:spPr bwMode="auto">
                    <a:xfrm>
                      <a:off x="0" y="0"/>
                      <a:ext cx="8548792" cy="4688958"/>
                    </a:xfrm>
                    <a:prstGeom prst="rect">
                      <a:avLst/>
                    </a:prstGeom>
                    <a:ln>
                      <a:noFill/>
                    </a:ln>
                    <a:extLst>
                      <a:ext uri="{53640926-AAD7-44D8-BBD7-CCE9431645EC}">
                        <a14:shadowObscured xmlns:a14="http://schemas.microsoft.com/office/drawing/2010/main"/>
                      </a:ext>
                    </a:extLst>
                  </pic:spPr>
                </pic:pic>
              </a:graphicData>
            </a:graphic>
          </wp:inline>
        </w:drawing>
      </w:r>
    </w:p>
    <w:p w14:paraId="6104FBB2" w14:textId="5C86F991" w:rsidR="00B710C4" w:rsidRDefault="00381633" w:rsidP="00B710C4">
      <w:pPr>
        <w:pStyle w:val="Heading2"/>
        <w:rPr>
          <w:b/>
          <w:bCs/>
        </w:rPr>
      </w:pPr>
      <w:bookmarkStart w:id="29" w:name="_Toc80281879"/>
      <w:r>
        <w:lastRenderedPageBreak/>
        <w:t xml:space="preserve">Supplementary Figure </w:t>
      </w:r>
      <w:r w:rsidR="00327D99">
        <w:t>8</w:t>
      </w:r>
      <w:r>
        <w:t xml:space="preserve">: </w:t>
      </w:r>
      <w:r w:rsidR="00B710C4" w:rsidRPr="00491E76">
        <w:rPr>
          <w:bCs/>
          <w:i/>
          <w:iCs/>
        </w:rPr>
        <w:t xml:space="preserve">AAV diagnosis: </w:t>
      </w:r>
      <w:r w:rsidR="00B710C4" w:rsidRPr="00491E76">
        <w:rPr>
          <w:bCs/>
        </w:rPr>
        <w:t>Latitude (degrees)</w:t>
      </w:r>
      <w:r w:rsidR="00B710C4">
        <w:rPr>
          <w:bCs/>
        </w:rPr>
        <w:t>, average annual vitD-UVB (kJ/m2)</w:t>
      </w:r>
      <w:r w:rsidR="00B710C4">
        <w:rPr>
          <w:b/>
          <w:bCs/>
        </w:rPr>
        <w:t xml:space="preserve">, </w:t>
      </w:r>
      <w:r w:rsidR="00B710C4" w:rsidRPr="00B710C4">
        <w:rPr>
          <w:bCs/>
        </w:rPr>
        <w:t xml:space="preserve">average winter vitD-UVB (kJ/m2) and CW-D-UVB (kJ/m2) stratified by </w:t>
      </w:r>
      <w:r w:rsidR="00B710C4" w:rsidRPr="00725674">
        <w:rPr>
          <w:b/>
        </w:rPr>
        <w:t>AAV serotype</w:t>
      </w:r>
      <w:r w:rsidR="00B710C4" w:rsidRPr="00B710C4">
        <w:rPr>
          <w:bCs/>
        </w:rPr>
        <w:t xml:space="preserve"> (</w:t>
      </w:r>
      <w:r w:rsidR="00B710C4">
        <w:rPr>
          <w:bCs/>
        </w:rPr>
        <w:t>a-d</w:t>
      </w:r>
      <w:r w:rsidR="00B710C4" w:rsidRPr="00B710C4">
        <w:rPr>
          <w:bCs/>
        </w:rPr>
        <w:t xml:space="preserve">: </w:t>
      </w:r>
      <w:r w:rsidR="00B710C4">
        <w:rPr>
          <w:bCs/>
        </w:rPr>
        <w:t>MPO vs. Not MPO</w:t>
      </w:r>
      <w:r w:rsidR="00B710C4" w:rsidRPr="00491E76">
        <w:rPr>
          <w:bCs/>
        </w:rPr>
        <w:t xml:space="preserve">), </w:t>
      </w:r>
      <w:r w:rsidR="00B710C4" w:rsidRPr="00491E76">
        <w:rPr>
          <w:bCs/>
          <w:i/>
          <w:iCs/>
        </w:rPr>
        <w:t>at diagnosis</w:t>
      </w:r>
      <w:r w:rsidR="00B710C4" w:rsidRPr="00491E76">
        <w:rPr>
          <w:bCs/>
        </w:rPr>
        <w:t>.</w:t>
      </w:r>
      <w:bookmarkEnd w:id="29"/>
      <w:r w:rsidR="00B710C4" w:rsidRPr="00491E76">
        <w:rPr>
          <w:bCs/>
        </w:rPr>
        <w:t xml:space="preserve"> </w:t>
      </w:r>
    </w:p>
    <w:p w14:paraId="4D58DCE8" w14:textId="6BD38EA4" w:rsidR="00D0393C" w:rsidRPr="002E2308" w:rsidRDefault="00B710C4" w:rsidP="002E2308">
      <w:pPr>
        <w:pStyle w:val="Heading2"/>
        <w:rPr>
          <w:rFonts w:asciiTheme="minorHAnsi" w:hAnsiTheme="minorHAnsi" w:cstheme="minorHAnsi"/>
          <w:color w:val="000000" w:themeColor="text1"/>
          <w:sz w:val="20"/>
          <w:szCs w:val="20"/>
          <w:shd w:val="clear" w:color="auto" w:fill="FFFFFF"/>
        </w:rPr>
      </w:pPr>
      <w:bookmarkStart w:id="30" w:name="_Toc80281880"/>
      <w:r w:rsidRPr="00125CAA">
        <w:rPr>
          <w:rFonts w:asciiTheme="minorHAnsi" w:hAnsiTheme="minorHAnsi" w:cstheme="minorHAnsi"/>
          <w:color w:val="000000" w:themeColor="text1"/>
          <w:sz w:val="20"/>
          <w:szCs w:val="20"/>
          <w:shd w:val="clear" w:color="auto" w:fill="FFFFFF"/>
        </w:rPr>
        <w:t>ANCA-associated vasculitis (AAV), Myeloperoxidase (MPO), Cumulative-weighted UVB dose (CW-D-UVB)</w:t>
      </w:r>
      <w:bookmarkEnd w:id="30"/>
      <w:r w:rsidR="002E2308">
        <w:rPr>
          <w:rFonts w:asciiTheme="minorHAnsi" w:hAnsiTheme="minorHAnsi" w:cstheme="minorHAnsi"/>
          <w:color w:val="000000" w:themeColor="text1"/>
          <w:sz w:val="20"/>
          <w:szCs w:val="20"/>
          <w:shd w:val="clear" w:color="auto" w:fill="FFFFFF"/>
        </w:rPr>
        <w:br/>
      </w:r>
    </w:p>
    <w:p w14:paraId="0664548A" w14:textId="2F62CD1A" w:rsidR="00D0393C" w:rsidRPr="00D0393C" w:rsidRDefault="00D0393C" w:rsidP="002E2308">
      <w:pPr>
        <w:jc w:val="center"/>
      </w:pPr>
      <w:r>
        <w:rPr>
          <w:noProof/>
        </w:rPr>
        <w:drawing>
          <wp:inline distT="0" distB="0" distL="0" distR="0" wp14:anchorId="7C63258D" wp14:editId="642B4A70">
            <wp:extent cx="8609846" cy="484334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8617652" cy="4847738"/>
                    </a:xfrm>
                    <a:prstGeom prst="rect">
                      <a:avLst/>
                    </a:prstGeom>
                  </pic:spPr>
                </pic:pic>
              </a:graphicData>
            </a:graphic>
          </wp:inline>
        </w:drawing>
      </w:r>
    </w:p>
    <w:p w14:paraId="7E647A6B" w14:textId="3073203E" w:rsidR="007D1E74" w:rsidRDefault="00C31551" w:rsidP="00085203">
      <w:pPr>
        <w:pStyle w:val="Heading2"/>
      </w:pPr>
      <w:bookmarkStart w:id="31" w:name="_Toc80281881"/>
      <w:r>
        <w:lastRenderedPageBreak/>
        <w:t xml:space="preserve">Supplementary </w:t>
      </w:r>
      <w:r w:rsidR="00085203">
        <w:t xml:space="preserve">Figure </w:t>
      </w:r>
      <w:r w:rsidR="005F6542">
        <w:t>9</w:t>
      </w:r>
      <w:r w:rsidR="00085203">
        <w:t>: Ratio of cumulative-weighted UVB at diagnosis relative to the average value at the participant’s location: a). cohort 1 &amp; 2 and stratified by b). AAV phenotype and c). AAV serotype</w:t>
      </w:r>
      <w:bookmarkEnd w:id="31"/>
    </w:p>
    <w:bookmarkEnd w:id="24"/>
    <w:bookmarkEnd w:id="25"/>
    <w:bookmarkEnd w:id="26"/>
    <w:p w14:paraId="179DE4C7" w14:textId="1F6CCA86" w:rsidR="007D1E74" w:rsidRDefault="007D1E74" w:rsidP="007D1E74">
      <w:pPr>
        <w:rPr>
          <w:sz w:val="20"/>
          <w:szCs w:val="20"/>
        </w:rPr>
      </w:pPr>
      <w:r w:rsidRPr="009952D5">
        <w:rPr>
          <w:rFonts w:cstheme="minorHAnsi"/>
          <w:sz w:val="20"/>
          <w:szCs w:val="20"/>
          <w:shd w:val="clear" w:color="auto" w:fill="FFFFFF"/>
        </w:rPr>
        <w:t>ANCA-associated vasculitis (AAV), Microscopic polyangiitis (MPA), Myeloperoxidase (MPO), Cumulative-weighted UVB dose (CW-D-UVB), Not statistically significant (ns).</w:t>
      </w:r>
      <w:r w:rsidRPr="009952D5">
        <w:rPr>
          <w:rFonts w:cstheme="minorHAnsi"/>
          <w:sz w:val="20"/>
          <w:szCs w:val="20"/>
          <w:shd w:val="clear" w:color="auto" w:fill="FFFFFF"/>
        </w:rPr>
        <w:br/>
      </w:r>
      <w:r w:rsidRPr="009952D5">
        <w:rPr>
          <w:rFonts w:ascii="Calibri" w:hAnsi="Calibri" w:cs="Calibri"/>
          <w:sz w:val="20"/>
          <w:szCs w:val="20"/>
        </w:rPr>
        <w:t>If a true association between UVB-predicted vitD status (CW-D-UVB) and AAV phenotype/serotype at diagnosis exists, one would expect that the ratio of CW-D-UVB at diagnosis relative to the average CW-D-UVB at that location would be significantly &lt;1 for non-MPA disease subtypes. A</w:t>
      </w:r>
      <w:r w:rsidRPr="009952D5">
        <w:rPr>
          <w:rFonts w:cstheme="minorHAnsi"/>
          <w:sz w:val="20"/>
          <w:szCs w:val="20"/>
          <w:shd w:val="clear" w:color="auto" w:fill="FFFFFF"/>
        </w:rPr>
        <w:t xml:space="preserve"> </w:t>
      </w:r>
      <w:r w:rsidRPr="009952D5">
        <w:rPr>
          <w:rFonts w:ascii="Calibri" w:hAnsi="Calibri" w:cs="Calibri"/>
          <w:sz w:val="20"/>
          <w:szCs w:val="20"/>
        </w:rPr>
        <w:t xml:space="preserve">one-sided Wilcoxon rank sum test was used to evaluate if the ratio was significantly different from 1. </w:t>
      </w:r>
      <w:r w:rsidRPr="009952D5">
        <w:rPr>
          <w:sz w:val="20"/>
          <w:szCs w:val="20"/>
        </w:rPr>
        <w:t xml:space="preserve">While the median ratio trended below 1 in the pooled analysis and when stratified by AAV phenotype and serotype, this was not statistically different from 1. </w:t>
      </w:r>
    </w:p>
    <w:p w14:paraId="2BA24402" w14:textId="72176455" w:rsidR="00C649FA" w:rsidRDefault="00C649FA" w:rsidP="007D1E74">
      <w:pPr>
        <w:rPr>
          <w:sz w:val="20"/>
          <w:szCs w:val="20"/>
        </w:rPr>
      </w:pPr>
    </w:p>
    <w:p w14:paraId="4B40442F" w14:textId="0B9366C2" w:rsidR="00085203" w:rsidRPr="00C649FA" w:rsidRDefault="00C649FA" w:rsidP="00C649FA">
      <w:pPr>
        <w:jc w:val="center"/>
        <w:rPr>
          <w:sz w:val="20"/>
          <w:szCs w:val="20"/>
        </w:rPr>
      </w:pPr>
      <w:r>
        <w:rPr>
          <w:noProof/>
          <w:sz w:val="20"/>
          <w:szCs w:val="20"/>
        </w:rPr>
        <w:drawing>
          <wp:inline distT="0" distB="0" distL="0" distR="0" wp14:anchorId="1D600529" wp14:editId="1E01ADAC">
            <wp:extent cx="6035637" cy="43456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
                      <a:extLst>
                        <a:ext uri="{28A0092B-C50C-407E-A947-70E740481C1C}">
                          <a14:useLocalDpi xmlns:a14="http://schemas.microsoft.com/office/drawing/2010/main" val="0"/>
                        </a:ext>
                      </a:extLst>
                    </a:blip>
                    <a:srcRect r="21870"/>
                    <a:stretch/>
                  </pic:blipFill>
                  <pic:spPr bwMode="auto">
                    <a:xfrm>
                      <a:off x="0" y="0"/>
                      <a:ext cx="6062955" cy="4365333"/>
                    </a:xfrm>
                    <a:prstGeom prst="rect">
                      <a:avLst/>
                    </a:prstGeom>
                    <a:ln>
                      <a:noFill/>
                    </a:ln>
                    <a:extLst>
                      <a:ext uri="{53640926-AAD7-44D8-BBD7-CCE9431645EC}">
                        <a14:shadowObscured xmlns:a14="http://schemas.microsoft.com/office/drawing/2010/main"/>
                      </a:ext>
                    </a:extLst>
                  </pic:spPr>
                </pic:pic>
              </a:graphicData>
            </a:graphic>
          </wp:inline>
        </w:drawing>
      </w:r>
    </w:p>
    <w:p w14:paraId="0E6B0488" w14:textId="45A44C19" w:rsidR="004619DE" w:rsidRDefault="004619DE" w:rsidP="004619DE">
      <w:pPr>
        <w:pStyle w:val="Heading1"/>
      </w:pPr>
      <w:bookmarkStart w:id="32" w:name="_Toc77595476"/>
      <w:bookmarkStart w:id="33" w:name="_Toc77595725"/>
      <w:bookmarkStart w:id="34" w:name="_Toc80281882"/>
      <w:bookmarkStart w:id="35" w:name="_Toc77595257"/>
      <w:r>
        <w:lastRenderedPageBreak/>
        <w:t>Supplementary Tables</w:t>
      </w:r>
      <w:bookmarkEnd w:id="32"/>
      <w:bookmarkEnd w:id="33"/>
      <w:bookmarkEnd w:id="34"/>
    </w:p>
    <w:p w14:paraId="0EFCAC4F" w14:textId="77777777" w:rsidR="004619DE" w:rsidRDefault="004619DE" w:rsidP="007544C0">
      <w:pPr>
        <w:pStyle w:val="Heading2"/>
      </w:pPr>
    </w:p>
    <w:p w14:paraId="6604A05F" w14:textId="487C3763" w:rsidR="007544C0" w:rsidRDefault="007544C0" w:rsidP="007544C0">
      <w:pPr>
        <w:pStyle w:val="Heading2"/>
      </w:pPr>
      <w:bookmarkStart w:id="36" w:name="_Toc77595477"/>
      <w:bookmarkStart w:id="37" w:name="_Toc77595726"/>
      <w:bookmarkStart w:id="38" w:name="_Toc80281883"/>
      <w:r>
        <w:t xml:space="preserve">Supplementary Table 1: Induction and maintenance treatment of </w:t>
      </w:r>
      <w:r w:rsidR="00040354">
        <w:t xml:space="preserve">RKD </w:t>
      </w:r>
      <w:r>
        <w:t xml:space="preserve">cohort </w:t>
      </w:r>
      <w:r w:rsidR="00040354">
        <w:t>(</w:t>
      </w:r>
      <w:r>
        <w:t>2</w:t>
      </w:r>
      <w:r w:rsidR="00040354">
        <w:t>)</w:t>
      </w:r>
      <w:bookmarkEnd w:id="35"/>
      <w:bookmarkEnd w:id="36"/>
      <w:bookmarkEnd w:id="37"/>
      <w:bookmarkEnd w:id="38"/>
    </w:p>
    <w:p w14:paraId="5A893FA4" w14:textId="77777777" w:rsidR="007544C0" w:rsidRDefault="007544C0" w:rsidP="007544C0"/>
    <w:tbl>
      <w:tblPr>
        <w:tblW w:w="14175" w:type="dxa"/>
        <w:tblLayout w:type="fixed"/>
        <w:tblLook w:val="04A0" w:firstRow="1" w:lastRow="0" w:firstColumn="1" w:lastColumn="0" w:noHBand="0" w:noVBand="1"/>
      </w:tblPr>
      <w:tblGrid>
        <w:gridCol w:w="3402"/>
        <w:gridCol w:w="2154"/>
        <w:gridCol w:w="2155"/>
        <w:gridCol w:w="2154"/>
        <w:gridCol w:w="2155"/>
        <w:gridCol w:w="2155"/>
      </w:tblGrid>
      <w:tr w:rsidR="007544C0" w14:paraId="118F2B42" w14:textId="77777777" w:rsidTr="00F60C85">
        <w:trPr>
          <w:trHeight w:val="320"/>
        </w:trPr>
        <w:tc>
          <w:tcPr>
            <w:tcW w:w="3402" w:type="dxa"/>
            <w:tcBorders>
              <w:top w:val="nil"/>
              <w:left w:val="nil"/>
              <w:bottom w:val="nil"/>
              <w:right w:val="nil"/>
            </w:tcBorders>
            <w:shd w:val="clear" w:color="auto" w:fill="000000" w:themeFill="text1"/>
            <w:noWrap/>
            <w:vAlign w:val="bottom"/>
            <w:hideMark/>
          </w:tcPr>
          <w:p w14:paraId="5E5B5C54" w14:textId="77777777" w:rsidR="007544C0" w:rsidRPr="00F60C85" w:rsidRDefault="007544C0" w:rsidP="00633CDC">
            <w:pPr>
              <w:rPr>
                <w:rFonts w:ascii="Calibri" w:hAnsi="Calibri" w:cs="Calibri"/>
                <w:b/>
                <w:color w:val="FFFFFF"/>
                <w:sz w:val="22"/>
                <w:szCs w:val="22"/>
              </w:rPr>
            </w:pPr>
            <w:r w:rsidRPr="00F60C85">
              <w:rPr>
                <w:rFonts w:ascii="Calibri" w:hAnsi="Calibri" w:cs="Calibri"/>
                <w:b/>
                <w:color w:val="FFFFFF"/>
                <w:sz w:val="22"/>
                <w:szCs w:val="22"/>
              </w:rPr>
              <w:t>Characteristics</w:t>
            </w:r>
          </w:p>
        </w:tc>
        <w:tc>
          <w:tcPr>
            <w:tcW w:w="2154" w:type="dxa"/>
            <w:tcBorders>
              <w:top w:val="nil"/>
              <w:left w:val="nil"/>
              <w:bottom w:val="nil"/>
              <w:right w:val="nil"/>
            </w:tcBorders>
            <w:shd w:val="clear" w:color="auto" w:fill="000000" w:themeFill="text1"/>
            <w:noWrap/>
            <w:vAlign w:val="bottom"/>
            <w:hideMark/>
          </w:tcPr>
          <w:p w14:paraId="71F1F5FA" w14:textId="77777777" w:rsidR="007544C0" w:rsidRPr="00F60C85" w:rsidRDefault="007544C0" w:rsidP="00633CDC">
            <w:pPr>
              <w:jc w:val="center"/>
              <w:rPr>
                <w:rFonts w:ascii="Calibri" w:hAnsi="Calibri" w:cs="Calibri"/>
                <w:b/>
                <w:color w:val="FFFFFF"/>
                <w:sz w:val="22"/>
                <w:szCs w:val="22"/>
              </w:rPr>
            </w:pPr>
            <w:r w:rsidRPr="00F60C85">
              <w:rPr>
                <w:rFonts w:ascii="Calibri" w:hAnsi="Calibri" w:cs="Calibri"/>
                <w:b/>
                <w:color w:val="FFFFFF"/>
                <w:sz w:val="22"/>
                <w:szCs w:val="22"/>
              </w:rPr>
              <w:t>Total</w:t>
            </w:r>
          </w:p>
        </w:tc>
        <w:tc>
          <w:tcPr>
            <w:tcW w:w="2155" w:type="dxa"/>
            <w:tcBorders>
              <w:top w:val="nil"/>
              <w:left w:val="nil"/>
              <w:bottom w:val="nil"/>
              <w:right w:val="nil"/>
            </w:tcBorders>
            <w:shd w:val="clear" w:color="auto" w:fill="000000" w:themeFill="text1"/>
            <w:noWrap/>
            <w:vAlign w:val="bottom"/>
            <w:hideMark/>
          </w:tcPr>
          <w:p w14:paraId="6A767480" w14:textId="77777777" w:rsidR="007544C0" w:rsidRPr="00F60C85" w:rsidRDefault="007544C0" w:rsidP="00633CDC">
            <w:pPr>
              <w:jc w:val="center"/>
              <w:rPr>
                <w:rFonts w:ascii="Calibri" w:hAnsi="Calibri" w:cs="Calibri"/>
                <w:b/>
                <w:color w:val="FFFFFF"/>
                <w:sz w:val="22"/>
                <w:szCs w:val="22"/>
              </w:rPr>
            </w:pPr>
            <w:r w:rsidRPr="00F60C85">
              <w:rPr>
                <w:rFonts w:ascii="Calibri" w:hAnsi="Calibri" w:cs="Calibri"/>
                <w:b/>
                <w:color w:val="FFFFFF"/>
                <w:sz w:val="22"/>
                <w:szCs w:val="22"/>
              </w:rPr>
              <w:t>GPA</w:t>
            </w:r>
          </w:p>
        </w:tc>
        <w:tc>
          <w:tcPr>
            <w:tcW w:w="2154" w:type="dxa"/>
            <w:tcBorders>
              <w:top w:val="nil"/>
              <w:left w:val="nil"/>
              <w:bottom w:val="nil"/>
              <w:right w:val="nil"/>
            </w:tcBorders>
            <w:shd w:val="clear" w:color="auto" w:fill="000000" w:themeFill="text1"/>
            <w:noWrap/>
            <w:vAlign w:val="bottom"/>
            <w:hideMark/>
          </w:tcPr>
          <w:p w14:paraId="5D6035EE" w14:textId="77777777" w:rsidR="007544C0" w:rsidRPr="00F60C85" w:rsidRDefault="007544C0" w:rsidP="00633CDC">
            <w:pPr>
              <w:jc w:val="center"/>
              <w:rPr>
                <w:rFonts w:ascii="Calibri" w:hAnsi="Calibri" w:cs="Calibri"/>
                <w:b/>
                <w:color w:val="FFFFFF"/>
                <w:sz w:val="22"/>
                <w:szCs w:val="22"/>
              </w:rPr>
            </w:pPr>
            <w:r w:rsidRPr="00F60C85">
              <w:rPr>
                <w:rFonts w:ascii="Calibri" w:hAnsi="Calibri" w:cs="Calibri"/>
                <w:b/>
                <w:color w:val="FFFFFF"/>
                <w:sz w:val="22"/>
                <w:szCs w:val="22"/>
              </w:rPr>
              <w:t>MPA</w:t>
            </w:r>
          </w:p>
        </w:tc>
        <w:tc>
          <w:tcPr>
            <w:tcW w:w="2155" w:type="dxa"/>
            <w:tcBorders>
              <w:top w:val="nil"/>
              <w:left w:val="nil"/>
              <w:bottom w:val="nil"/>
              <w:right w:val="nil"/>
            </w:tcBorders>
            <w:shd w:val="clear" w:color="auto" w:fill="000000" w:themeFill="text1"/>
            <w:noWrap/>
            <w:vAlign w:val="bottom"/>
            <w:hideMark/>
          </w:tcPr>
          <w:p w14:paraId="4F01C6B9" w14:textId="77777777" w:rsidR="007544C0" w:rsidRPr="00F60C85" w:rsidRDefault="007544C0" w:rsidP="00633CDC">
            <w:pPr>
              <w:jc w:val="center"/>
              <w:rPr>
                <w:rFonts w:ascii="Calibri" w:hAnsi="Calibri" w:cs="Calibri"/>
                <w:b/>
                <w:color w:val="FFFFFF"/>
                <w:sz w:val="22"/>
                <w:szCs w:val="22"/>
              </w:rPr>
            </w:pPr>
            <w:r w:rsidRPr="00F60C85">
              <w:rPr>
                <w:rFonts w:ascii="Calibri" w:hAnsi="Calibri" w:cs="Calibri"/>
                <w:b/>
                <w:color w:val="FFFFFF"/>
                <w:sz w:val="22"/>
                <w:szCs w:val="22"/>
              </w:rPr>
              <w:t>EGPA</w:t>
            </w:r>
          </w:p>
        </w:tc>
        <w:tc>
          <w:tcPr>
            <w:tcW w:w="2155" w:type="dxa"/>
            <w:tcBorders>
              <w:top w:val="nil"/>
              <w:left w:val="nil"/>
              <w:bottom w:val="nil"/>
              <w:right w:val="nil"/>
            </w:tcBorders>
            <w:shd w:val="clear" w:color="auto" w:fill="000000" w:themeFill="text1"/>
            <w:noWrap/>
            <w:vAlign w:val="bottom"/>
            <w:hideMark/>
          </w:tcPr>
          <w:p w14:paraId="12318A31" w14:textId="77777777" w:rsidR="007544C0" w:rsidRPr="00F60C85" w:rsidRDefault="007544C0" w:rsidP="00633CDC">
            <w:pPr>
              <w:jc w:val="center"/>
              <w:rPr>
                <w:rFonts w:ascii="Calibri" w:hAnsi="Calibri" w:cs="Calibri"/>
                <w:b/>
                <w:i/>
                <w:color w:val="FFFFFF"/>
                <w:sz w:val="22"/>
                <w:szCs w:val="22"/>
              </w:rPr>
            </w:pPr>
            <w:r w:rsidRPr="00F60C85">
              <w:rPr>
                <w:rFonts w:ascii="Calibri" w:hAnsi="Calibri" w:cs="Calibri"/>
                <w:b/>
                <w:i/>
                <w:color w:val="FFFFFF"/>
                <w:sz w:val="22"/>
                <w:szCs w:val="22"/>
              </w:rPr>
              <w:t>p</w:t>
            </w:r>
          </w:p>
        </w:tc>
      </w:tr>
      <w:tr w:rsidR="007544C0" w14:paraId="11809076"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3C7B31F5" w14:textId="77777777" w:rsidR="007544C0" w:rsidRPr="00F60C85" w:rsidRDefault="007544C0" w:rsidP="00633CDC">
            <w:pPr>
              <w:rPr>
                <w:rFonts w:ascii="Calibri" w:hAnsi="Calibri" w:cs="Calibri"/>
                <w:i/>
                <w:color w:val="000000"/>
                <w:sz w:val="22"/>
                <w:szCs w:val="22"/>
              </w:rPr>
            </w:pPr>
            <w:r w:rsidRPr="00F60C85">
              <w:rPr>
                <w:rFonts w:ascii="Calibri" w:hAnsi="Calibri" w:cs="Calibri"/>
                <w:i/>
                <w:color w:val="000000" w:themeColor="text1"/>
                <w:sz w:val="22"/>
                <w:szCs w:val="22"/>
              </w:rPr>
              <w:t>n (%)</w:t>
            </w:r>
          </w:p>
        </w:tc>
        <w:tc>
          <w:tcPr>
            <w:tcW w:w="2154" w:type="dxa"/>
            <w:tcBorders>
              <w:top w:val="nil"/>
              <w:left w:val="nil"/>
              <w:bottom w:val="nil"/>
              <w:right w:val="nil"/>
            </w:tcBorders>
            <w:shd w:val="clear" w:color="auto" w:fill="D9D9D9" w:themeFill="background1" w:themeFillShade="D9"/>
            <w:noWrap/>
            <w:vAlign w:val="bottom"/>
            <w:hideMark/>
          </w:tcPr>
          <w:p w14:paraId="5D385992"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439</w:t>
            </w:r>
          </w:p>
        </w:tc>
        <w:tc>
          <w:tcPr>
            <w:tcW w:w="2155" w:type="dxa"/>
            <w:tcBorders>
              <w:top w:val="nil"/>
              <w:left w:val="nil"/>
              <w:bottom w:val="nil"/>
              <w:right w:val="nil"/>
            </w:tcBorders>
            <w:shd w:val="clear" w:color="auto" w:fill="D9D9D9" w:themeFill="background1" w:themeFillShade="D9"/>
            <w:noWrap/>
            <w:vAlign w:val="bottom"/>
            <w:hideMark/>
          </w:tcPr>
          <w:p w14:paraId="55D1208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196 (44.6)</w:t>
            </w:r>
          </w:p>
        </w:tc>
        <w:tc>
          <w:tcPr>
            <w:tcW w:w="2154" w:type="dxa"/>
            <w:tcBorders>
              <w:top w:val="nil"/>
              <w:left w:val="nil"/>
              <w:bottom w:val="nil"/>
              <w:right w:val="nil"/>
            </w:tcBorders>
            <w:shd w:val="clear" w:color="auto" w:fill="D9D9D9" w:themeFill="background1" w:themeFillShade="D9"/>
            <w:noWrap/>
            <w:vAlign w:val="bottom"/>
            <w:hideMark/>
          </w:tcPr>
          <w:p w14:paraId="52D91FB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220 (50.1)</w:t>
            </w:r>
          </w:p>
        </w:tc>
        <w:tc>
          <w:tcPr>
            <w:tcW w:w="2155" w:type="dxa"/>
            <w:tcBorders>
              <w:top w:val="nil"/>
              <w:left w:val="nil"/>
              <w:bottom w:val="nil"/>
              <w:right w:val="nil"/>
            </w:tcBorders>
            <w:shd w:val="clear" w:color="auto" w:fill="D9D9D9" w:themeFill="background1" w:themeFillShade="D9"/>
            <w:noWrap/>
            <w:vAlign w:val="bottom"/>
            <w:hideMark/>
          </w:tcPr>
          <w:p w14:paraId="6EA1F542"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23 (5.2)</w:t>
            </w:r>
          </w:p>
        </w:tc>
        <w:tc>
          <w:tcPr>
            <w:tcW w:w="2155" w:type="dxa"/>
            <w:tcBorders>
              <w:top w:val="nil"/>
              <w:left w:val="nil"/>
              <w:bottom w:val="nil"/>
              <w:right w:val="nil"/>
            </w:tcBorders>
            <w:shd w:val="clear" w:color="auto" w:fill="D9D9D9" w:themeFill="background1" w:themeFillShade="D9"/>
            <w:noWrap/>
            <w:vAlign w:val="bottom"/>
            <w:hideMark/>
          </w:tcPr>
          <w:p w14:paraId="564AE002" w14:textId="77777777" w:rsidR="007544C0" w:rsidRPr="00F60C85" w:rsidRDefault="007544C0" w:rsidP="00633CDC">
            <w:pPr>
              <w:jc w:val="center"/>
              <w:rPr>
                <w:rFonts w:ascii="Calibri" w:hAnsi="Calibri" w:cs="Calibri"/>
                <w:color w:val="000000"/>
                <w:sz w:val="22"/>
                <w:szCs w:val="22"/>
              </w:rPr>
            </w:pPr>
          </w:p>
        </w:tc>
      </w:tr>
      <w:tr w:rsidR="007544C0" w14:paraId="16DD8A0B" w14:textId="77777777" w:rsidTr="00F60C85">
        <w:trPr>
          <w:trHeight w:val="320"/>
        </w:trPr>
        <w:tc>
          <w:tcPr>
            <w:tcW w:w="3402" w:type="dxa"/>
            <w:tcBorders>
              <w:top w:val="nil"/>
              <w:left w:val="nil"/>
              <w:bottom w:val="nil"/>
              <w:right w:val="nil"/>
            </w:tcBorders>
            <w:shd w:val="clear" w:color="auto" w:fill="auto"/>
            <w:noWrap/>
            <w:vAlign w:val="bottom"/>
            <w:hideMark/>
          </w:tcPr>
          <w:p w14:paraId="0C32A948" w14:textId="77777777" w:rsidR="007544C0" w:rsidRPr="00F60C85" w:rsidRDefault="007544C0" w:rsidP="00633CDC">
            <w:pPr>
              <w:rPr>
                <w:rFonts w:ascii="Calibri" w:hAnsi="Calibri" w:cs="Calibri"/>
                <w:i/>
                <w:color w:val="000000"/>
                <w:sz w:val="22"/>
                <w:szCs w:val="22"/>
              </w:rPr>
            </w:pPr>
            <w:r w:rsidRPr="00F60C85">
              <w:rPr>
                <w:rFonts w:ascii="Calibri" w:hAnsi="Calibri" w:cs="Calibri"/>
                <w:i/>
                <w:color w:val="000000"/>
                <w:sz w:val="22"/>
                <w:szCs w:val="22"/>
              </w:rPr>
              <w:t>Induction treatment (%)</w:t>
            </w:r>
          </w:p>
        </w:tc>
        <w:tc>
          <w:tcPr>
            <w:tcW w:w="2154" w:type="dxa"/>
            <w:tcBorders>
              <w:top w:val="nil"/>
              <w:left w:val="nil"/>
              <w:bottom w:val="nil"/>
              <w:right w:val="nil"/>
            </w:tcBorders>
            <w:shd w:val="clear" w:color="auto" w:fill="auto"/>
            <w:noWrap/>
            <w:vAlign w:val="bottom"/>
            <w:hideMark/>
          </w:tcPr>
          <w:p w14:paraId="0E94DB4B" w14:textId="77777777" w:rsidR="007544C0" w:rsidRPr="00F60C85" w:rsidRDefault="007544C0" w:rsidP="00633CDC">
            <w:pPr>
              <w:rPr>
                <w:rFonts w:ascii="Calibri" w:hAnsi="Calibri" w:cs="Calibri"/>
                <w:i/>
                <w:color w:val="000000"/>
                <w:sz w:val="22"/>
                <w:szCs w:val="22"/>
              </w:rPr>
            </w:pPr>
          </w:p>
        </w:tc>
        <w:tc>
          <w:tcPr>
            <w:tcW w:w="2155" w:type="dxa"/>
            <w:tcBorders>
              <w:top w:val="nil"/>
              <w:left w:val="nil"/>
              <w:bottom w:val="nil"/>
              <w:right w:val="nil"/>
            </w:tcBorders>
            <w:shd w:val="clear" w:color="auto" w:fill="auto"/>
            <w:noWrap/>
            <w:vAlign w:val="bottom"/>
            <w:hideMark/>
          </w:tcPr>
          <w:p w14:paraId="7FAD7F32" w14:textId="77777777" w:rsidR="007544C0" w:rsidRPr="00F60C85" w:rsidRDefault="007544C0" w:rsidP="00633CDC">
            <w:pPr>
              <w:jc w:val="center"/>
              <w:rPr>
                <w:sz w:val="22"/>
                <w:szCs w:val="22"/>
              </w:rPr>
            </w:pPr>
          </w:p>
        </w:tc>
        <w:tc>
          <w:tcPr>
            <w:tcW w:w="2154" w:type="dxa"/>
            <w:tcBorders>
              <w:top w:val="nil"/>
              <w:left w:val="nil"/>
              <w:bottom w:val="nil"/>
              <w:right w:val="nil"/>
            </w:tcBorders>
            <w:shd w:val="clear" w:color="auto" w:fill="auto"/>
            <w:noWrap/>
            <w:vAlign w:val="bottom"/>
            <w:hideMark/>
          </w:tcPr>
          <w:p w14:paraId="3DF58EC9" w14:textId="77777777" w:rsidR="007544C0" w:rsidRPr="00F60C85" w:rsidRDefault="007544C0" w:rsidP="00633CDC">
            <w:pPr>
              <w:jc w:val="center"/>
              <w:rPr>
                <w:sz w:val="22"/>
                <w:szCs w:val="22"/>
              </w:rPr>
            </w:pPr>
          </w:p>
        </w:tc>
        <w:tc>
          <w:tcPr>
            <w:tcW w:w="2155" w:type="dxa"/>
            <w:tcBorders>
              <w:top w:val="nil"/>
              <w:left w:val="nil"/>
              <w:bottom w:val="nil"/>
              <w:right w:val="nil"/>
            </w:tcBorders>
            <w:shd w:val="clear" w:color="auto" w:fill="auto"/>
            <w:noWrap/>
            <w:vAlign w:val="bottom"/>
            <w:hideMark/>
          </w:tcPr>
          <w:p w14:paraId="107384F9" w14:textId="77777777" w:rsidR="007544C0" w:rsidRPr="00F60C85" w:rsidRDefault="007544C0" w:rsidP="00633CDC">
            <w:pPr>
              <w:jc w:val="center"/>
              <w:rPr>
                <w:sz w:val="22"/>
                <w:szCs w:val="22"/>
              </w:rPr>
            </w:pPr>
          </w:p>
        </w:tc>
        <w:tc>
          <w:tcPr>
            <w:tcW w:w="2155" w:type="dxa"/>
            <w:tcBorders>
              <w:top w:val="nil"/>
              <w:left w:val="nil"/>
              <w:bottom w:val="nil"/>
              <w:right w:val="nil"/>
            </w:tcBorders>
            <w:shd w:val="clear" w:color="auto" w:fill="auto"/>
            <w:noWrap/>
            <w:vAlign w:val="bottom"/>
            <w:hideMark/>
          </w:tcPr>
          <w:p w14:paraId="3AC0F0AA" w14:textId="77777777" w:rsidR="007544C0" w:rsidRPr="00F60C85" w:rsidRDefault="007544C0" w:rsidP="00633CDC">
            <w:pPr>
              <w:jc w:val="center"/>
              <w:rPr>
                <w:sz w:val="22"/>
                <w:szCs w:val="22"/>
              </w:rPr>
            </w:pPr>
          </w:p>
        </w:tc>
      </w:tr>
      <w:tr w:rsidR="007544C0" w14:paraId="1A7C4759"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4C058B22"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Oral corticosteroids</w:t>
            </w:r>
          </w:p>
        </w:tc>
        <w:tc>
          <w:tcPr>
            <w:tcW w:w="2154" w:type="dxa"/>
            <w:tcBorders>
              <w:top w:val="nil"/>
              <w:left w:val="nil"/>
              <w:bottom w:val="nil"/>
              <w:right w:val="nil"/>
            </w:tcBorders>
            <w:shd w:val="clear" w:color="auto" w:fill="D9D9D9" w:themeFill="background1" w:themeFillShade="D9"/>
            <w:noWrap/>
            <w:vAlign w:val="bottom"/>
            <w:hideMark/>
          </w:tcPr>
          <w:p w14:paraId="0BB7679A"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400 (91.1)</w:t>
            </w:r>
          </w:p>
        </w:tc>
        <w:tc>
          <w:tcPr>
            <w:tcW w:w="2155" w:type="dxa"/>
            <w:tcBorders>
              <w:top w:val="nil"/>
              <w:left w:val="nil"/>
              <w:bottom w:val="nil"/>
              <w:right w:val="nil"/>
            </w:tcBorders>
            <w:shd w:val="clear" w:color="auto" w:fill="D9D9D9" w:themeFill="background1" w:themeFillShade="D9"/>
            <w:noWrap/>
            <w:vAlign w:val="bottom"/>
            <w:hideMark/>
          </w:tcPr>
          <w:p w14:paraId="160E4707"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178 (90.8)</w:t>
            </w:r>
          </w:p>
        </w:tc>
        <w:tc>
          <w:tcPr>
            <w:tcW w:w="2154" w:type="dxa"/>
            <w:tcBorders>
              <w:top w:val="nil"/>
              <w:left w:val="nil"/>
              <w:bottom w:val="nil"/>
              <w:right w:val="nil"/>
            </w:tcBorders>
            <w:shd w:val="clear" w:color="auto" w:fill="D9D9D9" w:themeFill="background1" w:themeFillShade="D9"/>
            <w:noWrap/>
            <w:vAlign w:val="bottom"/>
            <w:hideMark/>
          </w:tcPr>
          <w:p w14:paraId="3CC7A758"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200 (90.9)</w:t>
            </w:r>
          </w:p>
        </w:tc>
        <w:tc>
          <w:tcPr>
            <w:tcW w:w="2155" w:type="dxa"/>
            <w:tcBorders>
              <w:top w:val="nil"/>
              <w:left w:val="nil"/>
              <w:bottom w:val="nil"/>
              <w:right w:val="nil"/>
            </w:tcBorders>
            <w:shd w:val="clear" w:color="auto" w:fill="D9D9D9" w:themeFill="background1" w:themeFillShade="D9"/>
            <w:noWrap/>
            <w:vAlign w:val="bottom"/>
            <w:hideMark/>
          </w:tcPr>
          <w:p w14:paraId="526B9F9A"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22 (95.7)</w:t>
            </w:r>
          </w:p>
        </w:tc>
        <w:tc>
          <w:tcPr>
            <w:tcW w:w="2155" w:type="dxa"/>
            <w:tcBorders>
              <w:top w:val="nil"/>
              <w:left w:val="nil"/>
              <w:bottom w:val="nil"/>
              <w:right w:val="nil"/>
            </w:tcBorders>
            <w:shd w:val="clear" w:color="auto" w:fill="D9D9D9" w:themeFill="background1" w:themeFillShade="D9"/>
            <w:noWrap/>
            <w:vAlign w:val="bottom"/>
            <w:hideMark/>
          </w:tcPr>
          <w:p w14:paraId="05D6BF79"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0.922</w:t>
            </w:r>
          </w:p>
        </w:tc>
      </w:tr>
      <w:tr w:rsidR="007544C0" w14:paraId="333A7B36" w14:textId="77777777" w:rsidTr="00F60C85">
        <w:trPr>
          <w:trHeight w:val="320"/>
        </w:trPr>
        <w:tc>
          <w:tcPr>
            <w:tcW w:w="3402" w:type="dxa"/>
            <w:tcBorders>
              <w:top w:val="nil"/>
              <w:left w:val="nil"/>
              <w:bottom w:val="nil"/>
              <w:right w:val="nil"/>
            </w:tcBorders>
            <w:shd w:val="clear" w:color="auto" w:fill="auto"/>
            <w:noWrap/>
            <w:vAlign w:val="bottom"/>
            <w:hideMark/>
          </w:tcPr>
          <w:p w14:paraId="2CC9D243"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IV corticosteroids</w:t>
            </w:r>
          </w:p>
        </w:tc>
        <w:tc>
          <w:tcPr>
            <w:tcW w:w="2154" w:type="dxa"/>
            <w:tcBorders>
              <w:top w:val="nil"/>
              <w:left w:val="nil"/>
              <w:bottom w:val="nil"/>
              <w:right w:val="nil"/>
            </w:tcBorders>
            <w:shd w:val="clear" w:color="auto" w:fill="auto"/>
            <w:noWrap/>
            <w:vAlign w:val="bottom"/>
            <w:hideMark/>
          </w:tcPr>
          <w:p w14:paraId="55941F44"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233 (53.1)</w:t>
            </w:r>
          </w:p>
        </w:tc>
        <w:tc>
          <w:tcPr>
            <w:tcW w:w="2155" w:type="dxa"/>
            <w:tcBorders>
              <w:top w:val="nil"/>
              <w:left w:val="nil"/>
              <w:bottom w:val="nil"/>
              <w:right w:val="nil"/>
            </w:tcBorders>
            <w:shd w:val="clear" w:color="auto" w:fill="auto"/>
            <w:noWrap/>
            <w:vAlign w:val="bottom"/>
            <w:hideMark/>
          </w:tcPr>
          <w:p w14:paraId="2E80661F"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100 (51.0)</w:t>
            </w:r>
          </w:p>
        </w:tc>
        <w:tc>
          <w:tcPr>
            <w:tcW w:w="2154" w:type="dxa"/>
            <w:tcBorders>
              <w:top w:val="nil"/>
              <w:left w:val="nil"/>
              <w:bottom w:val="nil"/>
              <w:right w:val="nil"/>
            </w:tcBorders>
            <w:shd w:val="clear" w:color="auto" w:fill="auto"/>
            <w:noWrap/>
            <w:vAlign w:val="bottom"/>
            <w:hideMark/>
          </w:tcPr>
          <w:p w14:paraId="0EDA74C1"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124 (56.4)</w:t>
            </w:r>
          </w:p>
        </w:tc>
        <w:tc>
          <w:tcPr>
            <w:tcW w:w="2155" w:type="dxa"/>
            <w:tcBorders>
              <w:top w:val="nil"/>
              <w:left w:val="nil"/>
              <w:bottom w:val="nil"/>
              <w:right w:val="nil"/>
            </w:tcBorders>
            <w:shd w:val="clear" w:color="auto" w:fill="auto"/>
            <w:noWrap/>
            <w:vAlign w:val="bottom"/>
            <w:hideMark/>
          </w:tcPr>
          <w:p w14:paraId="6DBDBA25"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 (39.1)</w:t>
            </w:r>
          </w:p>
        </w:tc>
        <w:tc>
          <w:tcPr>
            <w:tcW w:w="2155" w:type="dxa"/>
            <w:tcBorders>
              <w:top w:val="nil"/>
              <w:left w:val="nil"/>
              <w:bottom w:val="nil"/>
              <w:right w:val="nil"/>
            </w:tcBorders>
            <w:shd w:val="clear" w:color="auto" w:fill="auto"/>
            <w:noWrap/>
            <w:vAlign w:val="bottom"/>
            <w:hideMark/>
          </w:tcPr>
          <w:p w14:paraId="229B19D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0.214</w:t>
            </w:r>
          </w:p>
        </w:tc>
      </w:tr>
      <w:tr w:rsidR="007544C0" w14:paraId="6FC02357"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65958C00"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Oral cyclophosphamide</w:t>
            </w:r>
          </w:p>
        </w:tc>
        <w:tc>
          <w:tcPr>
            <w:tcW w:w="2154" w:type="dxa"/>
            <w:tcBorders>
              <w:top w:val="nil"/>
              <w:left w:val="nil"/>
              <w:bottom w:val="nil"/>
              <w:right w:val="nil"/>
            </w:tcBorders>
            <w:shd w:val="clear" w:color="auto" w:fill="D9D9D9" w:themeFill="background1" w:themeFillShade="D9"/>
            <w:noWrap/>
            <w:vAlign w:val="bottom"/>
            <w:hideMark/>
          </w:tcPr>
          <w:p w14:paraId="3528BD7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175 (39.9)</w:t>
            </w:r>
          </w:p>
        </w:tc>
        <w:tc>
          <w:tcPr>
            <w:tcW w:w="2155" w:type="dxa"/>
            <w:tcBorders>
              <w:top w:val="nil"/>
              <w:left w:val="nil"/>
              <w:bottom w:val="nil"/>
              <w:right w:val="nil"/>
            </w:tcBorders>
            <w:shd w:val="clear" w:color="auto" w:fill="D9D9D9" w:themeFill="background1" w:themeFillShade="D9"/>
            <w:noWrap/>
            <w:vAlign w:val="bottom"/>
            <w:hideMark/>
          </w:tcPr>
          <w:p w14:paraId="76F9FD95"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92 (46.9)</w:t>
            </w:r>
          </w:p>
        </w:tc>
        <w:tc>
          <w:tcPr>
            <w:tcW w:w="2154" w:type="dxa"/>
            <w:tcBorders>
              <w:top w:val="nil"/>
              <w:left w:val="nil"/>
              <w:bottom w:val="nil"/>
              <w:right w:val="nil"/>
            </w:tcBorders>
            <w:shd w:val="clear" w:color="auto" w:fill="D9D9D9" w:themeFill="background1" w:themeFillShade="D9"/>
            <w:noWrap/>
            <w:vAlign w:val="bottom"/>
            <w:hideMark/>
          </w:tcPr>
          <w:p w14:paraId="6F823E87"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74 (33.6)</w:t>
            </w:r>
          </w:p>
        </w:tc>
        <w:tc>
          <w:tcPr>
            <w:tcW w:w="2155" w:type="dxa"/>
            <w:tcBorders>
              <w:top w:val="nil"/>
              <w:left w:val="nil"/>
              <w:bottom w:val="nil"/>
              <w:right w:val="nil"/>
            </w:tcBorders>
            <w:shd w:val="clear" w:color="auto" w:fill="D9D9D9" w:themeFill="background1" w:themeFillShade="D9"/>
            <w:noWrap/>
            <w:vAlign w:val="bottom"/>
            <w:hideMark/>
          </w:tcPr>
          <w:p w14:paraId="72A5B58E"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 (39.1)</w:t>
            </w:r>
          </w:p>
        </w:tc>
        <w:tc>
          <w:tcPr>
            <w:tcW w:w="2155" w:type="dxa"/>
            <w:tcBorders>
              <w:top w:val="nil"/>
              <w:left w:val="nil"/>
              <w:bottom w:val="nil"/>
              <w:right w:val="nil"/>
            </w:tcBorders>
            <w:shd w:val="clear" w:color="auto" w:fill="D9D9D9" w:themeFill="background1" w:themeFillShade="D9"/>
            <w:noWrap/>
            <w:vAlign w:val="bottom"/>
            <w:hideMark/>
          </w:tcPr>
          <w:p w14:paraId="5A32F3CF"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0.022</w:t>
            </w:r>
          </w:p>
        </w:tc>
      </w:tr>
      <w:tr w:rsidR="007544C0" w14:paraId="36AAB3DC" w14:textId="77777777" w:rsidTr="00F60C85">
        <w:trPr>
          <w:trHeight w:val="320"/>
        </w:trPr>
        <w:tc>
          <w:tcPr>
            <w:tcW w:w="3402" w:type="dxa"/>
            <w:tcBorders>
              <w:top w:val="nil"/>
              <w:left w:val="nil"/>
              <w:bottom w:val="nil"/>
              <w:right w:val="nil"/>
            </w:tcBorders>
            <w:shd w:val="clear" w:color="auto" w:fill="auto"/>
            <w:noWrap/>
            <w:vAlign w:val="bottom"/>
            <w:hideMark/>
          </w:tcPr>
          <w:p w14:paraId="3918A3F6"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IV cyclophosphamide</w:t>
            </w:r>
          </w:p>
        </w:tc>
        <w:tc>
          <w:tcPr>
            <w:tcW w:w="2154" w:type="dxa"/>
            <w:tcBorders>
              <w:top w:val="nil"/>
              <w:left w:val="nil"/>
              <w:bottom w:val="nil"/>
              <w:right w:val="nil"/>
            </w:tcBorders>
            <w:shd w:val="clear" w:color="auto" w:fill="auto"/>
            <w:noWrap/>
            <w:vAlign w:val="bottom"/>
            <w:hideMark/>
          </w:tcPr>
          <w:p w14:paraId="0156E8D1"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138 (31.4)</w:t>
            </w:r>
          </w:p>
        </w:tc>
        <w:tc>
          <w:tcPr>
            <w:tcW w:w="2155" w:type="dxa"/>
            <w:tcBorders>
              <w:top w:val="nil"/>
              <w:left w:val="nil"/>
              <w:bottom w:val="nil"/>
              <w:right w:val="nil"/>
            </w:tcBorders>
            <w:shd w:val="clear" w:color="auto" w:fill="auto"/>
            <w:noWrap/>
            <w:vAlign w:val="bottom"/>
            <w:hideMark/>
          </w:tcPr>
          <w:p w14:paraId="7E2E423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57 (29.1)</w:t>
            </w:r>
          </w:p>
        </w:tc>
        <w:tc>
          <w:tcPr>
            <w:tcW w:w="2154" w:type="dxa"/>
            <w:tcBorders>
              <w:top w:val="nil"/>
              <w:left w:val="nil"/>
              <w:bottom w:val="nil"/>
              <w:right w:val="nil"/>
            </w:tcBorders>
            <w:shd w:val="clear" w:color="auto" w:fill="auto"/>
            <w:noWrap/>
            <w:vAlign w:val="bottom"/>
            <w:hideMark/>
          </w:tcPr>
          <w:p w14:paraId="4FAFED5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78 (35.5)</w:t>
            </w:r>
          </w:p>
        </w:tc>
        <w:tc>
          <w:tcPr>
            <w:tcW w:w="2155" w:type="dxa"/>
            <w:tcBorders>
              <w:top w:val="nil"/>
              <w:left w:val="nil"/>
              <w:bottom w:val="nil"/>
              <w:right w:val="nil"/>
            </w:tcBorders>
            <w:shd w:val="clear" w:color="auto" w:fill="auto"/>
            <w:noWrap/>
            <w:vAlign w:val="bottom"/>
            <w:hideMark/>
          </w:tcPr>
          <w:p w14:paraId="2B31C7A7"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 (13.0)</w:t>
            </w:r>
          </w:p>
        </w:tc>
        <w:tc>
          <w:tcPr>
            <w:tcW w:w="2155" w:type="dxa"/>
            <w:tcBorders>
              <w:top w:val="nil"/>
              <w:left w:val="nil"/>
              <w:bottom w:val="nil"/>
              <w:right w:val="nil"/>
            </w:tcBorders>
            <w:shd w:val="clear" w:color="auto" w:fill="auto"/>
            <w:noWrap/>
            <w:vAlign w:val="bottom"/>
            <w:hideMark/>
          </w:tcPr>
          <w:p w14:paraId="2FC5145B"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0.055</w:t>
            </w:r>
          </w:p>
        </w:tc>
      </w:tr>
      <w:tr w:rsidR="007544C0" w14:paraId="4BD171A7"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4DC2DFBB"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Rituximab</w:t>
            </w:r>
          </w:p>
        </w:tc>
        <w:tc>
          <w:tcPr>
            <w:tcW w:w="2154" w:type="dxa"/>
            <w:tcBorders>
              <w:top w:val="nil"/>
              <w:left w:val="nil"/>
              <w:bottom w:val="nil"/>
              <w:right w:val="nil"/>
            </w:tcBorders>
            <w:shd w:val="clear" w:color="auto" w:fill="D9D9D9" w:themeFill="background1" w:themeFillShade="D9"/>
            <w:noWrap/>
            <w:vAlign w:val="bottom"/>
            <w:hideMark/>
          </w:tcPr>
          <w:p w14:paraId="480DD67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92 (21.0)</w:t>
            </w:r>
          </w:p>
        </w:tc>
        <w:tc>
          <w:tcPr>
            <w:tcW w:w="2155" w:type="dxa"/>
            <w:tcBorders>
              <w:top w:val="nil"/>
              <w:left w:val="nil"/>
              <w:bottom w:val="nil"/>
              <w:right w:val="nil"/>
            </w:tcBorders>
            <w:shd w:val="clear" w:color="auto" w:fill="D9D9D9" w:themeFill="background1" w:themeFillShade="D9"/>
            <w:noWrap/>
            <w:vAlign w:val="bottom"/>
            <w:hideMark/>
          </w:tcPr>
          <w:p w14:paraId="55EA2CCF"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34 (17.3)</w:t>
            </w:r>
          </w:p>
        </w:tc>
        <w:tc>
          <w:tcPr>
            <w:tcW w:w="2154" w:type="dxa"/>
            <w:tcBorders>
              <w:top w:val="nil"/>
              <w:left w:val="nil"/>
              <w:bottom w:val="nil"/>
              <w:right w:val="nil"/>
            </w:tcBorders>
            <w:shd w:val="clear" w:color="auto" w:fill="D9D9D9" w:themeFill="background1" w:themeFillShade="D9"/>
            <w:noWrap/>
            <w:vAlign w:val="bottom"/>
            <w:hideMark/>
          </w:tcPr>
          <w:p w14:paraId="13C5F245"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56 (25.5)</w:t>
            </w:r>
          </w:p>
        </w:tc>
        <w:tc>
          <w:tcPr>
            <w:tcW w:w="2155" w:type="dxa"/>
            <w:tcBorders>
              <w:top w:val="nil"/>
              <w:left w:val="nil"/>
              <w:bottom w:val="nil"/>
              <w:right w:val="nil"/>
            </w:tcBorders>
            <w:shd w:val="clear" w:color="auto" w:fill="D9D9D9" w:themeFill="background1" w:themeFillShade="D9"/>
            <w:noWrap/>
            <w:vAlign w:val="bottom"/>
            <w:hideMark/>
          </w:tcPr>
          <w:p w14:paraId="2BEBF837"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 (8.7)</w:t>
            </w:r>
          </w:p>
        </w:tc>
        <w:tc>
          <w:tcPr>
            <w:tcW w:w="2155" w:type="dxa"/>
            <w:tcBorders>
              <w:top w:val="nil"/>
              <w:left w:val="nil"/>
              <w:bottom w:val="nil"/>
              <w:right w:val="nil"/>
            </w:tcBorders>
            <w:shd w:val="clear" w:color="auto" w:fill="D9D9D9" w:themeFill="background1" w:themeFillShade="D9"/>
            <w:noWrap/>
            <w:vAlign w:val="bottom"/>
            <w:hideMark/>
          </w:tcPr>
          <w:p w14:paraId="169E23D5"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0.046</w:t>
            </w:r>
          </w:p>
        </w:tc>
      </w:tr>
      <w:tr w:rsidR="007544C0" w14:paraId="73D267D7" w14:textId="77777777" w:rsidTr="00F60C85">
        <w:trPr>
          <w:trHeight w:val="320"/>
        </w:trPr>
        <w:tc>
          <w:tcPr>
            <w:tcW w:w="3402" w:type="dxa"/>
            <w:tcBorders>
              <w:top w:val="nil"/>
              <w:left w:val="nil"/>
              <w:bottom w:val="nil"/>
              <w:right w:val="nil"/>
            </w:tcBorders>
            <w:shd w:val="clear" w:color="auto" w:fill="auto"/>
            <w:noWrap/>
            <w:vAlign w:val="bottom"/>
            <w:hideMark/>
          </w:tcPr>
          <w:p w14:paraId="3D01F440"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Methotrexate</w:t>
            </w:r>
          </w:p>
        </w:tc>
        <w:tc>
          <w:tcPr>
            <w:tcW w:w="2154" w:type="dxa"/>
            <w:tcBorders>
              <w:top w:val="nil"/>
              <w:left w:val="nil"/>
              <w:bottom w:val="nil"/>
              <w:right w:val="nil"/>
            </w:tcBorders>
            <w:shd w:val="clear" w:color="auto" w:fill="auto"/>
            <w:noWrap/>
            <w:vAlign w:val="bottom"/>
            <w:hideMark/>
          </w:tcPr>
          <w:p w14:paraId="0F041A4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17 (3.9)</w:t>
            </w:r>
          </w:p>
        </w:tc>
        <w:tc>
          <w:tcPr>
            <w:tcW w:w="2155" w:type="dxa"/>
            <w:tcBorders>
              <w:top w:val="nil"/>
              <w:left w:val="nil"/>
              <w:bottom w:val="nil"/>
              <w:right w:val="nil"/>
            </w:tcBorders>
            <w:shd w:val="clear" w:color="auto" w:fill="auto"/>
            <w:noWrap/>
            <w:vAlign w:val="bottom"/>
            <w:hideMark/>
          </w:tcPr>
          <w:p w14:paraId="2B703C1B"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5 (2.6)</w:t>
            </w:r>
          </w:p>
        </w:tc>
        <w:tc>
          <w:tcPr>
            <w:tcW w:w="2154" w:type="dxa"/>
            <w:tcBorders>
              <w:top w:val="nil"/>
              <w:left w:val="nil"/>
              <w:bottom w:val="nil"/>
              <w:right w:val="nil"/>
            </w:tcBorders>
            <w:shd w:val="clear" w:color="auto" w:fill="auto"/>
            <w:noWrap/>
            <w:vAlign w:val="bottom"/>
            <w:hideMark/>
          </w:tcPr>
          <w:p w14:paraId="0BBEA164"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 (4.1)</w:t>
            </w:r>
          </w:p>
        </w:tc>
        <w:tc>
          <w:tcPr>
            <w:tcW w:w="2155" w:type="dxa"/>
            <w:tcBorders>
              <w:top w:val="nil"/>
              <w:left w:val="nil"/>
              <w:bottom w:val="nil"/>
              <w:right w:val="nil"/>
            </w:tcBorders>
            <w:shd w:val="clear" w:color="auto" w:fill="auto"/>
            <w:noWrap/>
            <w:vAlign w:val="bottom"/>
            <w:hideMark/>
          </w:tcPr>
          <w:p w14:paraId="2B423B0B"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 (13.0)</w:t>
            </w:r>
          </w:p>
        </w:tc>
        <w:tc>
          <w:tcPr>
            <w:tcW w:w="2155" w:type="dxa"/>
            <w:tcBorders>
              <w:top w:val="nil"/>
              <w:left w:val="nil"/>
              <w:bottom w:val="nil"/>
              <w:right w:val="nil"/>
            </w:tcBorders>
            <w:shd w:val="clear" w:color="auto" w:fill="auto"/>
            <w:noWrap/>
            <w:vAlign w:val="bottom"/>
            <w:hideMark/>
          </w:tcPr>
          <w:p w14:paraId="26DFD3F0"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0.062</w:t>
            </w:r>
          </w:p>
        </w:tc>
      </w:tr>
      <w:tr w:rsidR="007544C0" w14:paraId="2D08999E"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69E69226"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Other </w:t>
            </w:r>
          </w:p>
        </w:tc>
        <w:tc>
          <w:tcPr>
            <w:tcW w:w="2154" w:type="dxa"/>
            <w:tcBorders>
              <w:top w:val="nil"/>
              <w:left w:val="nil"/>
              <w:bottom w:val="nil"/>
              <w:right w:val="nil"/>
            </w:tcBorders>
            <w:shd w:val="clear" w:color="auto" w:fill="D9D9D9" w:themeFill="background1" w:themeFillShade="D9"/>
            <w:noWrap/>
            <w:vAlign w:val="bottom"/>
            <w:hideMark/>
          </w:tcPr>
          <w:p w14:paraId="4D819D2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48 (10.9)</w:t>
            </w:r>
          </w:p>
        </w:tc>
        <w:tc>
          <w:tcPr>
            <w:tcW w:w="2155" w:type="dxa"/>
            <w:tcBorders>
              <w:top w:val="nil"/>
              <w:left w:val="nil"/>
              <w:bottom w:val="nil"/>
              <w:right w:val="nil"/>
            </w:tcBorders>
            <w:shd w:val="clear" w:color="auto" w:fill="D9D9D9" w:themeFill="background1" w:themeFillShade="D9"/>
            <w:noWrap/>
            <w:vAlign w:val="bottom"/>
            <w:hideMark/>
          </w:tcPr>
          <w:p w14:paraId="00761FAF"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26 (13.3)</w:t>
            </w:r>
          </w:p>
        </w:tc>
        <w:tc>
          <w:tcPr>
            <w:tcW w:w="2154" w:type="dxa"/>
            <w:tcBorders>
              <w:top w:val="nil"/>
              <w:left w:val="nil"/>
              <w:bottom w:val="nil"/>
              <w:right w:val="nil"/>
            </w:tcBorders>
            <w:shd w:val="clear" w:color="auto" w:fill="D9D9D9" w:themeFill="background1" w:themeFillShade="D9"/>
            <w:noWrap/>
            <w:vAlign w:val="bottom"/>
            <w:hideMark/>
          </w:tcPr>
          <w:p w14:paraId="4EAA397E"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15 (6.8)</w:t>
            </w:r>
          </w:p>
        </w:tc>
        <w:tc>
          <w:tcPr>
            <w:tcW w:w="2155" w:type="dxa"/>
            <w:tcBorders>
              <w:top w:val="nil"/>
              <w:left w:val="nil"/>
              <w:bottom w:val="nil"/>
              <w:right w:val="nil"/>
            </w:tcBorders>
            <w:shd w:val="clear" w:color="auto" w:fill="D9D9D9" w:themeFill="background1" w:themeFillShade="D9"/>
            <w:noWrap/>
            <w:vAlign w:val="bottom"/>
            <w:hideMark/>
          </w:tcPr>
          <w:p w14:paraId="736C6419"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7 (30.4)</w:t>
            </w:r>
          </w:p>
        </w:tc>
        <w:tc>
          <w:tcPr>
            <w:tcW w:w="2155" w:type="dxa"/>
            <w:tcBorders>
              <w:top w:val="nil"/>
              <w:left w:val="nil"/>
              <w:bottom w:val="nil"/>
              <w:right w:val="nil"/>
            </w:tcBorders>
            <w:shd w:val="clear" w:color="auto" w:fill="D9D9D9" w:themeFill="background1" w:themeFillShade="D9"/>
            <w:noWrap/>
            <w:vAlign w:val="bottom"/>
            <w:hideMark/>
          </w:tcPr>
          <w:p w14:paraId="204909C5"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0.096</w:t>
            </w:r>
          </w:p>
        </w:tc>
      </w:tr>
      <w:tr w:rsidR="007544C0" w14:paraId="47D6E6E7" w14:textId="77777777" w:rsidTr="00F60C85">
        <w:trPr>
          <w:trHeight w:val="320"/>
        </w:trPr>
        <w:tc>
          <w:tcPr>
            <w:tcW w:w="3402" w:type="dxa"/>
            <w:tcBorders>
              <w:top w:val="nil"/>
              <w:left w:val="nil"/>
              <w:bottom w:val="nil"/>
              <w:right w:val="nil"/>
            </w:tcBorders>
            <w:shd w:val="clear" w:color="auto" w:fill="auto"/>
            <w:noWrap/>
            <w:vAlign w:val="bottom"/>
            <w:hideMark/>
          </w:tcPr>
          <w:p w14:paraId="3DFA0E14"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Plasma exchange</w:t>
            </w:r>
          </w:p>
        </w:tc>
        <w:tc>
          <w:tcPr>
            <w:tcW w:w="2154" w:type="dxa"/>
            <w:tcBorders>
              <w:top w:val="nil"/>
              <w:left w:val="nil"/>
              <w:bottom w:val="nil"/>
              <w:right w:val="nil"/>
            </w:tcBorders>
            <w:shd w:val="clear" w:color="auto" w:fill="auto"/>
            <w:noWrap/>
            <w:vAlign w:val="bottom"/>
            <w:hideMark/>
          </w:tcPr>
          <w:p w14:paraId="3CFADA46"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90 (20.5)</w:t>
            </w:r>
          </w:p>
        </w:tc>
        <w:tc>
          <w:tcPr>
            <w:tcW w:w="2155" w:type="dxa"/>
            <w:tcBorders>
              <w:top w:val="nil"/>
              <w:left w:val="nil"/>
              <w:bottom w:val="nil"/>
              <w:right w:val="nil"/>
            </w:tcBorders>
            <w:shd w:val="clear" w:color="auto" w:fill="auto"/>
            <w:noWrap/>
            <w:vAlign w:val="bottom"/>
            <w:hideMark/>
          </w:tcPr>
          <w:p w14:paraId="7E94946E"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41 (20.9)</w:t>
            </w:r>
          </w:p>
        </w:tc>
        <w:tc>
          <w:tcPr>
            <w:tcW w:w="2154" w:type="dxa"/>
            <w:tcBorders>
              <w:top w:val="nil"/>
              <w:left w:val="nil"/>
              <w:bottom w:val="nil"/>
              <w:right w:val="nil"/>
            </w:tcBorders>
            <w:shd w:val="clear" w:color="auto" w:fill="auto"/>
            <w:noWrap/>
            <w:vAlign w:val="bottom"/>
            <w:hideMark/>
          </w:tcPr>
          <w:p w14:paraId="250F3A78"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48 (21.8)</w:t>
            </w:r>
          </w:p>
        </w:tc>
        <w:tc>
          <w:tcPr>
            <w:tcW w:w="2155" w:type="dxa"/>
            <w:tcBorders>
              <w:top w:val="nil"/>
              <w:left w:val="nil"/>
              <w:bottom w:val="nil"/>
              <w:right w:val="nil"/>
            </w:tcBorders>
            <w:shd w:val="clear" w:color="auto" w:fill="auto"/>
            <w:noWrap/>
            <w:vAlign w:val="bottom"/>
            <w:hideMark/>
          </w:tcPr>
          <w:p w14:paraId="5442E6D5"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 (4.3)</w:t>
            </w:r>
          </w:p>
        </w:tc>
        <w:tc>
          <w:tcPr>
            <w:tcW w:w="2155" w:type="dxa"/>
            <w:tcBorders>
              <w:top w:val="nil"/>
              <w:left w:val="nil"/>
              <w:bottom w:val="nil"/>
              <w:right w:val="nil"/>
            </w:tcBorders>
            <w:shd w:val="clear" w:color="auto" w:fill="auto"/>
            <w:noWrap/>
            <w:vAlign w:val="bottom"/>
            <w:hideMark/>
          </w:tcPr>
          <w:p w14:paraId="259E6008"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0.13</w:t>
            </w:r>
          </w:p>
        </w:tc>
      </w:tr>
      <w:tr w:rsidR="007544C0" w14:paraId="2959DA13"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1A64F726" w14:textId="77777777" w:rsidR="007544C0" w:rsidRPr="00F60C85" w:rsidRDefault="007544C0" w:rsidP="00633CDC">
            <w:pPr>
              <w:rPr>
                <w:rFonts w:ascii="Calibri" w:hAnsi="Calibri" w:cs="Calibri"/>
                <w:i/>
                <w:color w:val="000000"/>
                <w:sz w:val="22"/>
                <w:szCs w:val="22"/>
              </w:rPr>
            </w:pPr>
            <w:r w:rsidRPr="00F60C85">
              <w:rPr>
                <w:rFonts w:ascii="Calibri" w:hAnsi="Calibri" w:cs="Calibri"/>
                <w:i/>
                <w:color w:val="000000"/>
                <w:sz w:val="22"/>
                <w:szCs w:val="22"/>
              </w:rPr>
              <w:t>Maintenance treatment (%)</w:t>
            </w:r>
          </w:p>
        </w:tc>
        <w:tc>
          <w:tcPr>
            <w:tcW w:w="2154" w:type="dxa"/>
            <w:tcBorders>
              <w:top w:val="nil"/>
              <w:left w:val="nil"/>
              <w:bottom w:val="nil"/>
              <w:right w:val="nil"/>
            </w:tcBorders>
            <w:shd w:val="clear" w:color="auto" w:fill="D9D9D9" w:themeFill="background1" w:themeFillShade="D9"/>
            <w:noWrap/>
            <w:vAlign w:val="bottom"/>
            <w:hideMark/>
          </w:tcPr>
          <w:p w14:paraId="2E6A2E5E" w14:textId="77777777" w:rsidR="007544C0" w:rsidRPr="00F60C85" w:rsidRDefault="007544C0" w:rsidP="00633CDC">
            <w:pPr>
              <w:rPr>
                <w:rFonts w:ascii="Calibri" w:hAnsi="Calibri" w:cs="Calibri"/>
                <w:i/>
                <w:color w:val="000000"/>
                <w:sz w:val="22"/>
                <w:szCs w:val="22"/>
              </w:rPr>
            </w:pPr>
          </w:p>
        </w:tc>
        <w:tc>
          <w:tcPr>
            <w:tcW w:w="2155" w:type="dxa"/>
            <w:tcBorders>
              <w:top w:val="nil"/>
              <w:left w:val="nil"/>
              <w:bottom w:val="nil"/>
              <w:right w:val="nil"/>
            </w:tcBorders>
            <w:shd w:val="clear" w:color="auto" w:fill="D9D9D9" w:themeFill="background1" w:themeFillShade="D9"/>
            <w:noWrap/>
            <w:vAlign w:val="bottom"/>
            <w:hideMark/>
          </w:tcPr>
          <w:p w14:paraId="3A81A384" w14:textId="77777777" w:rsidR="007544C0" w:rsidRPr="00F60C85" w:rsidRDefault="007544C0" w:rsidP="00633CDC">
            <w:pPr>
              <w:jc w:val="center"/>
              <w:rPr>
                <w:sz w:val="22"/>
                <w:szCs w:val="22"/>
              </w:rPr>
            </w:pPr>
          </w:p>
        </w:tc>
        <w:tc>
          <w:tcPr>
            <w:tcW w:w="2154" w:type="dxa"/>
            <w:tcBorders>
              <w:top w:val="nil"/>
              <w:left w:val="nil"/>
              <w:bottom w:val="nil"/>
              <w:right w:val="nil"/>
            </w:tcBorders>
            <w:shd w:val="clear" w:color="auto" w:fill="D9D9D9" w:themeFill="background1" w:themeFillShade="D9"/>
            <w:noWrap/>
            <w:vAlign w:val="bottom"/>
            <w:hideMark/>
          </w:tcPr>
          <w:p w14:paraId="1A6AD0DA" w14:textId="77777777" w:rsidR="007544C0" w:rsidRPr="00F60C85" w:rsidRDefault="007544C0" w:rsidP="00633CDC">
            <w:pPr>
              <w:jc w:val="center"/>
              <w:rPr>
                <w:sz w:val="22"/>
                <w:szCs w:val="22"/>
              </w:rPr>
            </w:pPr>
          </w:p>
        </w:tc>
        <w:tc>
          <w:tcPr>
            <w:tcW w:w="2155" w:type="dxa"/>
            <w:tcBorders>
              <w:top w:val="nil"/>
              <w:left w:val="nil"/>
              <w:bottom w:val="nil"/>
              <w:right w:val="nil"/>
            </w:tcBorders>
            <w:shd w:val="clear" w:color="auto" w:fill="D9D9D9" w:themeFill="background1" w:themeFillShade="D9"/>
            <w:noWrap/>
            <w:vAlign w:val="bottom"/>
            <w:hideMark/>
          </w:tcPr>
          <w:p w14:paraId="0EDB0321" w14:textId="77777777" w:rsidR="007544C0" w:rsidRPr="00F60C85" w:rsidRDefault="007544C0" w:rsidP="00633CDC">
            <w:pPr>
              <w:jc w:val="center"/>
              <w:rPr>
                <w:sz w:val="22"/>
                <w:szCs w:val="22"/>
              </w:rPr>
            </w:pPr>
          </w:p>
        </w:tc>
        <w:tc>
          <w:tcPr>
            <w:tcW w:w="2155" w:type="dxa"/>
            <w:tcBorders>
              <w:top w:val="nil"/>
              <w:left w:val="nil"/>
              <w:bottom w:val="nil"/>
              <w:right w:val="nil"/>
            </w:tcBorders>
            <w:shd w:val="clear" w:color="auto" w:fill="D9D9D9" w:themeFill="background1" w:themeFillShade="D9"/>
            <w:noWrap/>
            <w:vAlign w:val="bottom"/>
            <w:hideMark/>
          </w:tcPr>
          <w:p w14:paraId="0313CADB" w14:textId="77777777" w:rsidR="007544C0" w:rsidRPr="00F60C85" w:rsidRDefault="007544C0" w:rsidP="00633CDC">
            <w:pPr>
              <w:jc w:val="center"/>
              <w:rPr>
                <w:sz w:val="22"/>
                <w:szCs w:val="22"/>
              </w:rPr>
            </w:pPr>
          </w:p>
        </w:tc>
      </w:tr>
      <w:tr w:rsidR="007544C0" w14:paraId="15399878" w14:textId="77777777" w:rsidTr="00F60C85">
        <w:trPr>
          <w:trHeight w:val="320"/>
        </w:trPr>
        <w:tc>
          <w:tcPr>
            <w:tcW w:w="3402" w:type="dxa"/>
            <w:tcBorders>
              <w:top w:val="nil"/>
              <w:left w:val="nil"/>
              <w:bottom w:val="nil"/>
              <w:right w:val="nil"/>
            </w:tcBorders>
            <w:shd w:val="clear" w:color="auto" w:fill="auto"/>
            <w:noWrap/>
            <w:vAlign w:val="bottom"/>
            <w:hideMark/>
          </w:tcPr>
          <w:p w14:paraId="770FCC50"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Oral corticosteroids</w:t>
            </w:r>
          </w:p>
        </w:tc>
        <w:tc>
          <w:tcPr>
            <w:tcW w:w="2154" w:type="dxa"/>
            <w:tcBorders>
              <w:top w:val="nil"/>
              <w:left w:val="nil"/>
              <w:bottom w:val="nil"/>
              <w:right w:val="nil"/>
            </w:tcBorders>
            <w:shd w:val="clear" w:color="auto" w:fill="auto"/>
            <w:noWrap/>
            <w:vAlign w:val="bottom"/>
            <w:hideMark/>
          </w:tcPr>
          <w:p w14:paraId="341E1FD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365 (83.1)</w:t>
            </w:r>
          </w:p>
        </w:tc>
        <w:tc>
          <w:tcPr>
            <w:tcW w:w="2155" w:type="dxa"/>
            <w:tcBorders>
              <w:top w:val="nil"/>
              <w:left w:val="nil"/>
              <w:bottom w:val="nil"/>
              <w:right w:val="nil"/>
            </w:tcBorders>
            <w:shd w:val="clear" w:color="auto" w:fill="auto"/>
            <w:noWrap/>
            <w:vAlign w:val="bottom"/>
            <w:hideMark/>
          </w:tcPr>
          <w:p w14:paraId="02B90C1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165 (84.2)</w:t>
            </w:r>
          </w:p>
        </w:tc>
        <w:tc>
          <w:tcPr>
            <w:tcW w:w="2154" w:type="dxa"/>
            <w:tcBorders>
              <w:top w:val="nil"/>
              <w:left w:val="nil"/>
              <w:bottom w:val="nil"/>
              <w:right w:val="nil"/>
            </w:tcBorders>
            <w:shd w:val="clear" w:color="auto" w:fill="auto"/>
            <w:noWrap/>
            <w:vAlign w:val="bottom"/>
            <w:hideMark/>
          </w:tcPr>
          <w:p w14:paraId="1010DD84"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178 (80.9)</w:t>
            </w:r>
          </w:p>
        </w:tc>
        <w:tc>
          <w:tcPr>
            <w:tcW w:w="2155" w:type="dxa"/>
            <w:tcBorders>
              <w:top w:val="nil"/>
              <w:left w:val="nil"/>
              <w:bottom w:val="nil"/>
              <w:right w:val="nil"/>
            </w:tcBorders>
            <w:shd w:val="clear" w:color="auto" w:fill="auto"/>
            <w:noWrap/>
            <w:vAlign w:val="bottom"/>
            <w:hideMark/>
          </w:tcPr>
          <w:p w14:paraId="720ED5A9"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22 (95.7)</w:t>
            </w:r>
          </w:p>
        </w:tc>
        <w:tc>
          <w:tcPr>
            <w:tcW w:w="2155" w:type="dxa"/>
            <w:tcBorders>
              <w:top w:val="nil"/>
              <w:left w:val="nil"/>
              <w:bottom w:val="nil"/>
              <w:right w:val="nil"/>
            </w:tcBorders>
            <w:shd w:val="clear" w:color="auto" w:fill="auto"/>
            <w:noWrap/>
            <w:vAlign w:val="bottom"/>
            <w:hideMark/>
          </w:tcPr>
          <w:p w14:paraId="3E27BAE4"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0.184</w:t>
            </w:r>
          </w:p>
        </w:tc>
      </w:tr>
      <w:tr w:rsidR="007544C0" w14:paraId="1F264468"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5D9AECB0"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Azathioprine</w:t>
            </w:r>
          </w:p>
        </w:tc>
        <w:tc>
          <w:tcPr>
            <w:tcW w:w="2154" w:type="dxa"/>
            <w:tcBorders>
              <w:top w:val="nil"/>
              <w:left w:val="nil"/>
              <w:bottom w:val="nil"/>
              <w:right w:val="nil"/>
            </w:tcBorders>
            <w:shd w:val="clear" w:color="auto" w:fill="D9D9D9" w:themeFill="background1" w:themeFillShade="D9"/>
            <w:noWrap/>
            <w:vAlign w:val="bottom"/>
            <w:hideMark/>
          </w:tcPr>
          <w:p w14:paraId="1B770584"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243 (55.4)</w:t>
            </w:r>
          </w:p>
        </w:tc>
        <w:tc>
          <w:tcPr>
            <w:tcW w:w="2155" w:type="dxa"/>
            <w:tcBorders>
              <w:top w:val="nil"/>
              <w:left w:val="nil"/>
              <w:bottom w:val="nil"/>
              <w:right w:val="nil"/>
            </w:tcBorders>
            <w:shd w:val="clear" w:color="auto" w:fill="D9D9D9" w:themeFill="background1" w:themeFillShade="D9"/>
            <w:noWrap/>
            <w:vAlign w:val="bottom"/>
            <w:hideMark/>
          </w:tcPr>
          <w:p w14:paraId="401B49CF"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114 (58.2)</w:t>
            </w:r>
          </w:p>
        </w:tc>
        <w:tc>
          <w:tcPr>
            <w:tcW w:w="2154" w:type="dxa"/>
            <w:tcBorders>
              <w:top w:val="nil"/>
              <w:left w:val="nil"/>
              <w:bottom w:val="nil"/>
              <w:right w:val="nil"/>
            </w:tcBorders>
            <w:shd w:val="clear" w:color="auto" w:fill="D9D9D9" w:themeFill="background1" w:themeFillShade="D9"/>
            <w:noWrap/>
            <w:vAlign w:val="bottom"/>
            <w:hideMark/>
          </w:tcPr>
          <w:p w14:paraId="71EB4E28"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117 (53.2)</w:t>
            </w:r>
          </w:p>
        </w:tc>
        <w:tc>
          <w:tcPr>
            <w:tcW w:w="2155" w:type="dxa"/>
            <w:tcBorders>
              <w:top w:val="nil"/>
              <w:left w:val="nil"/>
              <w:bottom w:val="nil"/>
              <w:right w:val="nil"/>
            </w:tcBorders>
            <w:shd w:val="clear" w:color="auto" w:fill="D9D9D9" w:themeFill="background1" w:themeFillShade="D9"/>
            <w:noWrap/>
            <w:vAlign w:val="bottom"/>
            <w:hideMark/>
          </w:tcPr>
          <w:p w14:paraId="6B224B11"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12 (52.2)</w:t>
            </w:r>
          </w:p>
        </w:tc>
        <w:tc>
          <w:tcPr>
            <w:tcW w:w="2155" w:type="dxa"/>
            <w:tcBorders>
              <w:top w:val="nil"/>
              <w:left w:val="nil"/>
              <w:bottom w:val="nil"/>
              <w:right w:val="nil"/>
            </w:tcBorders>
            <w:shd w:val="clear" w:color="auto" w:fill="D9D9D9" w:themeFill="background1" w:themeFillShade="D9"/>
            <w:noWrap/>
            <w:vAlign w:val="bottom"/>
            <w:hideMark/>
          </w:tcPr>
          <w:p w14:paraId="1DA6B2CE"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0.566</w:t>
            </w:r>
          </w:p>
        </w:tc>
      </w:tr>
      <w:tr w:rsidR="007544C0" w14:paraId="57528367" w14:textId="77777777" w:rsidTr="00F60C85">
        <w:trPr>
          <w:trHeight w:val="320"/>
        </w:trPr>
        <w:tc>
          <w:tcPr>
            <w:tcW w:w="3402" w:type="dxa"/>
            <w:tcBorders>
              <w:top w:val="nil"/>
              <w:left w:val="nil"/>
              <w:bottom w:val="nil"/>
              <w:right w:val="nil"/>
            </w:tcBorders>
            <w:shd w:val="clear" w:color="auto" w:fill="auto"/>
            <w:noWrap/>
            <w:vAlign w:val="bottom"/>
            <w:hideMark/>
          </w:tcPr>
          <w:p w14:paraId="1A1B0CC5"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Rituximab</w:t>
            </w:r>
          </w:p>
        </w:tc>
        <w:tc>
          <w:tcPr>
            <w:tcW w:w="2154" w:type="dxa"/>
            <w:tcBorders>
              <w:top w:val="nil"/>
              <w:left w:val="nil"/>
              <w:bottom w:val="nil"/>
              <w:right w:val="nil"/>
            </w:tcBorders>
            <w:shd w:val="clear" w:color="auto" w:fill="auto"/>
            <w:noWrap/>
            <w:vAlign w:val="bottom"/>
            <w:hideMark/>
          </w:tcPr>
          <w:p w14:paraId="1AC5A3E1"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94 (21.4)</w:t>
            </w:r>
          </w:p>
        </w:tc>
        <w:tc>
          <w:tcPr>
            <w:tcW w:w="2155" w:type="dxa"/>
            <w:tcBorders>
              <w:top w:val="nil"/>
              <w:left w:val="nil"/>
              <w:bottom w:val="nil"/>
              <w:right w:val="nil"/>
            </w:tcBorders>
            <w:shd w:val="clear" w:color="auto" w:fill="auto"/>
            <w:noWrap/>
            <w:vAlign w:val="bottom"/>
            <w:hideMark/>
          </w:tcPr>
          <w:p w14:paraId="2B2CBF10"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55 (28.1)</w:t>
            </w:r>
          </w:p>
        </w:tc>
        <w:tc>
          <w:tcPr>
            <w:tcW w:w="2154" w:type="dxa"/>
            <w:tcBorders>
              <w:top w:val="nil"/>
              <w:left w:val="nil"/>
              <w:bottom w:val="nil"/>
              <w:right w:val="nil"/>
            </w:tcBorders>
            <w:shd w:val="clear" w:color="auto" w:fill="auto"/>
            <w:noWrap/>
            <w:vAlign w:val="bottom"/>
            <w:hideMark/>
          </w:tcPr>
          <w:p w14:paraId="6EAA97D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36 (16.4)</w:t>
            </w:r>
          </w:p>
        </w:tc>
        <w:tc>
          <w:tcPr>
            <w:tcW w:w="2155" w:type="dxa"/>
            <w:tcBorders>
              <w:top w:val="nil"/>
              <w:left w:val="nil"/>
              <w:bottom w:val="nil"/>
              <w:right w:val="nil"/>
            </w:tcBorders>
            <w:shd w:val="clear" w:color="auto" w:fill="auto"/>
            <w:noWrap/>
            <w:vAlign w:val="bottom"/>
            <w:hideMark/>
          </w:tcPr>
          <w:p w14:paraId="2190C4F7"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 (13.0)</w:t>
            </w:r>
          </w:p>
        </w:tc>
        <w:tc>
          <w:tcPr>
            <w:tcW w:w="2155" w:type="dxa"/>
            <w:tcBorders>
              <w:top w:val="nil"/>
              <w:left w:val="nil"/>
              <w:bottom w:val="nil"/>
              <w:right w:val="nil"/>
            </w:tcBorders>
            <w:shd w:val="clear" w:color="auto" w:fill="auto"/>
            <w:noWrap/>
            <w:vAlign w:val="bottom"/>
            <w:hideMark/>
          </w:tcPr>
          <w:p w14:paraId="49E0FCE4"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0.01</w:t>
            </w:r>
          </w:p>
        </w:tc>
      </w:tr>
      <w:tr w:rsidR="007544C0" w14:paraId="51044C8B"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1387F8B0"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Mycophenolate Mofetil</w:t>
            </w:r>
          </w:p>
        </w:tc>
        <w:tc>
          <w:tcPr>
            <w:tcW w:w="2154" w:type="dxa"/>
            <w:tcBorders>
              <w:top w:val="nil"/>
              <w:left w:val="nil"/>
              <w:bottom w:val="nil"/>
              <w:right w:val="nil"/>
            </w:tcBorders>
            <w:shd w:val="clear" w:color="auto" w:fill="D9D9D9" w:themeFill="background1" w:themeFillShade="D9"/>
            <w:noWrap/>
            <w:vAlign w:val="bottom"/>
            <w:hideMark/>
          </w:tcPr>
          <w:p w14:paraId="625C2B7D"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89 (20.3)</w:t>
            </w:r>
          </w:p>
        </w:tc>
        <w:tc>
          <w:tcPr>
            <w:tcW w:w="2155" w:type="dxa"/>
            <w:tcBorders>
              <w:top w:val="nil"/>
              <w:left w:val="nil"/>
              <w:bottom w:val="nil"/>
              <w:right w:val="nil"/>
            </w:tcBorders>
            <w:shd w:val="clear" w:color="auto" w:fill="D9D9D9" w:themeFill="background1" w:themeFillShade="D9"/>
            <w:noWrap/>
            <w:vAlign w:val="bottom"/>
            <w:hideMark/>
          </w:tcPr>
          <w:p w14:paraId="04FD330E"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36 (18.4)</w:t>
            </w:r>
          </w:p>
        </w:tc>
        <w:tc>
          <w:tcPr>
            <w:tcW w:w="2154" w:type="dxa"/>
            <w:tcBorders>
              <w:top w:val="nil"/>
              <w:left w:val="nil"/>
              <w:bottom w:val="nil"/>
              <w:right w:val="nil"/>
            </w:tcBorders>
            <w:shd w:val="clear" w:color="auto" w:fill="D9D9D9" w:themeFill="background1" w:themeFillShade="D9"/>
            <w:noWrap/>
            <w:vAlign w:val="bottom"/>
            <w:hideMark/>
          </w:tcPr>
          <w:p w14:paraId="009C4EFF"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44 (20.0)</w:t>
            </w:r>
          </w:p>
        </w:tc>
        <w:tc>
          <w:tcPr>
            <w:tcW w:w="2155" w:type="dxa"/>
            <w:tcBorders>
              <w:top w:val="nil"/>
              <w:left w:val="nil"/>
              <w:bottom w:val="nil"/>
              <w:right w:val="nil"/>
            </w:tcBorders>
            <w:shd w:val="clear" w:color="auto" w:fill="D9D9D9" w:themeFill="background1" w:themeFillShade="D9"/>
            <w:noWrap/>
            <w:vAlign w:val="bottom"/>
            <w:hideMark/>
          </w:tcPr>
          <w:p w14:paraId="078F34E1"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 (39.1)</w:t>
            </w:r>
          </w:p>
        </w:tc>
        <w:tc>
          <w:tcPr>
            <w:tcW w:w="2155" w:type="dxa"/>
            <w:tcBorders>
              <w:top w:val="nil"/>
              <w:left w:val="nil"/>
              <w:bottom w:val="nil"/>
              <w:right w:val="nil"/>
            </w:tcBorders>
            <w:shd w:val="clear" w:color="auto" w:fill="D9D9D9" w:themeFill="background1" w:themeFillShade="D9"/>
            <w:noWrap/>
            <w:vAlign w:val="bottom"/>
            <w:hideMark/>
          </w:tcPr>
          <w:p w14:paraId="1BEC3D9C"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0.064</w:t>
            </w:r>
          </w:p>
        </w:tc>
      </w:tr>
      <w:tr w:rsidR="007544C0" w14:paraId="575669F8" w14:textId="77777777" w:rsidTr="00F60C85">
        <w:trPr>
          <w:trHeight w:val="320"/>
        </w:trPr>
        <w:tc>
          <w:tcPr>
            <w:tcW w:w="3402" w:type="dxa"/>
            <w:tcBorders>
              <w:top w:val="nil"/>
              <w:left w:val="nil"/>
              <w:bottom w:val="nil"/>
              <w:right w:val="nil"/>
            </w:tcBorders>
            <w:shd w:val="clear" w:color="auto" w:fill="auto"/>
            <w:noWrap/>
            <w:vAlign w:val="bottom"/>
            <w:hideMark/>
          </w:tcPr>
          <w:p w14:paraId="2CF961E7"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Methotrexate</w:t>
            </w:r>
          </w:p>
        </w:tc>
        <w:tc>
          <w:tcPr>
            <w:tcW w:w="2154" w:type="dxa"/>
            <w:tcBorders>
              <w:top w:val="nil"/>
              <w:left w:val="nil"/>
              <w:bottom w:val="nil"/>
              <w:right w:val="nil"/>
            </w:tcBorders>
            <w:shd w:val="clear" w:color="auto" w:fill="auto"/>
            <w:noWrap/>
            <w:vAlign w:val="bottom"/>
            <w:hideMark/>
          </w:tcPr>
          <w:p w14:paraId="762D9E3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49 (11.2)</w:t>
            </w:r>
          </w:p>
        </w:tc>
        <w:tc>
          <w:tcPr>
            <w:tcW w:w="2155" w:type="dxa"/>
            <w:tcBorders>
              <w:top w:val="nil"/>
              <w:left w:val="nil"/>
              <w:bottom w:val="nil"/>
              <w:right w:val="nil"/>
            </w:tcBorders>
            <w:shd w:val="clear" w:color="auto" w:fill="auto"/>
            <w:noWrap/>
            <w:vAlign w:val="bottom"/>
            <w:hideMark/>
          </w:tcPr>
          <w:p w14:paraId="4F1B0F13"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37 (18.9)</w:t>
            </w:r>
          </w:p>
        </w:tc>
        <w:tc>
          <w:tcPr>
            <w:tcW w:w="2154" w:type="dxa"/>
            <w:tcBorders>
              <w:top w:val="nil"/>
              <w:left w:val="nil"/>
              <w:bottom w:val="nil"/>
              <w:right w:val="nil"/>
            </w:tcBorders>
            <w:shd w:val="clear" w:color="auto" w:fill="auto"/>
            <w:noWrap/>
            <w:vAlign w:val="bottom"/>
            <w:hideMark/>
          </w:tcPr>
          <w:p w14:paraId="5C1E322E"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10 (4.5)</w:t>
            </w:r>
          </w:p>
        </w:tc>
        <w:tc>
          <w:tcPr>
            <w:tcW w:w="2155" w:type="dxa"/>
            <w:tcBorders>
              <w:top w:val="nil"/>
              <w:left w:val="nil"/>
              <w:bottom w:val="nil"/>
              <w:right w:val="nil"/>
            </w:tcBorders>
            <w:shd w:val="clear" w:color="auto" w:fill="auto"/>
            <w:noWrap/>
            <w:vAlign w:val="bottom"/>
            <w:hideMark/>
          </w:tcPr>
          <w:p w14:paraId="0D77E63B"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 (8.7)</w:t>
            </w:r>
          </w:p>
        </w:tc>
        <w:tc>
          <w:tcPr>
            <w:tcW w:w="2155" w:type="dxa"/>
            <w:tcBorders>
              <w:top w:val="nil"/>
              <w:left w:val="nil"/>
              <w:bottom w:val="nil"/>
              <w:right w:val="nil"/>
            </w:tcBorders>
            <w:shd w:val="clear" w:color="auto" w:fill="auto"/>
            <w:noWrap/>
            <w:vAlign w:val="bottom"/>
            <w:hideMark/>
          </w:tcPr>
          <w:p w14:paraId="4BC81EE7"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&lt;0.001</w:t>
            </w:r>
          </w:p>
        </w:tc>
      </w:tr>
      <w:tr w:rsidR="007544C0" w14:paraId="457CAA91" w14:textId="77777777" w:rsidTr="00F60C85">
        <w:trPr>
          <w:trHeight w:val="320"/>
        </w:trPr>
        <w:tc>
          <w:tcPr>
            <w:tcW w:w="3402" w:type="dxa"/>
            <w:tcBorders>
              <w:top w:val="nil"/>
              <w:left w:val="nil"/>
              <w:bottom w:val="nil"/>
              <w:right w:val="nil"/>
            </w:tcBorders>
            <w:shd w:val="clear" w:color="auto" w:fill="D9D9D9" w:themeFill="background1" w:themeFillShade="D9"/>
            <w:noWrap/>
            <w:vAlign w:val="bottom"/>
            <w:hideMark/>
          </w:tcPr>
          <w:p w14:paraId="292C3812" w14:textId="77777777" w:rsidR="007544C0" w:rsidRPr="00F60C85" w:rsidRDefault="007544C0" w:rsidP="00633CDC">
            <w:pPr>
              <w:rPr>
                <w:rFonts w:ascii="Calibri" w:hAnsi="Calibri" w:cs="Calibri"/>
                <w:color w:val="000000"/>
                <w:sz w:val="22"/>
                <w:szCs w:val="22"/>
              </w:rPr>
            </w:pPr>
            <w:r w:rsidRPr="00F60C85">
              <w:rPr>
                <w:rFonts w:ascii="Calibri" w:hAnsi="Calibri" w:cs="Calibri"/>
                <w:color w:val="000000"/>
                <w:sz w:val="22"/>
                <w:szCs w:val="22"/>
              </w:rPr>
              <w:t xml:space="preserve">   Other</w:t>
            </w:r>
          </w:p>
        </w:tc>
        <w:tc>
          <w:tcPr>
            <w:tcW w:w="2154" w:type="dxa"/>
            <w:tcBorders>
              <w:top w:val="nil"/>
              <w:left w:val="nil"/>
              <w:bottom w:val="nil"/>
              <w:right w:val="nil"/>
            </w:tcBorders>
            <w:shd w:val="clear" w:color="auto" w:fill="D9D9D9" w:themeFill="background1" w:themeFillShade="D9"/>
            <w:noWrap/>
            <w:vAlign w:val="bottom"/>
            <w:hideMark/>
          </w:tcPr>
          <w:p w14:paraId="206FD060"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28 (6.4)</w:t>
            </w:r>
          </w:p>
        </w:tc>
        <w:tc>
          <w:tcPr>
            <w:tcW w:w="2155" w:type="dxa"/>
            <w:tcBorders>
              <w:top w:val="nil"/>
              <w:left w:val="nil"/>
              <w:bottom w:val="nil"/>
              <w:right w:val="nil"/>
            </w:tcBorders>
            <w:shd w:val="clear" w:color="auto" w:fill="D9D9D9" w:themeFill="background1" w:themeFillShade="D9"/>
            <w:noWrap/>
            <w:vAlign w:val="bottom"/>
            <w:hideMark/>
          </w:tcPr>
          <w:p w14:paraId="7C99B170"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16 (8.2)</w:t>
            </w:r>
          </w:p>
        </w:tc>
        <w:tc>
          <w:tcPr>
            <w:tcW w:w="2154" w:type="dxa"/>
            <w:tcBorders>
              <w:top w:val="nil"/>
              <w:left w:val="nil"/>
              <w:bottom w:val="nil"/>
              <w:right w:val="nil"/>
            </w:tcBorders>
            <w:shd w:val="clear" w:color="auto" w:fill="D9D9D9" w:themeFill="background1" w:themeFillShade="D9"/>
            <w:noWrap/>
            <w:vAlign w:val="bottom"/>
            <w:hideMark/>
          </w:tcPr>
          <w:p w14:paraId="2F39093A"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9 (4.1)</w:t>
            </w:r>
          </w:p>
        </w:tc>
        <w:tc>
          <w:tcPr>
            <w:tcW w:w="2155" w:type="dxa"/>
            <w:tcBorders>
              <w:top w:val="nil"/>
              <w:left w:val="nil"/>
              <w:bottom w:val="nil"/>
              <w:right w:val="nil"/>
            </w:tcBorders>
            <w:shd w:val="clear" w:color="auto" w:fill="D9D9D9" w:themeFill="background1" w:themeFillShade="D9"/>
            <w:noWrap/>
            <w:vAlign w:val="bottom"/>
            <w:hideMark/>
          </w:tcPr>
          <w:p w14:paraId="3A23D382"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3 (13.0)</w:t>
            </w:r>
          </w:p>
        </w:tc>
        <w:tc>
          <w:tcPr>
            <w:tcW w:w="2155" w:type="dxa"/>
            <w:tcBorders>
              <w:top w:val="nil"/>
              <w:left w:val="nil"/>
              <w:bottom w:val="nil"/>
              <w:right w:val="nil"/>
            </w:tcBorders>
            <w:shd w:val="clear" w:color="auto" w:fill="D9D9D9" w:themeFill="background1" w:themeFillShade="D9"/>
            <w:noWrap/>
            <w:vAlign w:val="bottom"/>
            <w:hideMark/>
          </w:tcPr>
          <w:p w14:paraId="0B75E91D" w14:textId="77777777" w:rsidR="007544C0" w:rsidRPr="00F60C85" w:rsidRDefault="007544C0" w:rsidP="00633CDC">
            <w:pPr>
              <w:jc w:val="center"/>
              <w:rPr>
                <w:rFonts w:ascii="Calibri" w:hAnsi="Calibri" w:cs="Calibri"/>
                <w:color w:val="000000"/>
                <w:sz w:val="22"/>
                <w:szCs w:val="22"/>
              </w:rPr>
            </w:pPr>
            <w:r w:rsidRPr="00F60C85">
              <w:rPr>
                <w:rFonts w:ascii="Calibri" w:hAnsi="Calibri" w:cs="Calibri"/>
                <w:color w:val="000000"/>
                <w:sz w:val="22"/>
                <w:szCs w:val="22"/>
              </w:rPr>
              <w:t>0.052</w:t>
            </w:r>
          </w:p>
        </w:tc>
      </w:tr>
    </w:tbl>
    <w:p w14:paraId="4C09D4AC" w14:textId="77777777" w:rsidR="007544C0" w:rsidRDefault="007544C0" w:rsidP="007544C0">
      <w:pPr>
        <w:rPr>
          <w:rFonts w:cstheme="minorHAnsi"/>
          <w:sz w:val="20"/>
          <w:szCs w:val="20"/>
          <w:shd w:val="clear" w:color="auto" w:fill="FFFFFF"/>
        </w:rPr>
      </w:pPr>
      <w:r>
        <w:rPr>
          <w:rFonts w:cstheme="minorHAnsi"/>
          <w:sz w:val="20"/>
          <w:szCs w:val="20"/>
          <w:shd w:val="clear" w:color="auto" w:fill="FFFFFF"/>
        </w:rPr>
        <w:t>Intravenous (IV)</w:t>
      </w:r>
    </w:p>
    <w:p w14:paraId="5322EC96" w14:textId="77777777" w:rsidR="000D3586" w:rsidRDefault="000D3586" w:rsidP="007544C0">
      <w:pPr>
        <w:rPr>
          <w:rFonts w:cstheme="minorHAnsi"/>
          <w:sz w:val="20"/>
          <w:szCs w:val="20"/>
          <w:shd w:val="clear" w:color="auto" w:fill="FFFFFF"/>
        </w:rPr>
      </w:pPr>
    </w:p>
    <w:p w14:paraId="57732589" w14:textId="77777777" w:rsidR="000D3586" w:rsidRDefault="000D3586" w:rsidP="007544C0">
      <w:pPr>
        <w:rPr>
          <w:rFonts w:cstheme="minorHAnsi"/>
          <w:sz w:val="20"/>
          <w:szCs w:val="20"/>
          <w:shd w:val="clear" w:color="auto" w:fill="FFFFFF"/>
        </w:rPr>
      </w:pPr>
    </w:p>
    <w:p w14:paraId="02C9CAC6" w14:textId="77777777" w:rsidR="00C64ED4" w:rsidRDefault="00C64ED4" w:rsidP="00C64ED4">
      <w:bookmarkStart w:id="39" w:name="_Toc77595258"/>
      <w:bookmarkStart w:id="40" w:name="_Toc77595478"/>
      <w:bookmarkStart w:id="41" w:name="_Toc77595727"/>
    </w:p>
    <w:p w14:paraId="502A7988" w14:textId="77777777" w:rsidR="00C64ED4" w:rsidRDefault="00C64ED4" w:rsidP="001D323C">
      <w:pPr>
        <w:pStyle w:val="Heading2"/>
        <w:rPr>
          <w:rFonts w:asciiTheme="minorHAnsi" w:hAnsiTheme="minorHAnsi" w:cstheme="minorHAnsi"/>
        </w:rPr>
      </w:pPr>
    </w:p>
    <w:p w14:paraId="3ABE9628" w14:textId="77777777" w:rsidR="00E77DEE" w:rsidRDefault="00E77DEE" w:rsidP="001D323C">
      <w:pPr>
        <w:pStyle w:val="Heading2"/>
        <w:rPr>
          <w:rFonts w:asciiTheme="minorHAnsi" w:hAnsiTheme="minorHAnsi" w:cstheme="minorHAnsi"/>
        </w:rPr>
      </w:pPr>
      <w:r>
        <w:rPr>
          <w:rFonts w:asciiTheme="minorHAnsi" w:hAnsiTheme="minorHAnsi" w:cstheme="minorHAnsi"/>
        </w:rPr>
        <w:br w:type="page"/>
      </w:r>
    </w:p>
    <w:p w14:paraId="767789E7" w14:textId="248ABCD2" w:rsidR="00916B8B" w:rsidRPr="004F71DC" w:rsidRDefault="001D323C" w:rsidP="001D323C">
      <w:pPr>
        <w:pStyle w:val="Heading2"/>
        <w:rPr>
          <w:rFonts w:cstheme="majorHAnsi"/>
          <w:b/>
          <w:bCs/>
        </w:rPr>
      </w:pPr>
      <w:bookmarkStart w:id="42" w:name="_Toc80281884"/>
      <w:r w:rsidRPr="004F71DC">
        <w:rPr>
          <w:rFonts w:cstheme="majorHAnsi"/>
        </w:rPr>
        <w:lastRenderedPageBreak/>
        <w:t xml:space="preserve">Supplementary </w:t>
      </w:r>
      <w:r w:rsidR="00780ABE" w:rsidRPr="004F71DC">
        <w:rPr>
          <w:rFonts w:cstheme="majorHAnsi"/>
        </w:rPr>
        <w:t xml:space="preserve">Table </w:t>
      </w:r>
      <w:r w:rsidR="00C85C51">
        <w:rPr>
          <w:rFonts w:cstheme="majorHAnsi"/>
        </w:rPr>
        <w:t>2</w:t>
      </w:r>
      <w:r w:rsidR="00780ABE" w:rsidRPr="004F71DC">
        <w:rPr>
          <w:rFonts w:cstheme="majorHAnsi"/>
        </w:rPr>
        <w:t>: Multi-level model investigating the factors associated with AAV relapse risk</w:t>
      </w:r>
      <w:r w:rsidR="003F04B5" w:rsidRPr="004F71DC">
        <w:rPr>
          <w:rFonts w:cstheme="majorHAnsi"/>
        </w:rPr>
        <w:t xml:space="preserve">, </w:t>
      </w:r>
      <w:r w:rsidR="00516B95" w:rsidRPr="004F71DC">
        <w:rPr>
          <w:rFonts w:cstheme="majorHAnsi"/>
          <w:b/>
          <w:bCs/>
        </w:rPr>
        <w:t>stratified by AAV phenotype (sensitivity analysis)</w:t>
      </w:r>
      <w:bookmarkEnd w:id="42"/>
      <w:r w:rsidR="000D6802">
        <w:rPr>
          <w:rFonts w:cstheme="majorHAnsi"/>
          <w:b/>
          <w:bCs/>
        </w:rPr>
        <w:t xml:space="preserve"> </w:t>
      </w:r>
    </w:p>
    <w:p w14:paraId="1807CC4A" w14:textId="3AD3D1FC" w:rsidR="000D6802" w:rsidRDefault="000D6802" w:rsidP="000D6802">
      <w:pPr>
        <w:rPr>
          <w:rFonts w:cstheme="minorHAnsi"/>
          <w:sz w:val="20"/>
          <w:szCs w:val="20"/>
          <w:shd w:val="clear" w:color="auto" w:fill="FFFFFF"/>
        </w:rPr>
      </w:pPr>
    </w:p>
    <w:tbl>
      <w:tblPr>
        <w:tblW w:w="8611" w:type="dxa"/>
        <w:jc w:val="center"/>
        <w:tblLayout w:type="fixed"/>
        <w:tblLook w:val="04A0" w:firstRow="1" w:lastRow="0" w:firstColumn="1" w:lastColumn="0" w:noHBand="0" w:noVBand="1"/>
      </w:tblPr>
      <w:tblGrid>
        <w:gridCol w:w="3261"/>
        <w:gridCol w:w="2675"/>
        <w:gridCol w:w="2675"/>
      </w:tblGrid>
      <w:tr w:rsidR="00DF57A8" w:rsidRPr="003B08C4" w14:paraId="698316DB" w14:textId="77777777" w:rsidTr="00A40071">
        <w:trPr>
          <w:trHeight w:val="283"/>
          <w:jc w:val="center"/>
        </w:trPr>
        <w:tc>
          <w:tcPr>
            <w:tcW w:w="3261" w:type="dxa"/>
            <w:tcBorders>
              <w:top w:val="nil"/>
              <w:left w:val="nil"/>
              <w:bottom w:val="nil"/>
            </w:tcBorders>
            <w:shd w:val="clear" w:color="auto" w:fill="BFBFBF" w:themeFill="background1" w:themeFillShade="BF"/>
            <w:noWrap/>
            <w:vAlign w:val="bottom"/>
          </w:tcPr>
          <w:p w14:paraId="3C0A57A4" w14:textId="77777777" w:rsidR="00DF57A8" w:rsidRPr="003B08C4" w:rsidRDefault="00DF57A8" w:rsidP="00B04E50">
            <w:pPr>
              <w:spacing w:line="276" w:lineRule="auto"/>
              <w:rPr>
                <w:rFonts w:cstheme="minorHAnsi"/>
                <w:b/>
                <w:color w:val="000000" w:themeColor="text1"/>
                <w:sz w:val="22"/>
                <w:szCs w:val="22"/>
              </w:rPr>
            </w:pPr>
          </w:p>
        </w:tc>
        <w:tc>
          <w:tcPr>
            <w:tcW w:w="2675" w:type="dxa"/>
            <w:tcBorders>
              <w:top w:val="nil"/>
              <w:left w:val="nil"/>
              <w:bottom w:val="nil"/>
              <w:right w:val="nil"/>
            </w:tcBorders>
            <w:shd w:val="clear" w:color="auto" w:fill="BFBFBF" w:themeFill="background1" w:themeFillShade="BF"/>
          </w:tcPr>
          <w:p w14:paraId="0AA0A223" w14:textId="30B07E34" w:rsidR="00DF57A8" w:rsidRPr="003B08C4" w:rsidRDefault="00DF57A8" w:rsidP="00B04E50">
            <w:pPr>
              <w:spacing w:line="276" w:lineRule="auto"/>
              <w:jc w:val="center"/>
              <w:rPr>
                <w:rFonts w:cstheme="minorHAnsi"/>
                <w:b/>
                <w:color w:val="000000" w:themeColor="text1"/>
                <w:sz w:val="22"/>
                <w:szCs w:val="22"/>
              </w:rPr>
            </w:pPr>
            <w:r w:rsidRPr="003B08C4">
              <w:rPr>
                <w:rFonts w:cstheme="minorHAnsi"/>
                <w:b/>
                <w:color w:val="000000" w:themeColor="text1"/>
                <w:sz w:val="22"/>
                <w:szCs w:val="22"/>
              </w:rPr>
              <w:t xml:space="preserve">Model </w:t>
            </w:r>
            <w:r w:rsidR="00170739">
              <w:rPr>
                <w:rFonts w:cstheme="minorHAnsi"/>
                <w:b/>
                <w:color w:val="000000" w:themeColor="text1"/>
                <w:sz w:val="22"/>
                <w:szCs w:val="22"/>
              </w:rPr>
              <w:t>1</w:t>
            </w:r>
            <w:r w:rsidR="00434551">
              <w:rPr>
                <w:rFonts w:cstheme="minorHAnsi"/>
                <w:b/>
                <w:color w:val="000000" w:themeColor="text1"/>
                <w:sz w:val="22"/>
                <w:szCs w:val="22"/>
              </w:rPr>
              <w:t xml:space="preserve"> (MPA)</w:t>
            </w:r>
          </w:p>
        </w:tc>
        <w:tc>
          <w:tcPr>
            <w:tcW w:w="2675" w:type="dxa"/>
            <w:tcBorders>
              <w:top w:val="nil"/>
              <w:left w:val="nil"/>
              <w:bottom w:val="nil"/>
              <w:right w:val="nil"/>
            </w:tcBorders>
            <w:shd w:val="clear" w:color="auto" w:fill="BFBFBF" w:themeFill="background1" w:themeFillShade="BF"/>
          </w:tcPr>
          <w:p w14:paraId="4F78D4A8" w14:textId="495AB791" w:rsidR="00DF57A8" w:rsidRPr="003B08C4" w:rsidRDefault="00DF57A8" w:rsidP="00B04E50">
            <w:pPr>
              <w:spacing w:line="276" w:lineRule="auto"/>
              <w:jc w:val="center"/>
              <w:rPr>
                <w:rFonts w:cstheme="minorHAnsi"/>
                <w:b/>
                <w:color w:val="000000" w:themeColor="text1"/>
                <w:sz w:val="22"/>
                <w:szCs w:val="22"/>
              </w:rPr>
            </w:pPr>
            <w:r w:rsidRPr="003B08C4">
              <w:rPr>
                <w:rFonts w:cstheme="minorHAnsi"/>
                <w:b/>
                <w:color w:val="000000" w:themeColor="text1"/>
                <w:sz w:val="22"/>
                <w:szCs w:val="22"/>
              </w:rPr>
              <w:t xml:space="preserve">Model </w:t>
            </w:r>
            <w:r w:rsidR="00170739">
              <w:rPr>
                <w:rFonts w:cstheme="minorHAnsi"/>
                <w:b/>
                <w:color w:val="000000" w:themeColor="text1"/>
                <w:sz w:val="22"/>
                <w:szCs w:val="22"/>
              </w:rPr>
              <w:t>2</w:t>
            </w:r>
            <w:r w:rsidR="00434551">
              <w:rPr>
                <w:rFonts w:cstheme="minorHAnsi"/>
                <w:b/>
                <w:color w:val="000000" w:themeColor="text1"/>
                <w:sz w:val="22"/>
                <w:szCs w:val="22"/>
              </w:rPr>
              <w:t xml:space="preserve"> (Not MPA)</w:t>
            </w:r>
          </w:p>
        </w:tc>
      </w:tr>
      <w:tr w:rsidR="00DF57A8" w:rsidRPr="00D16158" w14:paraId="394760BD" w14:textId="77777777" w:rsidTr="00A40071">
        <w:trPr>
          <w:trHeight w:val="283"/>
          <w:jc w:val="center"/>
        </w:trPr>
        <w:tc>
          <w:tcPr>
            <w:tcW w:w="3261" w:type="dxa"/>
            <w:tcBorders>
              <w:top w:val="nil"/>
              <w:left w:val="nil"/>
              <w:bottom w:val="nil"/>
            </w:tcBorders>
            <w:shd w:val="clear" w:color="auto" w:fill="000000" w:themeFill="text1"/>
            <w:noWrap/>
            <w:vAlign w:val="bottom"/>
            <w:hideMark/>
          </w:tcPr>
          <w:p w14:paraId="6510C9FD" w14:textId="77777777" w:rsidR="00DF57A8" w:rsidRPr="00D16158" w:rsidRDefault="00DF57A8" w:rsidP="00B04E50">
            <w:pPr>
              <w:rPr>
                <w:rFonts w:cstheme="minorHAnsi"/>
                <w:b/>
                <w:color w:val="FFFFFF"/>
                <w:sz w:val="22"/>
                <w:szCs w:val="22"/>
              </w:rPr>
            </w:pPr>
            <w:r w:rsidRPr="00D16158">
              <w:rPr>
                <w:rFonts w:cstheme="minorHAnsi"/>
                <w:b/>
                <w:color w:val="FFFFFF"/>
                <w:sz w:val="22"/>
                <w:szCs w:val="22"/>
              </w:rPr>
              <w:t>Random effects (Variance (SD))</w:t>
            </w:r>
          </w:p>
        </w:tc>
        <w:tc>
          <w:tcPr>
            <w:tcW w:w="2675" w:type="dxa"/>
            <w:tcBorders>
              <w:top w:val="nil"/>
              <w:left w:val="nil"/>
              <w:bottom w:val="nil"/>
              <w:right w:val="nil"/>
            </w:tcBorders>
            <w:shd w:val="clear" w:color="auto" w:fill="000000" w:themeFill="text1"/>
          </w:tcPr>
          <w:p w14:paraId="559682CB" w14:textId="77777777" w:rsidR="00DF57A8" w:rsidRPr="00D16158" w:rsidRDefault="00DF57A8" w:rsidP="00B04E50">
            <w:pPr>
              <w:jc w:val="center"/>
              <w:rPr>
                <w:rFonts w:cstheme="minorHAnsi"/>
                <w:b/>
                <w:color w:val="FFFFFF"/>
                <w:sz w:val="22"/>
                <w:szCs w:val="22"/>
              </w:rPr>
            </w:pPr>
          </w:p>
        </w:tc>
        <w:tc>
          <w:tcPr>
            <w:tcW w:w="2675" w:type="dxa"/>
            <w:tcBorders>
              <w:top w:val="nil"/>
              <w:left w:val="nil"/>
              <w:bottom w:val="nil"/>
              <w:right w:val="nil"/>
            </w:tcBorders>
            <w:shd w:val="clear" w:color="auto" w:fill="000000" w:themeFill="text1"/>
          </w:tcPr>
          <w:p w14:paraId="0A249A7D" w14:textId="77777777" w:rsidR="00DF57A8" w:rsidRPr="00D16158" w:rsidRDefault="00DF57A8" w:rsidP="00B04E50">
            <w:pPr>
              <w:jc w:val="center"/>
              <w:rPr>
                <w:rFonts w:cstheme="minorHAnsi"/>
                <w:b/>
                <w:color w:val="FFFFFF"/>
                <w:sz w:val="22"/>
                <w:szCs w:val="22"/>
              </w:rPr>
            </w:pPr>
          </w:p>
        </w:tc>
      </w:tr>
      <w:tr w:rsidR="00DF57A8" w:rsidRPr="00D16158" w14:paraId="44BA6A8A" w14:textId="77777777" w:rsidTr="00A40071">
        <w:trPr>
          <w:trHeight w:val="283"/>
          <w:jc w:val="center"/>
        </w:trPr>
        <w:tc>
          <w:tcPr>
            <w:tcW w:w="3261" w:type="dxa"/>
            <w:tcBorders>
              <w:top w:val="nil"/>
              <w:left w:val="nil"/>
              <w:bottom w:val="nil"/>
            </w:tcBorders>
            <w:shd w:val="clear" w:color="auto" w:fill="auto"/>
            <w:noWrap/>
            <w:vAlign w:val="bottom"/>
            <w:hideMark/>
          </w:tcPr>
          <w:p w14:paraId="0256F666" w14:textId="77777777" w:rsidR="00DF57A8" w:rsidRPr="00D16158" w:rsidRDefault="00DF57A8" w:rsidP="00B04E50">
            <w:pPr>
              <w:rPr>
                <w:rFonts w:cstheme="minorHAnsi"/>
                <w:color w:val="000000"/>
                <w:sz w:val="22"/>
                <w:szCs w:val="22"/>
              </w:rPr>
            </w:pPr>
            <w:r w:rsidRPr="00D16158">
              <w:rPr>
                <w:rFonts w:cstheme="minorHAnsi"/>
                <w:color w:val="000000"/>
                <w:sz w:val="22"/>
                <w:szCs w:val="22"/>
              </w:rPr>
              <w:t>Patient ID</w:t>
            </w:r>
          </w:p>
        </w:tc>
        <w:tc>
          <w:tcPr>
            <w:tcW w:w="2675" w:type="dxa"/>
            <w:tcBorders>
              <w:top w:val="nil"/>
              <w:left w:val="nil"/>
              <w:bottom w:val="nil"/>
              <w:right w:val="nil"/>
            </w:tcBorders>
          </w:tcPr>
          <w:p w14:paraId="64342549" w14:textId="58BFD7DB" w:rsidR="00DF57A8" w:rsidRPr="00D16158" w:rsidRDefault="005C4C2E" w:rsidP="00B04E50">
            <w:pPr>
              <w:jc w:val="center"/>
              <w:rPr>
                <w:rFonts w:cstheme="minorHAnsi"/>
                <w:color w:val="000000"/>
                <w:sz w:val="22"/>
                <w:szCs w:val="22"/>
              </w:rPr>
            </w:pPr>
            <w:r>
              <w:rPr>
                <w:rFonts w:cstheme="minorHAnsi"/>
                <w:color w:val="000000"/>
                <w:sz w:val="22"/>
                <w:szCs w:val="22"/>
              </w:rPr>
              <w:t>0.98 (0.99)</w:t>
            </w:r>
          </w:p>
        </w:tc>
        <w:tc>
          <w:tcPr>
            <w:tcW w:w="2675" w:type="dxa"/>
            <w:tcBorders>
              <w:top w:val="nil"/>
              <w:left w:val="nil"/>
              <w:bottom w:val="nil"/>
              <w:right w:val="nil"/>
            </w:tcBorders>
          </w:tcPr>
          <w:p w14:paraId="3F874DA4" w14:textId="5B0C423E" w:rsidR="00DF57A8" w:rsidRPr="00D16158" w:rsidRDefault="00DF57A8" w:rsidP="00B04E50">
            <w:pPr>
              <w:jc w:val="center"/>
              <w:rPr>
                <w:rFonts w:cstheme="minorHAnsi"/>
                <w:color w:val="000000"/>
                <w:sz w:val="22"/>
                <w:szCs w:val="22"/>
              </w:rPr>
            </w:pPr>
            <w:r>
              <w:rPr>
                <w:rFonts w:cstheme="minorHAnsi"/>
                <w:color w:val="000000"/>
                <w:sz w:val="22"/>
                <w:szCs w:val="22"/>
              </w:rPr>
              <w:t>0.</w:t>
            </w:r>
            <w:r w:rsidR="001664C2">
              <w:rPr>
                <w:rFonts w:cstheme="minorHAnsi"/>
                <w:color w:val="000000"/>
                <w:sz w:val="22"/>
                <w:szCs w:val="22"/>
              </w:rPr>
              <w:t>38</w:t>
            </w:r>
            <w:r>
              <w:rPr>
                <w:rFonts w:cstheme="minorHAnsi"/>
                <w:color w:val="000000"/>
                <w:sz w:val="22"/>
                <w:szCs w:val="22"/>
              </w:rPr>
              <w:t xml:space="preserve"> (0.</w:t>
            </w:r>
            <w:r w:rsidR="001664C2">
              <w:rPr>
                <w:rFonts w:cstheme="minorHAnsi"/>
                <w:color w:val="000000"/>
                <w:sz w:val="22"/>
                <w:szCs w:val="22"/>
              </w:rPr>
              <w:t>62</w:t>
            </w:r>
            <w:r>
              <w:rPr>
                <w:rFonts w:cstheme="minorHAnsi"/>
                <w:color w:val="000000"/>
                <w:sz w:val="22"/>
                <w:szCs w:val="22"/>
              </w:rPr>
              <w:t>)</w:t>
            </w:r>
          </w:p>
        </w:tc>
      </w:tr>
      <w:tr w:rsidR="00DF57A8" w:rsidRPr="00D16158" w14:paraId="405000EE" w14:textId="77777777" w:rsidTr="00A40071">
        <w:trPr>
          <w:trHeight w:val="283"/>
          <w:jc w:val="center"/>
        </w:trPr>
        <w:tc>
          <w:tcPr>
            <w:tcW w:w="3261" w:type="dxa"/>
            <w:tcBorders>
              <w:top w:val="nil"/>
              <w:left w:val="nil"/>
              <w:bottom w:val="nil"/>
            </w:tcBorders>
            <w:shd w:val="clear" w:color="auto" w:fill="000000" w:themeFill="text1"/>
            <w:noWrap/>
            <w:vAlign w:val="bottom"/>
            <w:hideMark/>
          </w:tcPr>
          <w:p w14:paraId="3E96016E" w14:textId="77777777" w:rsidR="00DF57A8" w:rsidRPr="00D16158" w:rsidRDefault="00DF57A8" w:rsidP="00B04E50">
            <w:pPr>
              <w:rPr>
                <w:rFonts w:cstheme="minorHAnsi"/>
                <w:b/>
                <w:color w:val="FFFFFF"/>
                <w:sz w:val="22"/>
                <w:szCs w:val="22"/>
              </w:rPr>
            </w:pPr>
            <w:r w:rsidRPr="00D16158">
              <w:rPr>
                <w:rFonts w:cstheme="minorHAnsi"/>
                <w:b/>
                <w:color w:val="FFFFFF"/>
                <w:sz w:val="22"/>
                <w:szCs w:val="22"/>
              </w:rPr>
              <w:t xml:space="preserve">Fixed effects (OR (95% CI, </w:t>
            </w:r>
            <w:r w:rsidRPr="00D16158">
              <w:rPr>
                <w:rFonts w:cstheme="minorHAnsi"/>
                <w:b/>
                <w:i/>
                <w:color w:val="FFFFFF"/>
                <w:sz w:val="22"/>
                <w:szCs w:val="22"/>
              </w:rPr>
              <w:t>p</w:t>
            </w:r>
            <w:r w:rsidRPr="00D16158">
              <w:rPr>
                <w:rFonts w:cstheme="minorHAnsi"/>
                <w:b/>
                <w:color w:val="FFFFFF"/>
                <w:sz w:val="22"/>
                <w:szCs w:val="22"/>
              </w:rPr>
              <w:t>))</w:t>
            </w:r>
          </w:p>
        </w:tc>
        <w:tc>
          <w:tcPr>
            <w:tcW w:w="2675" w:type="dxa"/>
            <w:tcBorders>
              <w:top w:val="nil"/>
              <w:left w:val="nil"/>
              <w:bottom w:val="nil"/>
              <w:right w:val="nil"/>
            </w:tcBorders>
            <w:shd w:val="clear" w:color="auto" w:fill="000000" w:themeFill="text1"/>
          </w:tcPr>
          <w:p w14:paraId="33253E59" w14:textId="77777777" w:rsidR="00DF57A8" w:rsidRPr="00D16158" w:rsidRDefault="00DF57A8" w:rsidP="00B04E50">
            <w:pPr>
              <w:jc w:val="center"/>
              <w:rPr>
                <w:rFonts w:cstheme="minorHAnsi"/>
                <w:b/>
                <w:color w:val="FFFFFF"/>
                <w:sz w:val="22"/>
                <w:szCs w:val="22"/>
              </w:rPr>
            </w:pPr>
          </w:p>
        </w:tc>
        <w:tc>
          <w:tcPr>
            <w:tcW w:w="2675" w:type="dxa"/>
            <w:tcBorders>
              <w:top w:val="nil"/>
              <w:left w:val="nil"/>
              <w:bottom w:val="nil"/>
              <w:right w:val="nil"/>
            </w:tcBorders>
            <w:shd w:val="clear" w:color="auto" w:fill="000000" w:themeFill="text1"/>
          </w:tcPr>
          <w:p w14:paraId="36D5BA11" w14:textId="77777777" w:rsidR="00DF57A8" w:rsidRPr="00D16158" w:rsidRDefault="00DF57A8" w:rsidP="00B04E50">
            <w:pPr>
              <w:jc w:val="center"/>
              <w:rPr>
                <w:rFonts w:cstheme="minorHAnsi"/>
                <w:b/>
                <w:color w:val="FFFFFF"/>
                <w:sz w:val="22"/>
                <w:szCs w:val="22"/>
              </w:rPr>
            </w:pPr>
          </w:p>
        </w:tc>
      </w:tr>
      <w:tr w:rsidR="001F7D12" w:rsidRPr="00D16158" w14:paraId="15E07948" w14:textId="77777777" w:rsidTr="00A40071">
        <w:trPr>
          <w:trHeight w:val="283"/>
          <w:jc w:val="center"/>
        </w:trPr>
        <w:tc>
          <w:tcPr>
            <w:tcW w:w="3261" w:type="dxa"/>
            <w:tcBorders>
              <w:top w:val="nil"/>
              <w:left w:val="nil"/>
              <w:bottom w:val="nil"/>
            </w:tcBorders>
            <w:shd w:val="clear" w:color="auto" w:fill="D9D9D9" w:themeFill="background1" w:themeFillShade="D9"/>
            <w:noWrap/>
            <w:vAlign w:val="bottom"/>
          </w:tcPr>
          <w:p w14:paraId="73A7A4D4" w14:textId="067B5AF3" w:rsidR="001F7D12" w:rsidRPr="00D16158" w:rsidRDefault="00C470DD" w:rsidP="00B04E50">
            <w:pPr>
              <w:rPr>
                <w:rFonts w:cstheme="minorHAnsi"/>
                <w:color w:val="000000"/>
                <w:sz w:val="22"/>
                <w:szCs w:val="22"/>
              </w:rPr>
            </w:pPr>
            <w:r w:rsidRPr="002C733E">
              <w:rPr>
                <w:rFonts w:cstheme="minorHAnsi"/>
                <w:color w:val="000000" w:themeColor="text1"/>
                <w:sz w:val="22"/>
                <w:szCs w:val="22"/>
              </w:rPr>
              <w:t>Average winter vitD-UVB (kJ/m2)</w:t>
            </w:r>
          </w:p>
        </w:tc>
        <w:tc>
          <w:tcPr>
            <w:tcW w:w="2675" w:type="dxa"/>
            <w:tcBorders>
              <w:top w:val="nil"/>
              <w:left w:val="nil"/>
              <w:bottom w:val="nil"/>
              <w:right w:val="nil"/>
            </w:tcBorders>
            <w:shd w:val="clear" w:color="auto" w:fill="D9D9D9" w:themeFill="background1" w:themeFillShade="D9"/>
          </w:tcPr>
          <w:p w14:paraId="016B5986" w14:textId="76FDAFBF" w:rsidR="001F7D12" w:rsidRDefault="009975A3" w:rsidP="00B04E50">
            <w:pPr>
              <w:jc w:val="center"/>
              <w:rPr>
                <w:rFonts w:cstheme="minorHAnsi"/>
                <w:color w:val="000000"/>
                <w:sz w:val="22"/>
                <w:szCs w:val="22"/>
              </w:rPr>
            </w:pPr>
            <w:r>
              <w:rPr>
                <w:rFonts w:cstheme="minorHAnsi"/>
                <w:color w:val="000000"/>
                <w:sz w:val="22"/>
                <w:szCs w:val="22"/>
              </w:rPr>
              <w:t xml:space="preserve">0.59 (0.36-0.98, </w:t>
            </w:r>
            <w:r w:rsidR="00200C9B" w:rsidRPr="00200C9B">
              <w:rPr>
                <w:rFonts w:cstheme="minorHAnsi"/>
                <w:b/>
                <w:bCs/>
                <w:color w:val="000000"/>
                <w:sz w:val="22"/>
                <w:szCs w:val="22"/>
              </w:rPr>
              <w:t>0.04</w:t>
            </w:r>
            <w:r w:rsidR="00200C9B">
              <w:rPr>
                <w:rFonts w:cstheme="minorHAnsi"/>
                <w:b/>
                <w:bCs/>
                <w:color w:val="000000"/>
                <w:sz w:val="22"/>
                <w:szCs w:val="22"/>
              </w:rPr>
              <w:t>)</w:t>
            </w:r>
          </w:p>
        </w:tc>
        <w:tc>
          <w:tcPr>
            <w:tcW w:w="2675" w:type="dxa"/>
            <w:tcBorders>
              <w:top w:val="nil"/>
              <w:left w:val="nil"/>
              <w:bottom w:val="nil"/>
              <w:right w:val="nil"/>
            </w:tcBorders>
            <w:shd w:val="clear" w:color="auto" w:fill="D9D9D9" w:themeFill="background1" w:themeFillShade="D9"/>
          </w:tcPr>
          <w:p w14:paraId="0E560A94" w14:textId="1660CF85" w:rsidR="001F7D12" w:rsidRDefault="00EB3273" w:rsidP="00B04E50">
            <w:pPr>
              <w:jc w:val="center"/>
              <w:rPr>
                <w:rFonts w:cstheme="minorHAnsi"/>
                <w:color w:val="000000"/>
                <w:sz w:val="22"/>
                <w:szCs w:val="22"/>
              </w:rPr>
            </w:pPr>
            <w:r>
              <w:rPr>
                <w:rFonts w:cstheme="minorHAnsi"/>
                <w:color w:val="000000"/>
                <w:sz w:val="22"/>
                <w:szCs w:val="22"/>
              </w:rPr>
              <w:t xml:space="preserve">0.77 (0.60-0.98, </w:t>
            </w:r>
            <w:r w:rsidRPr="00EB3273">
              <w:rPr>
                <w:rFonts w:cstheme="minorHAnsi"/>
                <w:b/>
                <w:bCs/>
                <w:color w:val="000000"/>
                <w:sz w:val="22"/>
                <w:szCs w:val="22"/>
              </w:rPr>
              <w:t>0.03</w:t>
            </w:r>
            <w:r>
              <w:rPr>
                <w:rFonts w:cstheme="minorHAnsi"/>
                <w:color w:val="000000"/>
                <w:sz w:val="22"/>
                <w:szCs w:val="22"/>
              </w:rPr>
              <w:t>)</w:t>
            </w:r>
          </w:p>
        </w:tc>
      </w:tr>
      <w:tr w:rsidR="00170739" w:rsidRPr="00D16158" w14:paraId="3A6D8FDA" w14:textId="77777777" w:rsidTr="00A40071">
        <w:trPr>
          <w:trHeight w:val="283"/>
          <w:jc w:val="center"/>
        </w:trPr>
        <w:tc>
          <w:tcPr>
            <w:tcW w:w="3261" w:type="dxa"/>
            <w:tcBorders>
              <w:top w:val="nil"/>
              <w:left w:val="nil"/>
              <w:bottom w:val="nil"/>
            </w:tcBorders>
            <w:shd w:val="clear" w:color="auto" w:fill="auto"/>
            <w:noWrap/>
            <w:vAlign w:val="bottom"/>
            <w:hideMark/>
          </w:tcPr>
          <w:p w14:paraId="6816EDF1" w14:textId="77777777" w:rsidR="00170739" w:rsidRPr="00D16158" w:rsidRDefault="00170739" w:rsidP="00170739">
            <w:pPr>
              <w:rPr>
                <w:rFonts w:cstheme="minorHAnsi"/>
                <w:color w:val="000000"/>
                <w:sz w:val="22"/>
                <w:szCs w:val="22"/>
              </w:rPr>
            </w:pPr>
            <w:r w:rsidRPr="00D16158">
              <w:rPr>
                <w:rFonts w:cstheme="minorHAnsi"/>
                <w:color w:val="000000"/>
                <w:sz w:val="22"/>
                <w:szCs w:val="22"/>
              </w:rPr>
              <w:t>Age at diagnosis (years)</w:t>
            </w:r>
          </w:p>
        </w:tc>
        <w:tc>
          <w:tcPr>
            <w:tcW w:w="2675" w:type="dxa"/>
            <w:tcBorders>
              <w:top w:val="nil"/>
              <w:left w:val="nil"/>
              <w:bottom w:val="nil"/>
              <w:right w:val="nil"/>
            </w:tcBorders>
          </w:tcPr>
          <w:p w14:paraId="7A58D445" w14:textId="6EB08605" w:rsidR="00170739" w:rsidRPr="00D16158" w:rsidRDefault="00170739" w:rsidP="00170739">
            <w:pPr>
              <w:jc w:val="center"/>
              <w:rPr>
                <w:rFonts w:cstheme="minorHAnsi"/>
                <w:color w:val="000000"/>
                <w:sz w:val="22"/>
                <w:szCs w:val="22"/>
              </w:rPr>
            </w:pPr>
            <w:r w:rsidRPr="002C733E">
              <w:rPr>
                <w:rFonts w:cstheme="minorHAnsi"/>
                <w:color w:val="000000"/>
                <w:sz w:val="22"/>
                <w:szCs w:val="22"/>
              </w:rPr>
              <w:t>0.</w:t>
            </w:r>
            <w:r w:rsidR="00200C9B">
              <w:rPr>
                <w:rFonts w:cstheme="minorHAnsi"/>
                <w:color w:val="000000"/>
                <w:sz w:val="22"/>
                <w:szCs w:val="22"/>
              </w:rPr>
              <w:t>68</w:t>
            </w:r>
            <w:r w:rsidRPr="002C733E">
              <w:rPr>
                <w:rFonts w:cstheme="minorHAnsi"/>
                <w:color w:val="000000"/>
                <w:sz w:val="22"/>
                <w:szCs w:val="22"/>
              </w:rPr>
              <w:t xml:space="preserve"> (0.</w:t>
            </w:r>
            <w:r w:rsidR="00200C9B">
              <w:rPr>
                <w:rFonts w:cstheme="minorHAnsi"/>
                <w:color w:val="000000"/>
                <w:sz w:val="22"/>
                <w:szCs w:val="22"/>
              </w:rPr>
              <w:t>46</w:t>
            </w:r>
            <w:r w:rsidRPr="002C733E">
              <w:rPr>
                <w:rFonts w:cstheme="minorHAnsi"/>
                <w:color w:val="000000"/>
                <w:sz w:val="22"/>
                <w:szCs w:val="22"/>
              </w:rPr>
              <w:t>-</w:t>
            </w:r>
            <w:r w:rsidR="00200C9B">
              <w:rPr>
                <w:rFonts w:cstheme="minorHAnsi"/>
                <w:color w:val="000000"/>
                <w:sz w:val="22"/>
                <w:szCs w:val="22"/>
              </w:rPr>
              <w:t>1.01</w:t>
            </w:r>
            <w:r w:rsidRPr="002C733E">
              <w:rPr>
                <w:rFonts w:cstheme="minorHAnsi"/>
                <w:color w:val="000000"/>
                <w:sz w:val="22"/>
                <w:szCs w:val="22"/>
              </w:rPr>
              <w:t xml:space="preserve">, </w:t>
            </w:r>
            <w:r w:rsidR="004B640D">
              <w:rPr>
                <w:rFonts w:cstheme="minorHAnsi"/>
                <w:color w:val="000000"/>
                <w:sz w:val="22"/>
                <w:szCs w:val="22"/>
              </w:rPr>
              <w:t>0.06</w:t>
            </w:r>
            <w:r w:rsidRPr="002C733E">
              <w:rPr>
                <w:rFonts w:cstheme="minorHAnsi"/>
                <w:color w:val="000000"/>
                <w:sz w:val="22"/>
                <w:szCs w:val="22"/>
              </w:rPr>
              <w:t>)</w:t>
            </w:r>
          </w:p>
        </w:tc>
        <w:tc>
          <w:tcPr>
            <w:tcW w:w="2675" w:type="dxa"/>
            <w:tcBorders>
              <w:top w:val="nil"/>
              <w:left w:val="nil"/>
              <w:bottom w:val="nil"/>
              <w:right w:val="nil"/>
            </w:tcBorders>
          </w:tcPr>
          <w:p w14:paraId="3CD45FD7" w14:textId="212DDEA0" w:rsidR="00170739" w:rsidRPr="00D16158" w:rsidRDefault="00170739" w:rsidP="00170739">
            <w:pPr>
              <w:jc w:val="center"/>
              <w:rPr>
                <w:rFonts w:cstheme="minorHAnsi"/>
                <w:color w:val="000000"/>
                <w:sz w:val="22"/>
                <w:szCs w:val="22"/>
              </w:rPr>
            </w:pPr>
            <w:r w:rsidRPr="002C733E">
              <w:rPr>
                <w:rFonts w:cstheme="minorHAnsi"/>
                <w:color w:val="000000"/>
                <w:sz w:val="22"/>
                <w:szCs w:val="22"/>
              </w:rPr>
              <w:t>0.74 (0.</w:t>
            </w:r>
            <w:r w:rsidR="008E7521">
              <w:rPr>
                <w:rFonts w:cstheme="minorHAnsi"/>
                <w:color w:val="000000"/>
                <w:sz w:val="22"/>
                <w:szCs w:val="22"/>
              </w:rPr>
              <w:t>58</w:t>
            </w:r>
            <w:r w:rsidRPr="002C733E">
              <w:rPr>
                <w:rFonts w:cstheme="minorHAnsi"/>
                <w:color w:val="000000"/>
                <w:sz w:val="22"/>
                <w:szCs w:val="22"/>
              </w:rPr>
              <w:t>-0.9</w:t>
            </w:r>
            <w:r w:rsidR="00CE00EA">
              <w:rPr>
                <w:rFonts w:cstheme="minorHAnsi"/>
                <w:color w:val="000000"/>
                <w:sz w:val="22"/>
                <w:szCs w:val="22"/>
              </w:rPr>
              <w:t>5</w:t>
            </w:r>
            <w:r w:rsidRPr="002C733E">
              <w:rPr>
                <w:rFonts w:cstheme="minorHAnsi"/>
                <w:color w:val="000000"/>
                <w:sz w:val="22"/>
                <w:szCs w:val="22"/>
              </w:rPr>
              <w:t xml:space="preserve">, </w:t>
            </w:r>
            <w:r w:rsidRPr="002C733E">
              <w:rPr>
                <w:rFonts w:cstheme="minorHAnsi"/>
                <w:b/>
                <w:bCs/>
                <w:color w:val="000000"/>
                <w:sz w:val="22"/>
                <w:szCs w:val="22"/>
              </w:rPr>
              <w:t>0.</w:t>
            </w:r>
            <w:r w:rsidR="00EB3273">
              <w:rPr>
                <w:rFonts w:cstheme="minorHAnsi"/>
                <w:b/>
                <w:bCs/>
                <w:color w:val="000000"/>
                <w:sz w:val="22"/>
                <w:szCs w:val="22"/>
              </w:rPr>
              <w:t>02</w:t>
            </w:r>
            <w:r w:rsidRPr="002C733E">
              <w:rPr>
                <w:rFonts w:cstheme="minorHAnsi"/>
                <w:color w:val="000000"/>
                <w:sz w:val="22"/>
                <w:szCs w:val="22"/>
              </w:rPr>
              <w:t>)</w:t>
            </w:r>
          </w:p>
        </w:tc>
      </w:tr>
      <w:tr w:rsidR="00170739" w:rsidRPr="00D16158" w14:paraId="71C22986" w14:textId="77777777" w:rsidTr="00A40071">
        <w:trPr>
          <w:trHeight w:val="283"/>
          <w:jc w:val="center"/>
        </w:trPr>
        <w:tc>
          <w:tcPr>
            <w:tcW w:w="3261" w:type="dxa"/>
            <w:tcBorders>
              <w:top w:val="nil"/>
              <w:left w:val="nil"/>
              <w:bottom w:val="nil"/>
            </w:tcBorders>
            <w:shd w:val="clear" w:color="auto" w:fill="D9D9D9" w:themeFill="background1" w:themeFillShade="D9"/>
            <w:noWrap/>
            <w:vAlign w:val="bottom"/>
            <w:hideMark/>
          </w:tcPr>
          <w:p w14:paraId="18346262" w14:textId="32E9AD05" w:rsidR="00170739" w:rsidRPr="00D16158" w:rsidRDefault="00170739" w:rsidP="00170739">
            <w:pPr>
              <w:rPr>
                <w:rFonts w:cstheme="minorHAnsi"/>
                <w:color w:val="000000"/>
                <w:sz w:val="22"/>
                <w:szCs w:val="22"/>
              </w:rPr>
            </w:pPr>
            <w:r w:rsidRPr="00D16158">
              <w:rPr>
                <w:rFonts w:cstheme="minorHAnsi"/>
                <w:color w:val="000000"/>
                <w:sz w:val="22"/>
                <w:szCs w:val="22"/>
              </w:rPr>
              <w:t>Gender (male)</w:t>
            </w:r>
          </w:p>
        </w:tc>
        <w:tc>
          <w:tcPr>
            <w:tcW w:w="2675" w:type="dxa"/>
            <w:tcBorders>
              <w:top w:val="nil"/>
              <w:left w:val="nil"/>
              <w:bottom w:val="nil"/>
              <w:right w:val="nil"/>
            </w:tcBorders>
            <w:shd w:val="clear" w:color="auto" w:fill="D9D9D9" w:themeFill="background1" w:themeFillShade="D9"/>
          </w:tcPr>
          <w:p w14:paraId="6F3F112D" w14:textId="3B7ED79C" w:rsidR="00170739" w:rsidRPr="00D16158" w:rsidRDefault="00170739" w:rsidP="00170739">
            <w:pPr>
              <w:jc w:val="center"/>
              <w:rPr>
                <w:rFonts w:cstheme="minorHAnsi"/>
                <w:color w:val="000000"/>
                <w:sz w:val="22"/>
                <w:szCs w:val="22"/>
              </w:rPr>
            </w:pPr>
            <w:r w:rsidRPr="002C733E">
              <w:rPr>
                <w:rFonts w:cstheme="minorHAnsi"/>
                <w:color w:val="000000"/>
                <w:sz w:val="22"/>
                <w:szCs w:val="22"/>
              </w:rPr>
              <w:t>0.</w:t>
            </w:r>
            <w:r w:rsidR="004B640D">
              <w:rPr>
                <w:rFonts w:cstheme="minorHAnsi"/>
                <w:color w:val="000000"/>
                <w:sz w:val="22"/>
                <w:szCs w:val="22"/>
              </w:rPr>
              <w:t>63</w:t>
            </w:r>
            <w:r w:rsidRPr="002C733E">
              <w:rPr>
                <w:rFonts w:cstheme="minorHAnsi"/>
                <w:color w:val="000000"/>
                <w:sz w:val="22"/>
                <w:szCs w:val="22"/>
              </w:rPr>
              <w:t xml:space="preserve"> (0.</w:t>
            </w:r>
            <w:r w:rsidR="00D24C05">
              <w:rPr>
                <w:rFonts w:cstheme="minorHAnsi"/>
                <w:color w:val="000000"/>
                <w:sz w:val="22"/>
                <w:szCs w:val="22"/>
              </w:rPr>
              <w:t>29</w:t>
            </w:r>
            <w:r w:rsidRPr="002C733E">
              <w:rPr>
                <w:rFonts w:cstheme="minorHAnsi"/>
                <w:color w:val="000000"/>
                <w:sz w:val="22"/>
                <w:szCs w:val="22"/>
              </w:rPr>
              <w:t>-</w:t>
            </w:r>
            <w:r w:rsidR="00D24C05">
              <w:rPr>
                <w:rFonts w:cstheme="minorHAnsi"/>
                <w:color w:val="000000"/>
                <w:sz w:val="22"/>
                <w:szCs w:val="22"/>
              </w:rPr>
              <w:t>1.36</w:t>
            </w:r>
            <w:r w:rsidRPr="002C733E">
              <w:rPr>
                <w:rFonts w:cstheme="minorHAnsi"/>
                <w:color w:val="000000"/>
                <w:sz w:val="22"/>
                <w:szCs w:val="22"/>
              </w:rPr>
              <w:t>, 0.</w:t>
            </w:r>
            <w:r w:rsidR="004B640D">
              <w:rPr>
                <w:rFonts w:cstheme="minorHAnsi"/>
                <w:color w:val="000000"/>
                <w:sz w:val="22"/>
                <w:szCs w:val="22"/>
              </w:rPr>
              <w:t>24</w:t>
            </w:r>
            <w:r w:rsidRPr="002C733E">
              <w:rPr>
                <w:rFonts w:cstheme="minorHAnsi"/>
                <w:color w:val="000000"/>
                <w:sz w:val="22"/>
                <w:szCs w:val="22"/>
              </w:rPr>
              <w:t>)</w:t>
            </w:r>
          </w:p>
        </w:tc>
        <w:tc>
          <w:tcPr>
            <w:tcW w:w="2675" w:type="dxa"/>
            <w:tcBorders>
              <w:top w:val="nil"/>
              <w:left w:val="nil"/>
              <w:bottom w:val="nil"/>
              <w:right w:val="nil"/>
            </w:tcBorders>
            <w:shd w:val="clear" w:color="auto" w:fill="D9D9D9" w:themeFill="background1" w:themeFillShade="D9"/>
          </w:tcPr>
          <w:p w14:paraId="6182CB67" w14:textId="5A911EEF" w:rsidR="00170739" w:rsidRPr="00D16158" w:rsidRDefault="00CE00EA" w:rsidP="00170739">
            <w:pPr>
              <w:jc w:val="center"/>
              <w:rPr>
                <w:rFonts w:cstheme="minorHAnsi"/>
                <w:color w:val="000000"/>
                <w:sz w:val="22"/>
                <w:szCs w:val="22"/>
              </w:rPr>
            </w:pPr>
            <w:r>
              <w:rPr>
                <w:rFonts w:cstheme="minorHAnsi"/>
                <w:color w:val="000000"/>
                <w:sz w:val="22"/>
                <w:szCs w:val="22"/>
              </w:rPr>
              <w:t>1.12</w:t>
            </w:r>
            <w:r w:rsidR="00170739" w:rsidRPr="002C733E">
              <w:rPr>
                <w:rFonts w:cstheme="minorHAnsi"/>
                <w:color w:val="000000"/>
                <w:sz w:val="22"/>
                <w:szCs w:val="22"/>
              </w:rPr>
              <w:t xml:space="preserve"> (0.6</w:t>
            </w:r>
            <w:r>
              <w:rPr>
                <w:rFonts w:cstheme="minorHAnsi"/>
                <w:color w:val="000000"/>
                <w:sz w:val="22"/>
                <w:szCs w:val="22"/>
              </w:rPr>
              <w:t>9</w:t>
            </w:r>
            <w:r w:rsidR="00170739" w:rsidRPr="002C733E">
              <w:rPr>
                <w:rFonts w:cstheme="minorHAnsi"/>
                <w:color w:val="000000"/>
                <w:sz w:val="22"/>
                <w:szCs w:val="22"/>
              </w:rPr>
              <w:t>-1.</w:t>
            </w:r>
            <w:r>
              <w:rPr>
                <w:rFonts w:cstheme="minorHAnsi"/>
                <w:color w:val="000000"/>
                <w:sz w:val="22"/>
                <w:szCs w:val="22"/>
              </w:rPr>
              <w:t>83</w:t>
            </w:r>
            <w:r w:rsidR="00170739" w:rsidRPr="002C733E">
              <w:rPr>
                <w:rFonts w:cstheme="minorHAnsi"/>
                <w:color w:val="000000"/>
                <w:sz w:val="22"/>
                <w:szCs w:val="22"/>
              </w:rPr>
              <w:t>, 0.</w:t>
            </w:r>
            <w:r w:rsidR="008E7521">
              <w:rPr>
                <w:rFonts w:cstheme="minorHAnsi"/>
                <w:color w:val="000000"/>
                <w:sz w:val="22"/>
                <w:szCs w:val="22"/>
              </w:rPr>
              <w:t>64</w:t>
            </w:r>
            <w:r w:rsidR="00170739" w:rsidRPr="002C733E">
              <w:rPr>
                <w:rFonts w:cstheme="minorHAnsi"/>
                <w:color w:val="000000"/>
                <w:sz w:val="22"/>
                <w:szCs w:val="22"/>
              </w:rPr>
              <w:t>)</w:t>
            </w:r>
          </w:p>
        </w:tc>
      </w:tr>
      <w:tr w:rsidR="00170739" w:rsidRPr="00D16158" w14:paraId="56046A02" w14:textId="77777777" w:rsidTr="00A40071">
        <w:trPr>
          <w:trHeight w:val="283"/>
          <w:jc w:val="center"/>
        </w:trPr>
        <w:tc>
          <w:tcPr>
            <w:tcW w:w="3261" w:type="dxa"/>
            <w:tcBorders>
              <w:top w:val="nil"/>
              <w:left w:val="nil"/>
            </w:tcBorders>
            <w:shd w:val="clear" w:color="auto" w:fill="auto"/>
            <w:noWrap/>
            <w:vAlign w:val="bottom"/>
            <w:hideMark/>
          </w:tcPr>
          <w:p w14:paraId="40BFE43A" w14:textId="77777777" w:rsidR="00170739" w:rsidRPr="00D16158" w:rsidRDefault="00170739" w:rsidP="00170739">
            <w:pPr>
              <w:rPr>
                <w:rFonts w:cstheme="minorHAnsi"/>
                <w:color w:val="000000"/>
                <w:sz w:val="22"/>
                <w:szCs w:val="22"/>
              </w:rPr>
            </w:pPr>
            <w:r w:rsidRPr="00D16158">
              <w:rPr>
                <w:rFonts w:cstheme="minorHAnsi"/>
                <w:color w:val="000000"/>
                <w:sz w:val="22"/>
                <w:szCs w:val="22"/>
              </w:rPr>
              <w:t>Not MPO-ANCA (</w:t>
            </w:r>
            <w:r w:rsidRPr="00D16158">
              <w:rPr>
                <w:rFonts w:cstheme="minorHAnsi"/>
                <w:i/>
                <w:color w:val="000000"/>
                <w:sz w:val="22"/>
                <w:szCs w:val="22"/>
              </w:rPr>
              <w:t>Ref: MPO-ANCA</w:t>
            </w:r>
            <w:r w:rsidRPr="00D16158">
              <w:rPr>
                <w:rFonts w:cstheme="minorHAnsi"/>
                <w:color w:val="000000"/>
                <w:sz w:val="22"/>
                <w:szCs w:val="22"/>
              </w:rPr>
              <w:t>)</w:t>
            </w:r>
          </w:p>
        </w:tc>
        <w:tc>
          <w:tcPr>
            <w:tcW w:w="2675" w:type="dxa"/>
            <w:tcBorders>
              <w:top w:val="nil"/>
              <w:left w:val="nil"/>
              <w:right w:val="nil"/>
            </w:tcBorders>
          </w:tcPr>
          <w:p w14:paraId="45D1F632" w14:textId="237A0ADC" w:rsidR="00170739" w:rsidRPr="00D16158" w:rsidRDefault="00170739" w:rsidP="00170739">
            <w:pPr>
              <w:jc w:val="center"/>
              <w:rPr>
                <w:rFonts w:cstheme="minorHAnsi"/>
                <w:color w:val="000000"/>
                <w:sz w:val="22"/>
                <w:szCs w:val="22"/>
              </w:rPr>
            </w:pPr>
            <w:r w:rsidRPr="002C733E">
              <w:rPr>
                <w:rFonts w:cstheme="minorHAnsi"/>
                <w:color w:val="000000"/>
                <w:sz w:val="22"/>
                <w:szCs w:val="22"/>
              </w:rPr>
              <w:t>1.</w:t>
            </w:r>
            <w:r w:rsidR="00D24C05">
              <w:rPr>
                <w:rFonts w:cstheme="minorHAnsi"/>
                <w:color w:val="000000"/>
                <w:sz w:val="22"/>
                <w:szCs w:val="22"/>
              </w:rPr>
              <w:t>56</w:t>
            </w:r>
            <w:r w:rsidRPr="002C733E">
              <w:rPr>
                <w:rFonts w:cstheme="minorHAnsi"/>
                <w:color w:val="000000"/>
                <w:sz w:val="22"/>
                <w:szCs w:val="22"/>
              </w:rPr>
              <w:t xml:space="preserve"> (</w:t>
            </w:r>
            <w:r w:rsidR="00D24C05">
              <w:rPr>
                <w:rFonts w:cstheme="minorHAnsi"/>
                <w:color w:val="000000"/>
                <w:sz w:val="22"/>
                <w:szCs w:val="22"/>
              </w:rPr>
              <w:t>0.67</w:t>
            </w:r>
            <w:r w:rsidRPr="002C733E">
              <w:rPr>
                <w:rFonts w:cstheme="minorHAnsi"/>
                <w:color w:val="000000"/>
                <w:sz w:val="22"/>
                <w:szCs w:val="22"/>
              </w:rPr>
              <w:t>-</w:t>
            </w:r>
            <w:r w:rsidR="00D24C05">
              <w:rPr>
                <w:rFonts w:cstheme="minorHAnsi"/>
                <w:color w:val="000000"/>
                <w:sz w:val="22"/>
                <w:szCs w:val="22"/>
              </w:rPr>
              <w:t>3.65</w:t>
            </w:r>
            <w:r w:rsidRPr="002C733E">
              <w:rPr>
                <w:rFonts w:cstheme="minorHAnsi"/>
                <w:color w:val="000000"/>
                <w:sz w:val="22"/>
                <w:szCs w:val="22"/>
              </w:rPr>
              <w:t>, 0.</w:t>
            </w:r>
            <w:r w:rsidR="004B640D">
              <w:rPr>
                <w:rFonts w:cstheme="minorHAnsi"/>
                <w:color w:val="000000"/>
                <w:sz w:val="22"/>
                <w:szCs w:val="22"/>
              </w:rPr>
              <w:t>30</w:t>
            </w:r>
            <w:r w:rsidRPr="002C733E">
              <w:rPr>
                <w:rFonts w:cstheme="minorHAnsi"/>
                <w:color w:val="000000"/>
                <w:sz w:val="22"/>
                <w:szCs w:val="22"/>
              </w:rPr>
              <w:t>)</w:t>
            </w:r>
          </w:p>
        </w:tc>
        <w:tc>
          <w:tcPr>
            <w:tcW w:w="2675" w:type="dxa"/>
            <w:tcBorders>
              <w:top w:val="nil"/>
              <w:left w:val="nil"/>
              <w:right w:val="nil"/>
            </w:tcBorders>
          </w:tcPr>
          <w:p w14:paraId="22DEBCF9" w14:textId="19B4A611" w:rsidR="00170739" w:rsidRPr="00D16158" w:rsidRDefault="00CE00EA" w:rsidP="00170739">
            <w:pPr>
              <w:jc w:val="center"/>
              <w:rPr>
                <w:rFonts w:cstheme="minorHAnsi"/>
                <w:color w:val="000000"/>
                <w:sz w:val="22"/>
                <w:szCs w:val="22"/>
              </w:rPr>
            </w:pPr>
            <w:r>
              <w:rPr>
                <w:rFonts w:cstheme="minorHAnsi"/>
                <w:color w:val="000000"/>
                <w:sz w:val="22"/>
                <w:szCs w:val="22"/>
              </w:rPr>
              <w:t>0.78</w:t>
            </w:r>
            <w:r w:rsidR="00170739" w:rsidRPr="002C733E">
              <w:rPr>
                <w:rFonts w:cstheme="minorHAnsi"/>
                <w:color w:val="000000"/>
                <w:sz w:val="22"/>
                <w:szCs w:val="22"/>
              </w:rPr>
              <w:t xml:space="preserve"> (0.</w:t>
            </w:r>
            <w:r>
              <w:rPr>
                <w:rFonts w:cstheme="minorHAnsi"/>
                <w:color w:val="000000"/>
                <w:sz w:val="22"/>
                <w:szCs w:val="22"/>
              </w:rPr>
              <w:t>40</w:t>
            </w:r>
            <w:r w:rsidR="00170739" w:rsidRPr="002C733E">
              <w:rPr>
                <w:rFonts w:cstheme="minorHAnsi"/>
                <w:color w:val="000000"/>
                <w:sz w:val="22"/>
                <w:szCs w:val="22"/>
              </w:rPr>
              <w:t>-1.</w:t>
            </w:r>
            <w:r w:rsidR="00735034">
              <w:rPr>
                <w:rFonts w:cstheme="minorHAnsi"/>
                <w:color w:val="000000"/>
                <w:sz w:val="22"/>
                <w:szCs w:val="22"/>
              </w:rPr>
              <w:t>52</w:t>
            </w:r>
            <w:r w:rsidR="00170739" w:rsidRPr="002C733E">
              <w:rPr>
                <w:rFonts w:cstheme="minorHAnsi"/>
                <w:color w:val="000000"/>
                <w:sz w:val="22"/>
                <w:szCs w:val="22"/>
              </w:rPr>
              <w:t>, 0</w:t>
            </w:r>
            <w:r w:rsidR="00735034">
              <w:rPr>
                <w:rFonts w:cstheme="minorHAnsi"/>
                <w:color w:val="000000"/>
                <w:sz w:val="22"/>
                <w:szCs w:val="22"/>
              </w:rPr>
              <w:t>.</w:t>
            </w:r>
            <w:r w:rsidR="008E7521">
              <w:rPr>
                <w:rFonts w:cstheme="minorHAnsi"/>
                <w:color w:val="000000"/>
                <w:sz w:val="22"/>
                <w:szCs w:val="22"/>
              </w:rPr>
              <w:t>47</w:t>
            </w:r>
            <w:r w:rsidR="00170739" w:rsidRPr="002C733E">
              <w:rPr>
                <w:rFonts w:cstheme="minorHAnsi"/>
                <w:color w:val="000000"/>
                <w:sz w:val="22"/>
                <w:szCs w:val="22"/>
              </w:rPr>
              <w:t>)</w:t>
            </w:r>
          </w:p>
        </w:tc>
      </w:tr>
      <w:tr w:rsidR="00170739" w:rsidRPr="00D16158" w14:paraId="1D07F897" w14:textId="77777777" w:rsidTr="00A40071">
        <w:trPr>
          <w:trHeight w:val="283"/>
          <w:jc w:val="center"/>
        </w:trPr>
        <w:tc>
          <w:tcPr>
            <w:tcW w:w="3261" w:type="dxa"/>
            <w:tcBorders>
              <w:top w:val="nil"/>
              <w:left w:val="nil"/>
              <w:bottom w:val="single" w:sz="4" w:space="0" w:color="auto"/>
            </w:tcBorders>
            <w:shd w:val="clear" w:color="auto" w:fill="D9D9D9" w:themeFill="background1" w:themeFillShade="D9"/>
            <w:noWrap/>
            <w:vAlign w:val="bottom"/>
            <w:hideMark/>
          </w:tcPr>
          <w:p w14:paraId="0263A87F" w14:textId="77777777" w:rsidR="00170739" w:rsidRPr="00D16158" w:rsidRDefault="00170739" w:rsidP="00170739">
            <w:pPr>
              <w:rPr>
                <w:rFonts w:cstheme="minorHAnsi"/>
                <w:color w:val="000000"/>
                <w:sz w:val="22"/>
                <w:szCs w:val="22"/>
              </w:rPr>
            </w:pPr>
            <w:r w:rsidRPr="00D16158">
              <w:rPr>
                <w:rFonts w:cstheme="minorHAnsi"/>
                <w:color w:val="000000"/>
                <w:sz w:val="22"/>
                <w:szCs w:val="22"/>
              </w:rPr>
              <w:t>Off treatment (</w:t>
            </w:r>
            <w:r w:rsidRPr="00D16158">
              <w:rPr>
                <w:rFonts w:cstheme="minorHAnsi"/>
                <w:i/>
                <w:color w:val="000000"/>
                <w:sz w:val="22"/>
                <w:szCs w:val="22"/>
              </w:rPr>
              <w:t>Ref: On treatment</w:t>
            </w:r>
            <w:r w:rsidRPr="00D16158">
              <w:rPr>
                <w:rFonts w:cstheme="minorHAnsi"/>
                <w:color w:val="000000"/>
                <w:sz w:val="22"/>
                <w:szCs w:val="22"/>
              </w:rPr>
              <w:t>)</w:t>
            </w:r>
          </w:p>
        </w:tc>
        <w:tc>
          <w:tcPr>
            <w:tcW w:w="2675" w:type="dxa"/>
            <w:tcBorders>
              <w:top w:val="nil"/>
              <w:left w:val="nil"/>
              <w:bottom w:val="single" w:sz="4" w:space="0" w:color="auto"/>
              <w:right w:val="nil"/>
            </w:tcBorders>
            <w:shd w:val="clear" w:color="auto" w:fill="D9D9D9" w:themeFill="background1" w:themeFillShade="D9"/>
          </w:tcPr>
          <w:p w14:paraId="7607953B" w14:textId="246EDBCD" w:rsidR="00170739" w:rsidRPr="00D16158" w:rsidRDefault="00170739" w:rsidP="00170739">
            <w:pPr>
              <w:jc w:val="center"/>
              <w:rPr>
                <w:rFonts w:cstheme="minorHAnsi"/>
                <w:color w:val="000000"/>
                <w:sz w:val="22"/>
                <w:szCs w:val="22"/>
              </w:rPr>
            </w:pPr>
            <w:r w:rsidRPr="002C733E">
              <w:rPr>
                <w:rFonts w:cstheme="minorHAnsi"/>
                <w:color w:val="000000"/>
                <w:sz w:val="22"/>
                <w:szCs w:val="22"/>
              </w:rPr>
              <w:t>2.</w:t>
            </w:r>
            <w:r w:rsidR="00D24C05">
              <w:rPr>
                <w:rFonts w:cstheme="minorHAnsi"/>
                <w:color w:val="000000"/>
                <w:sz w:val="22"/>
                <w:szCs w:val="22"/>
              </w:rPr>
              <w:t>91</w:t>
            </w:r>
            <w:r w:rsidRPr="002C733E">
              <w:rPr>
                <w:rFonts w:cstheme="minorHAnsi"/>
                <w:color w:val="000000"/>
                <w:sz w:val="22"/>
                <w:szCs w:val="22"/>
              </w:rPr>
              <w:t xml:space="preserve"> (1.</w:t>
            </w:r>
            <w:r w:rsidR="00236D20">
              <w:rPr>
                <w:rFonts w:cstheme="minorHAnsi"/>
                <w:color w:val="000000"/>
                <w:sz w:val="22"/>
                <w:szCs w:val="22"/>
              </w:rPr>
              <w:t>26</w:t>
            </w:r>
            <w:r w:rsidRPr="002C733E">
              <w:rPr>
                <w:rFonts w:cstheme="minorHAnsi"/>
                <w:color w:val="000000"/>
                <w:sz w:val="22"/>
                <w:szCs w:val="22"/>
              </w:rPr>
              <w:t>-</w:t>
            </w:r>
            <w:r w:rsidR="00236D20">
              <w:rPr>
                <w:rFonts w:cstheme="minorHAnsi"/>
                <w:color w:val="000000"/>
                <w:sz w:val="22"/>
                <w:szCs w:val="22"/>
              </w:rPr>
              <w:t>6.71</w:t>
            </w:r>
            <w:r w:rsidRPr="002C733E">
              <w:rPr>
                <w:rFonts w:cstheme="minorHAnsi"/>
                <w:color w:val="000000"/>
                <w:sz w:val="22"/>
                <w:szCs w:val="22"/>
              </w:rPr>
              <w:t xml:space="preserve">, </w:t>
            </w:r>
            <w:r w:rsidR="004B640D">
              <w:rPr>
                <w:rFonts w:cstheme="minorHAnsi"/>
                <w:b/>
                <w:bCs/>
                <w:color w:val="000000"/>
                <w:sz w:val="22"/>
                <w:szCs w:val="22"/>
              </w:rPr>
              <w:t>0.01</w:t>
            </w:r>
            <w:r w:rsidRPr="002C733E">
              <w:rPr>
                <w:rFonts w:cstheme="minorHAnsi"/>
                <w:b/>
                <w:bCs/>
                <w:color w:val="000000"/>
                <w:sz w:val="22"/>
                <w:szCs w:val="22"/>
              </w:rPr>
              <w:t>)</w:t>
            </w:r>
          </w:p>
        </w:tc>
        <w:tc>
          <w:tcPr>
            <w:tcW w:w="2675" w:type="dxa"/>
            <w:tcBorders>
              <w:top w:val="nil"/>
              <w:left w:val="nil"/>
              <w:bottom w:val="single" w:sz="4" w:space="0" w:color="auto"/>
              <w:right w:val="nil"/>
            </w:tcBorders>
            <w:shd w:val="clear" w:color="auto" w:fill="D9D9D9" w:themeFill="background1" w:themeFillShade="D9"/>
          </w:tcPr>
          <w:p w14:paraId="1BF4E528" w14:textId="1CE1B39F" w:rsidR="00170739" w:rsidRPr="00D16158" w:rsidRDefault="00170739" w:rsidP="00170739">
            <w:pPr>
              <w:jc w:val="center"/>
              <w:rPr>
                <w:rFonts w:cstheme="minorHAnsi"/>
                <w:color w:val="000000"/>
                <w:sz w:val="22"/>
                <w:szCs w:val="22"/>
              </w:rPr>
            </w:pPr>
            <w:r w:rsidRPr="002C733E">
              <w:rPr>
                <w:rFonts w:cstheme="minorHAnsi"/>
                <w:color w:val="000000"/>
                <w:sz w:val="22"/>
                <w:szCs w:val="22"/>
              </w:rPr>
              <w:t>2.6</w:t>
            </w:r>
            <w:r w:rsidR="00735034">
              <w:rPr>
                <w:rFonts w:cstheme="minorHAnsi"/>
                <w:color w:val="000000"/>
                <w:sz w:val="22"/>
                <w:szCs w:val="22"/>
              </w:rPr>
              <w:t>4</w:t>
            </w:r>
            <w:r w:rsidRPr="002C733E">
              <w:rPr>
                <w:rFonts w:cstheme="minorHAnsi"/>
                <w:color w:val="000000"/>
                <w:sz w:val="22"/>
                <w:szCs w:val="22"/>
              </w:rPr>
              <w:t xml:space="preserve"> (1</w:t>
            </w:r>
            <w:r w:rsidR="00735034">
              <w:rPr>
                <w:rFonts w:cstheme="minorHAnsi"/>
                <w:color w:val="000000"/>
                <w:sz w:val="22"/>
                <w:szCs w:val="22"/>
              </w:rPr>
              <w:t>.56</w:t>
            </w:r>
            <w:r w:rsidRPr="002C733E">
              <w:rPr>
                <w:rFonts w:cstheme="minorHAnsi"/>
                <w:color w:val="000000"/>
                <w:sz w:val="22"/>
                <w:szCs w:val="22"/>
              </w:rPr>
              <w:t>-4.</w:t>
            </w:r>
            <w:r w:rsidR="00735034">
              <w:rPr>
                <w:rFonts w:cstheme="minorHAnsi"/>
                <w:color w:val="000000"/>
                <w:sz w:val="22"/>
                <w:szCs w:val="22"/>
              </w:rPr>
              <w:t>46</w:t>
            </w:r>
            <w:r w:rsidRPr="002C733E">
              <w:rPr>
                <w:rFonts w:cstheme="minorHAnsi"/>
                <w:color w:val="000000"/>
                <w:sz w:val="22"/>
                <w:szCs w:val="22"/>
              </w:rPr>
              <w:t xml:space="preserve">, </w:t>
            </w:r>
            <w:r w:rsidRPr="002C733E">
              <w:rPr>
                <w:rFonts w:cstheme="minorHAnsi"/>
                <w:b/>
                <w:bCs/>
                <w:color w:val="000000"/>
                <w:sz w:val="22"/>
                <w:szCs w:val="22"/>
              </w:rPr>
              <w:t>&lt;0.001)</w:t>
            </w:r>
          </w:p>
        </w:tc>
      </w:tr>
      <w:tr w:rsidR="00170739" w:rsidRPr="00D16158" w14:paraId="696EDFCB" w14:textId="77777777" w:rsidTr="00A40071">
        <w:trPr>
          <w:trHeight w:val="283"/>
          <w:jc w:val="center"/>
        </w:trPr>
        <w:tc>
          <w:tcPr>
            <w:tcW w:w="3261" w:type="dxa"/>
            <w:tcBorders>
              <w:top w:val="single" w:sz="4" w:space="0" w:color="auto"/>
              <w:left w:val="nil"/>
              <w:bottom w:val="nil"/>
            </w:tcBorders>
            <w:shd w:val="clear" w:color="auto" w:fill="auto"/>
            <w:noWrap/>
            <w:vAlign w:val="bottom"/>
          </w:tcPr>
          <w:p w14:paraId="55D87027" w14:textId="77777777" w:rsidR="00170739" w:rsidRPr="00D16158" w:rsidRDefault="00170739" w:rsidP="00170739">
            <w:pPr>
              <w:rPr>
                <w:rFonts w:cstheme="minorHAnsi"/>
                <w:color w:val="000000"/>
                <w:sz w:val="22"/>
                <w:szCs w:val="22"/>
              </w:rPr>
            </w:pPr>
            <w:r>
              <w:rPr>
                <w:rFonts w:cstheme="minorHAnsi"/>
                <w:color w:val="000000"/>
                <w:sz w:val="22"/>
                <w:szCs w:val="22"/>
              </w:rPr>
              <w:t>Number of individuals</w:t>
            </w:r>
          </w:p>
        </w:tc>
        <w:tc>
          <w:tcPr>
            <w:tcW w:w="2675" w:type="dxa"/>
            <w:tcBorders>
              <w:top w:val="single" w:sz="4" w:space="0" w:color="auto"/>
              <w:left w:val="nil"/>
              <w:bottom w:val="nil"/>
              <w:right w:val="nil"/>
            </w:tcBorders>
            <w:shd w:val="clear" w:color="auto" w:fill="auto"/>
          </w:tcPr>
          <w:p w14:paraId="064CBB9B" w14:textId="64B24650" w:rsidR="00170739" w:rsidRDefault="00236D20" w:rsidP="00170739">
            <w:pPr>
              <w:jc w:val="center"/>
              <w:rPr>
                <w:rFonts w:cstheme="minorHAnsi"/>
                <w:color w:val="000000"/>
                <w:sz w:val="22"/>
                <w:szCs w:val="22"/>
              </w:rPr>
            </w:pPr>
            <w:r>
              <w:rPr>
                <w:rFonts w:cstheme="minorHAnsi"/>
                <w:color w:val="000000"/>
                <w:sz w:val="22"/>
                <w:szCs w:val="22"/>
              </w:rPr>
              <w:t>220</w:t>
            </w:r>
          </w:p>
        </w:tc>
        <w:tc>
          <w:tcPr>
            <w:tcW w:w="2675" w:type="dxa"/>
            <w:tcBorders>
              <w:top w:val="single" w:sz="4" w:space="0" w:color="auto"/>
              <w:left w:val="nil"/>
              <w:bottom w:val="nil"/>
              <w:right w:val="nil"/>
            </w:tcBorders>
            <w:shd w:val="clear" w:color="auto" w:fill="auto"/>
          </w:tcPr>
          <w:p w14:paraId="48C5DAFC" w14:textId="505F18DB" w:rsidR="00170739" w:rsidRPr="00D16158" w:rsidRDefault="001664C2" w:rsidP="00170739">
            <w:pPr>
              <w:jc w:val="center"/>
              <w:rPr>
                <w:rFonts w:cstheme="minorHAnsi"/>
                <w:color w:val="000000"/>
                <w:sz w:val="22"/>
                <w:szCs w:val="22"/>
              </w:rPr>
            </w:pPr>
            <w:r>
              <w:rPr>
                <w:rFonts w:cstheme="minorHAnsi"/>
                <w:color w:val="000000"/>
                <w:sz w:val="22"/>
                <w:szCs w:val="22"/>
              </w:rPr>
              <w:t>219</w:t>
            </w:r>
          </w:p>
        </w:tc>
      </w:tr>
      <w:tr w:rsidR="00170739" w:rsidRPr="00D16158" w14:paraId="5B9B84A1" w14:textId="77777777" w:rsidTr="00A40071">
        <w:trPr>
          <w:trHeight w:val="283"/>
          <w:jc w:val="center"/>
        </w:trPr>
        <w:tc>
          <w:tcPr>
            <w:tcW w:w="3261" w:type="dxa"/>
            <w:tcBorders>
              <w:top w:val="nil"/>
              <w:left w:val="nil"/>
              <w:bottom w:val="single" w:sz="4" w:space="0" w:color="auto"/>
            </w:tcBorders>
            <w:shd w:val="clear" w:color="auto" w:fill="D9D9D9" w:themeFill="background1" w:themeFillShade="D9"/>
            <w:noWrap/>
            <w:vAlign w:val="bottom"/>
          </w:tcPr>
          <w:p w14:paraId="5D8C5E50" w14:textId="77777777" w:rsidR="00170739" w:rsidRPr="00D16158" w:rsidRDefault="00170739" w:rsidP="00170739">
            <w:pPr>
              <w:rPr>
                <w:rFonts w:cstheme="minorHAnsi"/>
                <w:color w:val="000000"/>
                <w:sz w:val="22"/>
                <w:szCs w:val="22"/>
              </w:rPr>
            </w:pPr>
            <w:r>
              <w:rPr>
                <w:rFonts w:cstheme="minorHAnsi"/>
                <w:color w:val="000000"/>
                <w:sz w:val="22"/>
                <w:szCs w:val="22"/>
              </w:rPr>
              <w:t>Number of observations</w:t>
            </w:r>
          </w:p>
        </w:tc>
        <w:tc>
          <w:tcPr>
            <w:tcW w:w="2675" w:type="dxa"/>
            <w:tcBorders>
              <w:top w:val="nil"/>
              <w:left w:val="nil"/>
              <w:bottom w:val="single" w:sz="4" w:space="0" w:color="auto"/>
              <w:right w:val="nil"/>
            </w:tcBorders>
            <w:shd w:val="clear" w:color="auto" w:fill="D9D9D9" w:themeFill="background1" w:themeFillShade="D9"/>
          </w:tcPr>
          <w:p w14:paraId="5AB4B168" w14:textId="6297D39A" w:rsidR="00170739" w:rsidRDefault="00236D20" w:rsidP="00170739">
            <w:pPr>
              <w:jc w:val="center"/>
              <w:rPr>
                <w:rFonts w:cstheme="minorHAnsi"/>
                <w:color w:val="000000"/>
                <w:sz w:val="22"/>
                <w:szCs w:val="22"/>
              </w:rPr>
            </w:pPr>
            <w:r>
              <w:rPr>
                <w:rFonts w:cstheme="minorHAnsi"/>
                <w:color w:val="000000"/>
                <w:sz w:val="22"/>
                <w:szCs w:val="22"/>
              </w:rPr>
              <w:t>990</w:t>
            </w:r>
          </w:p>
        </w:tc>
        <w:tc>
          <w:tcPr>
            <w:tcW w:w="2675" w:type="dxa"/>
            <w:tcBorders>
              <w:top w:val="nil"/>
              <w:left w:val="nil"/>
              <w:bottom w:val="single" w:sz="4" w:space="0" w:color="auto"/>
              <w:right w:val="nil"/>
            </w:tcBorders>
            <w:shd w:val="clear" w:color="auto" w:fill="D9D9D9" w:themeFill="background1" w:themeFillShade="D9"/>
          </w:tcPr>
          <w:p w14:paraId="6106C409" w14:textId="66173AE7" w:rsidR="00170739" w:rsidRPr="00D16158" w:rsidRDefault="001664C2" w:rsidP="00170739">
            <w:pPr>
              <w:jc w:val="center"/>
              <w:rPr>
                <w:rFonts w:cstheme="minorHAnsi"/>
                <w:color w:val="000000"/>
                <w:sz w:val="22"/>
                <w:szCs w:val="22"/>
              </w:rPr>
            </w:pPr>
            <w:r>
              <w:rPr>
                <w:rFonts w:cstheme="minorHAnsi"/>
                <w:color w:val="000000"/>
                <w:sz w:val="22"/>
                <w:szCs w:val="22"/>
              </w:rPr>
              <w:t>1090</w:t>
            </w:r>
          </w:p>
        </w:tc>
      </w:tr>
    </w:tbl>
    <w:p w14:paraId="783BFBE3" w14:textId="77777777" w:rsidR="00D24A36" w:rsidRDefault="00D24A36" w:rsidP="00D24A36">
      <w:pPr>
        <w:rPr>
          <w:rFonts w:ascii="Calibri" w:hAnsi="Calibri" w:cs="Calibri"/>
          <w:color w:val="000000"/>
          <w:sz w:val="20"/>
          <w:szCs w:val="20"/>
        </w:rPr>
      </w:pPr>
    </w:p>
    <w:p w14:paraId="6B2B91E0" w14:textId="77777777" w:rsidR="00693DCE" w:rsidRDefault="00693DCE" w:rsidP="00693DCE">
      <w:pPr>
        <w:rPr>
          <w:rFonts w:ascii="Calibri" w:hAnsi="Calibri" w:cs="Calibri"/>
          <w:color w:val="000000" w:themeColor="text1"/>
          <w:sz w:val="20"/>
          <w:szCs w:val="20"/>
        </w:rPr>
      </w:pPr>
      <w:r w:rsidRPr="0B8DBBA7">
        <w:rPr>
          <w:rFonts w:ascii="Calibri" w:hAnsi="Calibri" w:cs="Calibri"/>
          <w:color w:val="000000" w:themeColor="text1"/>
          <w:sz w:val="20"/>
          <w:szCs w:val="20"/>
        </w:rPr>
        <w:t xml:space="preserve">N (individuals) </w:t>
      </w:r>
      <w:r>
        <w:rPr>
          <w:rFonts w:ascii="Calibri" w:hAnsi="Calibri" w:cs="Calibri"/>
          <w:color w:val="000000" w:themeColor="text1"/>
          <w:sz w:val="20"/>
          <w:szCs w:val="20"/>
        </w:rPr>
        <w:t xml:space="preserve">differs from </w:t>
      </w:r>
      <w:r w:rsidRPr="0B8DBBA7">
        <w:rPr>
          <w:rFonts w:ascii="Calibri" w:hAnsi="Calibri" w:cs="Calibri"/>
          <w:color w:val="000000" w:themeColor="text1"/>
          <w:sz w:val="20"/>
          <w:szCs w:val="20"/>
        </w:rPr>
        <w:t xml:space="preserve">N (observations) </w:t>
      </w:r>
      <w:r>
        <w:rPr>
          <w:rFonts w:ascii="Calibri" w:hAnsi="Calibri" w:cs="Calibri"/>
          <w:color w:val="000000" w:themeColor="text1"/>
          <w:sz w:val="20"/>
          <w:szCs w:val="20"/>
        </w:rPr>
        <w:t xml:space="preserve">as multiple observations (remission +/- relapse) per individual were included, according to each participant’s disease course. </w:t>
      </w:r>
      <w:r w:rsidRPr="0B8DBBA7">
        <w:rPr>
          <w:rFonts w:ascii="Calibri" w:hAnsi="Calibri" w:cs="Calibri"/>
          <w:color w:val="000000" w:themeColor="text1"/>
          <w:sz w:val="20"/>
          <w:szCs w:val="20"/>
        </w:rPr>
        <w:t>The OR refers to the probability of having an AAV relapse (relative to remission).</w:t>
      </w:r>
    </w:p>
    <w:p w14:paraId="01883CB5" w14:textId="77777777" w:rsidR="00693DCE" w:rsidRDefault="00693DCE" w:rsidP="00693DCE">
      <w:pPr>
        <w:rPr>
          <w:rFonts w:cstheme="minorHAnsi"/>
          <w:color w:val="000000" w:themeColor="text1"/>
          <w:sz w:val="20"/>
          <w:szCs w:val="20"/>
        </w:rPr>
      </w:pPr>
      <w:r w:rsidRPr="00BD2CA4">
        <w:rPr>
          <w:rFonts w:cstheme="minorHAnsi"/>
          <w:color w:val="000000" w:themeColor="text1"/>
          <w:sz w:val="20"/>
          <w:szCs w:val="20"/>
        </w:rPr>
        <w:t xml:space="preserve">Model </w:t>
      </w:r>
      <w:r>
        <w:rPr>
          <w:rFonts w:cstheme="minorHAnsi"/>
          <w:color w:val="000000" w:themeColor="text1"/>
          <w:sz w:val="20"/>
          <w:szCs w:val="20"/>
        </w:rPr>
        <w:t>1</w:t>
      </w:r>
      <w:r w:rsidRPr="00BD2CA4">
        <w:rPr>
          <w:rFonts w:cstheme="minorHAnsi"/>
          <w:color w:val="000000" w:themeColor="text1"/>
          <w:sz w:val="20"/>
          <w:szCs w:val="20"/>
        </w:rPr>
        <w:t xml:space="preserve"> investigates the effect of </w:t>
      </w:r>
      <w:r w:rsidRPr="00BD2CA4">
        <w:rPr>
          <w:rFonts w:cstheme="minorHAnsi"/>
          <w:b/>
          <w:color w:val="000000" w:themeColor="text1"/>
          <w:sz w:val="20"/>
          <w:szCs w:val="20"/>
        </w:rPr>
        <w:t>average winter (Dec-Feb)</w:t>
      </w:r>
      <w:r>
        <w:rPr>
          <w:rFonts w:cstheme="minorHAnsi"/>
          <w:b/>
          <w:color w:val="000000" w:themeColor="text1"/>
          <w:sz w:val="20"/>
          <w:szCs w:val="20"/>
        </w:rPr>
        <w:t xml:space="preserve"> </w:t>
      </w:r>
      <w:r w:rsidRPr="00BD2CA4">
        <w:rPr>
          <w:rFonts w:cstheme="minorHAnsi"/>
          <w:b/>
          <w:color w:val="000000" w:themeColor="text1"/>
          <w:sz w:val="20"/>
          <w:szCs w:val="20"/>
        </w:rPr>
        <w:t>vitD-UVB (2004-2019),</w:t>
      </w:r>
      <w:r w:rsidRPr="00BD2CA4">
        <w:rPr>
          <w:rFonts w:cstheme="minorHAnsi"/>
          <w:color w:val="000000" w:themeColor="text1"/>
          <w:sz w:val="20"/>
          <w:szCs w:val="20"/>
        </w:rPr>
        <w:t xml:space="preserve"> adjusted for age at diagnosis, </w:t>
      </w:r>
      <w:r>
        <w:rPr>
          <w:rFonts w:cstheme="minorHAnsi"/>
          <w:color w:val="000000" w:themeColor="text1"/>
          <w:sz w:val="20"/>
          <w:szCs w:val="20"/>
        </w:rPr>
        <w:t>gender</w:t>
      </w:r>
      <w:r w:rsidRPr="00BD2CA4">
        <w:rPr>
          <w:rFonts w:cstheme="minorHAnsi"/>
          <w:color w:val="000000" w:themeColor="text1"/>
          <w:sz w:val="20"/>
          <w:szCs w:val="20"/>
        </w:rPr>
        <w:t>, AAV phenotype, ANCA serotype and treatment</w:t>
      </w:r>
      <w:r>
        <w:rPr>
          <w:rFonts w:cstheme="minorHAnsi"/>
          <w:color w:val="000000" w:themeColor="text1"/>
          <w:sz w:val="20"/>
          <w:szCs w:val="20"/>
        </w:rPr>
        <w:t xml:space="preserve">, </w:t>
      </w:r>
      <w:r w:rsidRPr="005C4C2E">
        <w:rPr>
          <w:rFonts w:cstheme="minorHAnsi"/>
          <w:b/>
          <w:bCs/>
          <w:color w:val="000000" w:themeColor="text1"/>
          <w:sz w:val="20"/>
          <w:szCs w:val="20"/>
        </w:rPr>
        <w:t xml:space="preserve">restricted to </w:t>
      </w:r>
      <w:r w:rsidRPr="00F16E9B">
        <w:rPr>
          <w:rFonts w:cstheme="minorHAnsi"/>
          <w:b/>
          <w:bCs/>
          <w:i/>
          <w:iCs/>
          <w:color w:val="000000" w:themeColor="text1"/>
          <w:sz w:val="20"/>
          <w:szCs w:val="20"/>
        </w:rPr>
        <w:t>MPA phenotype</w:t>
      </w:r>
      <w:r>
        <w:rPr>
          <w:rFonts w:cstheme="minorHAnsi"/>
          <w:color w:val="000000" w:themeColor="text1"/>
          <w:sz w:val="20"/>
          <w:szCs w:val="20"/>
        </w:rPr>
        <w:t>.</w:t>
      </w:r>
    </w:p>
    <w:p w14:paraId="628DA8D2" w14:textId="77777777" w:rsidR="00693DCE" w:rsidRPr="005C4C2E" w:rsidRDefault="00693DCE" w:rsidP="00693DCE">
      <w:pPr>
        <w:rPr>
          <w:rFonts w:cstheme="minorHAnsi"/>
          <w:b/>
          <w:bCs/>
          <w:color w:val="000000" w:themeColor="text1"/>
          <w:sz w:val="20"/>
          <w:szCs w:val="20"/>
        </w:rPr>
      </w:pPr>
      <w:r w:rsidRPr="00BD2CA4">
        <w:rPr>
          <w:rFonts w:cstheme="minorHAnsi"/>
          <w:color w:val="000000" w:themeColor="text1"/>
          <w:sz w:val="20"/>
          <w:szCs w:val="20"/>
        </w:rPr>
        <w:t xml:space="preserve">Model </w:t>
      </w:r>
      <w:r>
        <w:rPr>
          <w:rFonts w:cstheme="minorHAnsi"/>
          <w:color w:val="000000" w:themeColor="text1"/>
          <w:sz w:val="20"/>
          <w:szCs w:val="20"/>
        </w:rPr>
        <w:t>2</w:t>
      </w:r>
      <w:r w:rsidRPr="00BD2CA4">
        <w:rPr>
          <w:rFonts w:cstheme="minorHAnsi"/>
          <w:color w:val="000000" w:themeColor="text1"/>
          <w:sz w:val="20"/>
          <w:szCs w:val="20"/>
        </w:rPr>
        <w:t xml:space="preserve"> investigates the effect of </w:t>
      </w:r>
      <w:r w:rsidRPr="00BD2CA4">
        <w:rPr>
          <w:rFonts w:cstheme="minorHAnsi"/>
          <w:b/>
          <w:color w:val="000000" w:themeColor="text1"/>
          <w:sz w:val="20"/>
          <w:szCs w:val="20"/>
        </w:rPr>
        <w:t>average winter (Dec-Feb)</w:t>
      </w:r>
      <w:r>
        <w:rPr>
          <w:rFonts w:cstheme="minorHAnsi"/>
          <w:b/>
          <w:color w:val="000000" w:themeColor="text1"/>
          <w:sz w:val="20"/>
          <w:szCs w:val="20"/>
        </w:rPr>
        <w:t xml:space="preserve"> </w:t>
      </w:r>
      <w:r w:rsidRPr="00BD2CA4">
        <w:rPr>
          <w:rFonts w:cstheme="minorHAnsi"/>
          <w:b/>
          <w:color w:val="000000" w:themeColor="text1"/>
          <w:sz w:val="20"/>
          <w:szCs w:val="20"/>
        </w:rPr>
        <w:t>vitD-UVB (2004-2019),</w:t>
      </w:r>
      <w:r w:rsidRPr="00BD2CA4">
        <w:rPr>
          <w:rFonts w:cstheme="minorHAnsi"/>
          <w:color w:val="000000" w:themeColor="text1"/>
          <w:sz w:val="20"/>
          <w:szCs w:val="20"/>
        </w:rPr>
        <w:t xml:space="preserve"> adjusted for age at diagnosis, </w:t>
      </w:r>
      <w:r>
        <w:rPr>
          <w:rFonts w:cstheme="minorHAnsi"/>
          <w:color w:val="000000" w:themeColor="text1"/>
          <w:sz w:val="20"/>
          <w:szCs w:val="20"/>
        </w:rPr>
        <w:t>gender</w:t>
      </w:r>
      <w:r w:rsidRPr="00BD2CA4">
        <w:rPr>
          <w:rFonts w:cstheme="minorHAnsi"/>
          <w:color w:val="000000" w:themeColor="text1"/>
          <w:sz w:val="20"/>
          <w:szCs w:val="20"/>
        </w:rPr>
        <w:t>, AAV phenotype, ANCA serotype and treatment</w:t>
      </w:r>
      <w:r>
        <w:rPr>
          <w:rFonts w:cstheme="minorHAnsi"/>
          <w:color w:val="000000" w:themeColor="text1"/>
          <w:sz w:val="20"/>
          <w:szCs w:val="20"/>
        </w:rPr>
        <w:t xml:space="preserve">, </w:t>
      </w:r>
      <w:r w:rsidRPr="005C4C2E">
        <w:rPr>
          <w:rFonts w:cstheme="minorHAnsi"/>
          <w:b/>
          <w:bCs/>
          <w:color w:val="000000" w:themeColor="text1"/>
          <w:sz w:val="20"/>
          <w:szCs w:val="20"/>
        </w:rPr>
        <w:t xml:space="preserve">restricted to </w:t>
      </w:r>
      <w:r w:rsidRPr="00F16E9B">
        <w:rPr>
          <w:rFonts w:cstheme="minorHAnsi"/>
          <w:b/>
          <w:bCs/>
          <w:i/>
          <w:iCs/>
          <w:color w:val="000000" w:themeColor="text1"/>
          <w:sz w:val="20"/>
          <w:szCs w:val="20"/>
        </w:rPr>
        <w:t>Not MPA phenotype.</w:t>
      </w:r>
    </w:p>
    <w:p w14:paraId="04A20402" w14:textId="6F925B8D" w:rsidR="00AC3265" w:rsidRDefault="00693DCE" w:rsidP="00693DCE">
      <w:pPr>
        <w:rPr>
          <w:rFonts w:cstheme="minorHAnsi"/>
          <w:sz w:val="20"/>
          <w:szCs w:val="20"/>
          <w:shd w:val="clear" w:color="auto" w:fill="FFFFFF"/>
        </w:rPr>
      </w:pPr>
      <w:r>
        <w:rPr>
          <w:rFonts w:cstheme="minorHAnsi"/>
          <w:sz w:val="20"/>
          <w:szCs w:val="20"/>
          <w:shd w:val="clear" w:color="auto" w:fill="FFFFFF"/>
        </w:rPr>
        <w:t>Cumulative-weighted UVB dose (CW-D-UVB), Standard deviation (SD), Microscopic polyangiitis (MPA), Myeloperoxidase (MPO), Odds ratio (OR), 95% Confidence interval (95% CI)</w:t>
      </w:r>
    </w:p>
    <w:p w14:paraId="0876C783" w14:textId="4FD0B3D9" w:rsidR="00AC3265" w:rsidRDefault="00AC3265" w:rsidP="00D24A36">
      <w:pPr>
        <w:rPr>
          <w:rFonts w:cstheme="minorHAnsi"/>
          <w:sz w:val="20"/>
          <w:szCs w:val="20"/>
          <w:shd w:val="clear" w:color="auto" w:fill="FFFFFF"/>
        </w:rPr>
      </w:pPr>
    </w:p>
    <w:p w14:paraId="25955419" w14:textId="77777777" w:rsidR="00AC3265" w:rsidRDefault="00AC3265" w:rsidP="00AC3265">
      <w:pPr>
        <w:pStyle w:val="Heading2"/>
      </w:pPr>
    </w:p>
    <w:p w14:paraId="4F365304" w14:textId="77777777" w:rsidR="00AC3265" w:rsidRDefault="00AC3265" w:rsidP="00AC3265">
      <w:pPr>
        <w:pStyle w:val="Heading2"/>
      </w:pPr>
    </w:p>
    <w:p w14:paraId="5DD592BE" w14:textId="77777777" w:rsidR="00C85C51" w:rsidRDefault="00C85C51">
      <w:pPr>
        <w:rPr>
          <w:rFonts w:asciiTheme="majorHAnsi" w:eastAsiaTheme="majorEastAsia" w:hAnsiTheme="majorHAnsi" w:cstheme="majorBidi"/>
          <w:color w:val="2F5496" w:themeColor="accent1" w:themeShade="BF"/>
          <w:sz w:val="26"/>
          <w:szCs w:val="26"/>
        </w:rPr>
      </w:pPr>
      <w:r>
        <w:br w:type="page"/>
      </w:r>
    </w:p>
    <w:p w14:paraId="419AFF71" w14:textId="6271C07B" w:rsidR="00C85C51" w:rsidRPr="006165C4" w:rsidRDefault="00C85C51" w:rsidP="00C85C51">
      <w:pPr>
        <w:pStyle w:val="Heading2"/>
      </w:pPr>
      <w:bookmarkStart w:id="43" w:name="_Toc80281885"/>
      <w:r>
        <w:lastRenderedPageBreak/>
        <w:t>Supplementary Table 3: Multi-level model investigating the association between CW-D-UVB and the risk of AAV relapse (with treatment breakdown)</w:t>
      </w:r>
      <w:bookmarkEnd w:id="43"/>
    </w:p>
    <w:p w14:paraId="11330C30" w14:textId="77777777" w:rsidR="00C85C51" w:rsidRPr="0047418D" w:rsidRDefault="00C85C51" w:rsidP="00C85C51">
      <w:pPr>
        <w:rPr>
          <w:rFonts w:ascii="Calibri" w:hAnsi="Calibri" w:cs="Calibri"/>
          <w:color w:val="000000"/>
          <w:sz w:val="20"/>
          <w:szCs w:val="20"/>
        </w:rPr>
      </w:pPr>
    </w:p>
    <w:tbl>
      <w:tblPr>
        <w:tblW w:w="8961" w:type="dxa"/>
        <w:jc w:val="center"/>
        <w:tblCellMar>
          <w:left w:w="0" w:type="dxa"/>
          <w:right w:w="0" w:type="dxa"/>
        </w:tblCellMar>
        <w:tblLook w:val="0600" w:firstRow="0" w:lastRow="0" w:firstColumn="0" w:lastColumn="0" w:noHBand="1" w:noVBand="1"/>
      </w:tblPr>
      <w:tblGrid>
        <w:gridCol w:w="4897"/>
        <w:gridCol w:w="4064"/>
      </w:tblGrid>
      <w:tr w:rsidR="00C85C51" w:rsidRPr="0062773B" w14:paraId="26F50321"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000000"/>
            <w:tcMar>
              <w:top w:w="21" w:type="dxa"/>
              <w:left w:w="21" w:type="dxa"/>
              <w:bottom w:w="0" w:type="dxa"/>
              <w:right w:w="21" w:type="dxa"/>
            </w:tcMar>
            <w:vAlign w:val="bottom"/>
            <w:hideMark/>
          </w:tcPr>
          <w:p w14:paraId="6E673B11" w14:textId="77777777" w:rsidR="00C85C51" w:rsidRPr="00F60C85" w:rsidRDefault="00C85C51" w:rsidP="00D00916">
            <w:pPr>
              <w:rPr>
                <w:rFonts w:cstheme="minorHAnsi"/>
                <w:sz w:val="22"/>
                <w:szCs w:val="22"/>
              </w:rPr>
            </w:pPr>
            <w:r w:rsidRPr="00F60C85">
              <w:rPr>
                <w:rFonts w:cstheme="minorHAnsi"/>
                <w:b/>
                <w:sz w:val="22"/>
                <w:szCs w:val="22"/>
              </w:rPr>
              <w:t>Random effects:</w:t>
            </w:r>
          </w:p>
        </w:tc>
        <w:tc>
          <w:tcPr>
            <w:tcW w:w="4064" w:type="dxa"/>
            <w:tcBorders>
              <w:top w:val="single" w:sz="8" w:space="0" w:color="FFFFFF"/>
              <w:left w:val="single" w:sz="8" w:space="0" w:color="FFFFFF"/>
              <w:bottom w:val="single" w:sz="8" w:space="0" w:color="FFFFFF"/>
              <w:right w:val="single" w:sz="8" w:space="0" w:color="FFFFFF"/>
            </w:tcBorders>
            <w:shd w:val="clear" w:color="auto" w:fill="000000"/>
            <w:tcMar>
              <w:top w:w="21" w:type="dxa"/>
              <w:left w:w="21" w:type="dxa"/>
              <w:bottom w:w="0" w:type="dxa"/>
              <w:right w:w="21" w:type="dxa"/>
            </w:tcMar>
            <w:vAlign w:val="bottom"/>
            <w:hideMark/>
          </w:tcPr>
          <w:p w14:paraId="0951ECC5" w14:textId="77777777" w:rsidR="00C85C51" w:rsidRPr="00F60C85" w:rsidRDefault="00C85C51" w:rsidP="00D00916">
            <w:pPr>
              <w:jc w:val="center"/>
              <w:rPr>
                <w:rFonts w:cstheme="minorHAnsi"/>
                <w:sz w:val="22"/>
                <w:szCs w:val="22"/>
              </w:rPr>
            </w:pPr>
            <w:r w:rsidRPr="00F60C85">
              <w:rPr>
                <w:rFonts w:cstheme="minorHAnsi"/>
                <w:b/>
                <w:sz w:val="22"/>
                <w:szCs w:val="22"/>
              </w:rPr>
              <w:t>Variance (SD)</w:t>
            </w:r>
          </w:p>
        </w:tc>
      </w:tr>
      <w:tr w:rsidR="00C85C51" w:rsidRPr="0062773B" w14:paraId="608282EF"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2085E05B" w14:textId="77777777" w:rsidR="00C85C51" w:rsidRPr="00F60C85" w:rsidRDefault="00C85C51" w:rsidP="00D00916">
            <w:pPr>
              <w:rPr>
                <w:rFonts w:cstheme="minorHAnsi"/>
                <w:sz w:val="22"/>
                <w:szCs w:val="22"/>
              </w:rPr>
            </w:pPr>
            <w:r w:rsidRPr="00F60C85">
              <w:rPr>
                <w:rFonts w:cstheme="minorHAnsi"/>
                <w:sz w:val="22"/>
                <w:szCs w:val="22"/>
              </w:rPr>
              <w:t>Patient ID</w:t>
            </w:r>
          </w:p>
        </w:tc>
        <w:tc>
          <w:tcPr>
            <w:tcW w:w="4064"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4AFCD4F4" w14:textId="77777777" w:rsidR="00C85C51" w:rsidRPr="00F60C85" w:rsidRDefault="00C85C51" w:rsidP="00D00916">
            <w:pPr>
              <w:jc w:val="center"/>
              <w:rPr>
                <w:rFonts w:cstheme="minorHAnsi"/>
                <w:sz w:val="22"/>
                <w:szCs w:val="22"/>
              </w:rPr>
            </w:pPr>
            <w:r w:rsidRPr="00F60C85">
              <w:rPr>
                <w:rFonts w:cstheme="minorHAnsi"/>
                <w:sz w:val="22"/>
                <w:szCs w:val="22"/>
              </w:rPr>
              <w:t>0.75 (0.86</w:t>
            </w:r>
          </w:p>
        </w:tc>
      </w:tr>
      <w:tr w:rsidR="00C85C51" w:rsidRPr="0062773B" w14:paraId="76CC035B"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000000"/>
            <w:tcMar>
              <w:top w:w="21" w:type="dxa"/>
              <w:left w:w="21" w:type="dxa"/>
              <w:bottom w:w="0" w:type="dxa"/>
              <w:right w:w="21" w:type="dxa"/>
            </w:tcMar>
            <w:vAlign w:val="bottom"/>
            <w:hideMark/>
          </w:tcPr>
          <w:p w14:paraId="09E5F30E" w14:textId="77777777" w:rsidR="00C85C51" w:rsidRPr="00F60C85" w:rsidRDefault="00C85C51" w:rsidP="00D00916">
            <w:pPr>
              <w:rPr>
                <w:rFonts w:cstheme="minorHAnsi"/>
                <w:sz w:val="22"/>
                <w:szCs w:val="22"/>
              </w:rPr>
            </w:pPr>
            <w:r w:rsidRPr="00F60C85">
              <w:rPr>
                <w:rFonts w:cstheme="minorHAnsi"/>
                <w:b/>
                <w:sz w:val="22"/>
                <w:szCs w:val="22"/>
              </w:rPr>
              <w:t>Fixed effects:</w:t>
            </w:r>
          </w:p>
        </w:tc>
        <w:tc>
          <w:tcPr>
            <w:tcW w:w="4064" w:type="dxa"/>
            <w:tcBorders>
              <w:top w:val="single" w:sz="8" w:space="0" w:color="FFFFFF"/>
              <w:left w:val="single" w:sz="8" w:space="0" w:color="FFFFFF"/>
              <w:bottom w:val="single" w:sz="8" w:space="0" w:color="FFFFFF"/>
              <w:right w:val="single" w:sz="8" w:space="0" w:color="FFFFFF"/>
            </w:tcBorders>
            <w:shd w:val="clear" w:color="auto" w:fill="000000"/>
            <w:tcMar>
              <w:top w:w="21" w:type="dxa"/>
              <w:left w:w="21" w:type="dxa"/>
              <w:bottom w:w="0" w:type="dxa"/>
              <w:right w:w="21" w:type="dxa"/>
            </w:tcMar>
            <w:vAlign w:val="bottom"/>
            <w:hideMark/>
          </w:tcPr>
          <w:p w14:paraId="55AA0699" w14:textId="77777777" w:rsidR="00C85C51" w:rsidRPr="00F60C85" w:rsidRDefault="00C85C51" w:rsidP="00D00916">
            <w:pPr>
              <w:jc w:val="center"/>
              <w:rPr>
                <w:rFonts w:cstheme="minorHAnsi"/>
                <w:sz w:val="22"/>
                <w:szCs w:val="22"/>
              </w:rPr>
            </w:pPr>
            <w:r w:rsidRPr="00F60C85">
              <w:rPr>
                <w:rFonts w:cstheme="minorHAnsi"/>
                <w:b/>
                <w:sz w:val="22"/>
                <w:szCs w:val="22"/>
              </w:rPr>
              <w:t>OR (95% CI, p)</w:t>
            </w:r>
          </w:p>
        </w:tc>
      </w:tr>
      <w:tr w:rsidR="00C85C51" w:rsidRPr="0062773B" w14:paraId="3D5BAC6D"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0BA9A9DB" w14:textId="77777777" w:rsidR="00C85C51" w:rsidRPr="00F60C85" w:rsidRDefault="00C85C51" w:rsidP="00D00916">
            <w:pPr>
              <w:rPr>
                <w:rFonts w:cstheme="minorHAnsi"/>
                <w:sz w:val="22"/>
                <w:szCs w:val="22"/>
              </w:rPr>
            </w:pPr>
            <w:r w:rsidRPr="00F60C85">
              <w:rPr>
                <w:rFonts w:cstheme="minorHAnsi"/>
                <w:sz w:val="22"/>
                <w:szCs w:val="22"/>
              </w:rPr>
              <w:t xml:space="preserve">CW-D-UVB (kJ/m2) </w:t>
            </w:r>
          </w:p>
        </w:tc>
        <w:tc>
          <w:tcPr>
            <w:tcW w:w="4064"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06E5EA56" w14:textId="77777777" w:rsidR="00C85C51" w:rsidRPr="00F60C85" w:rsidRDefault="00C85C51" w:rsidP="00D00916">
            <w:pPr>
              <w:jc w:val="center"/>
              <w:rPr>
                <w:rFonts w:cstheme="minorHAnsi"/>
                <w:sz w:val="22"/>
                <w:szCs w:val="22"/>
              </w:rPr>
            </w:pPr>
            <w:r w:rsidRPr="00F60C85">
              <w:rPr>
                <w:rFonts w:cstheme="minorHAnsi"/>
                <w:sz w:val="22"/>
                <w:szCs w:val="22"/>
              </w:rPr>
              <w:t>1.20 (0.87 - 1.66, 0.28)</w:t>
            </w:r>
          </w:p>
        </w:tc>
      </w:tr>
      <w:tr w:rsidR="00C85C51" w:rsidRPr="0062773B" w14:paraId="7B555C85"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00F29A82" w14:textId="77777777" w:rsidR="00C85C51" w:rsidRPr="00F60C85" w:rsidRDefault="00C85C51" w:rsidP="00D00916">
            <w:pPr>
              <w:rPr>
                <w:rFonts w:cstheme="minorHAnsi"/>
                <w:sz w:val="22"/>
                <w:szCs w:val="22"/>
              </w:rPr>
            </w:pPr>
            <w:r w:rsidRPr="00F60C85">
              <w:rPr>
                <w:rFonts w:cstheme="minorHAnsi"/>
                <w:sz w:val="22"/>
                <w:szCs w:val="22"/>
              </w:rPr>
              <w:t>Not MPA (Ref: MPA)</w:t>
            </w:r>
          </w:p>
        </w:tc>
        <w:tc>
          <w:tcPr>
            <w:tcW w:w="4064"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761E1696" w14:textId="77777777" w:rsidR="00C85C51" w:rsidRPr="00F60C85" w:rsidRDefault="00C85C51" w:rsidP="00D00916">
            <w:pPr>
              <w:jc w:val="center"/>
              <w:rPr>
                <w:rFonts w:cstheme="minorHAnsi"/>
                <w:sz w:val="22"/>
                <w:szCs w:val="22"/>
              </w:rPr>
            </w:pPr>
            <w:r w:rsidRPr="00F60C85">
              <w:rPr>
                <w:rFonts w:cstheme="minorHAnsi"/>
                <w:sz w:val="22"/>
                <w:szCs w:val="22"/>
              </w:rPr>
              <w:t xml:space="preserve">1.69 (0.95 - 2.98, </w:t>
            </w:r>
            <w:r w:rsidRPr="00F60C85">
              <w:rPr>
                <w:rFonts w:cstheme="minorHAnsi"/>
                <w:b/>
                <w:sz w:val="22"/>
                <w:szCs w:val="22"/>
              </w:rPr>
              <w:t>0.07</w:t>
            </w:r>
            <w:r w:rsidRPr="00F60C85">
              <w:rPr>
                <w:rFonts w:cstheme="minorHAnsi"/>
                <w:sz w:val="22"/>
                <w:szCs w:val="22"/>
              </w:rPr>
              <w:t>)</w:t>
            </w:r>
          </w:p>
        </w:tc>
      </w:tr>
      <w:tr w:rsidR="00C85C51" w:rsidRPr="0062773B" w14:paraId="4468D7C3"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14CB5294" w14:textId="77777777" w:rsidR="00C85C51" w:rsidRPr="00F60C85" w:rsidRDefault="00C85C51" w:rsidP="00D00916">
            <w:pPr>
              <w:rPr>
                <w:rFonts w:cstheme="minorHAnsi"/>
                <w:sz w:val="22"/>
                <w:szCs w:val="22"/>
              </w:rPr>
            </w:pPr>
            <w:r w:rsidRPr="00F60C85">
              <w:rPr>
                <w:rFonts w:cstheme="minorHAnsi"/>
                <w:sz w:val="22"/>
                <w:szCs w:val="22"/>
              </w:rPr>
              <w:t>Age at diagnosis (years)</w:t>
            </w:r>
          </w:p>
        </w:tc>
        <w:tc>
          <w:tcPr>
            <w:tcW w:w="4064"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572BBFC5" w14:textId="77777777" w:rsidR="00C85C51" w:rsidRPr="00F60C85" w:rsidRDefault="00C85C51" w:rsidP="00D00916">
            <w:pPr>
              <w:jc w:val="center"/>
              <w:rPr>
                <w:rFonts w:cstheme="minorHAnsi"/>
                <w:sz w:val="22"/>
                <w:szCs w:val="22"/>
              </w:rPr>
            </w:pPr>
            <w:r w:rsidRPr="00F60C85">
              <w:rPr>
                <w:rFonts w:cstheme="minorHAnsi"/>
                <w:sz w:val="22"/>
                <w:szCs w:val="22"/>
              </w:rPr>
              <w:t xml:space="preserve">0.72 (0.58 - 0.90, </w:t>
            </w:r>
            <w:r w:rsidRPr="00F60C85">
              <w:rPr>
                <w:rFonts w:cstheme="minorHAnsi"/>
                <w:b/>
                <w:sz w:val="22"/>
                <w:szCs w:val="22"/>
              </w:rPr>
              <w:t>0.003</w:t>
            </w:r>
            <w:r w:rsidRPr="00F60C85">
              <w:rPr>
                <w:rFonts w:cstheme="minorHAnsi"/>
                <w:sz w:val="22"/>
                <w:szCs w:val="22"/>
              </w:rPr>
              <w:t>)</w:t>
            </w:r>
          </w:p>
        </w:tc>
      </w:tr>
      <w:tr w:rsidR="00C85C51" w:rsidRPr="0062773B" w14:paraId="4BC7916B"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052A1C99" w14:textId="77777777" w:rsidR="00C85C51" w:rsidRPr="00F60C85" w:rsidRDefault="00C85C51" w:rsidP="00D00916">
            <w:pPr>
              <w:rPr>
                <w:rFonts w:cstheme="minorHAnsi"/>
                <w:sz w:val="22"/>
                <w:szCs w:val="22"/>
              </w:rPr>
            </w:pPr>
            <w:r w:rsidRPr="00F60C85">
              <w:rPr>
                <w:rFonts w:cstheme="minorHAnsi"/>
                <w:sz w:val="22"/>
                <w:szCs w:val="22"/>
              </w:rPr>
              <w:t>Gender (male)</w:t>
            </w:r>
          </w:p>
        </w:tc>
        <w:tc>
          <w:tcPr>
            <w:tcW w:w="4064"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3B97DB5F" w14:textId="77777777" w:rsidR="00C85C51" w:rsidRPr="00F60C85" w:rsidRDefault="00C85C51" w:rsidP="00D00916">
            <w:pPr>
              <w:jc w:val="center"/>
              <w:rPr>
                <w:rFonts w:cstheme="minorHAnsi"/>
                <w:sz w:val="22"/>
                <w:szCs w:val="22"/>
              </w:rPr>
            </w:pPr>
            <w:r w:rsidRPr="00F60C85">
              <w:rPr>
                <w:rFonts w:cstheme="minorHAnsi"/>
                <w:sz w:val="22"/>
                <w:szCs w:val="22"/>
              </w:rPr>
              <w:t>0.89 (0.58 - 1.37, 0.60)</w:t>
            </w:r>
          </w:p>
        </w:tc>
      </w:tr>
      <w:tr w:rsidR="00C85C51" w:rsidRPr="0062773B" w14:paraId="5E24706C"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4222A1C5" w14:textId="77777777" w:rsidR="00C85C51" w:rsidRPr="00F60C85" w:rsidRDefault="00C85C51" w:rsidP="00D00916">
            <w:pPr>
              <w:rPr>
                <w:rFonts w:cstheme="minorHAnsi"/>
                <w:sz w:val="22"/>
                <w:szCs w:val="22"/>
              </w:rPr>
            </w:pPr>
            <w:r w:rsidRPr="00F60C85">
              <w:rPr>
                <w:rFonts w:cstheme="minorHAnsi"/>
                <w:sz w:val="22"/>
                <w:szCs w:val="22"/>
              </w:rPr>
              <w:t>Not MPO-ANCA (Ref: MPO-ANCA)</w:t>
            </w:r>
          </w:p>
        </w:tc>
        <w:tc>
          <w:tcPr>
            <w:tcW w:w="4064"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45A4CB9F" w14:textId="77777777" w:rsidR="00C85C51" w:rsidRPr="00F60C85" w:rsidRDefault="00C85C51" w:rsidP="00D00916">
            <w:pPr>
              <w:jc w:val="center"/>
              <w:rPr>
                <w:rFonts w:cstheme="minorHAnsi"/>
                <w:sz w:val="22"/>
                <w:szCs w:val="22"/>
              </w:rPr>
            </w:pPr>
            <w:r w:rsidRPr="00F60C85">
              <w:rPr>
                <w:rFonts w:cstheme="minorHAnsi"/>
                <w:sz w:val="22"/>
                <w:szCs w:val="22"/>
              </w:rPr>
              <w:t>1.10 (0.63 - 1.92, 0.73)</w:t>
            </w:r>
          </w:p>
        </w:tc>
      </w:tr>
      <w:tr w:rsidR="00C85C51" w:rsidRPr="0062773B" w14:paraId="25889C37" w14:textId="77777777" w:rsidTr="00D00916">
        <w:trPr>
          <w:trHeight w:val="337"/>
          <w:jc w:val="center"/>
        </w:trPr>
        <w:tc>
          <w:tcPr>
            <w:tcW w:w="8961" w:type="dxa"/>
            <w:gridSpan w:val="2"/>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36F9BB06" w14:textId="77777777" w:rsidR="00C85C51" w:rsidRPr="00F60C85" w:rsidRDefault="00C85C51" w:rsidP="00D00916">
            <w:pPr>
              <w:rPr>
                <w:rFonts w:cstheme="minorHAnsi"/>
                <w:i/>
                <w:sz w:val="22"/>
                <w:szCs w:val="22"/>
              </w:rPr>
            </w:pPr>
            <w:r w:rsidRPr="00F60C85">
              <w:rPr>
                <w:rFonts w:cstheme="minorHAnsi"/>
                <w:i/>
                <w:sz w:val="22"/>
                <w:szCs w:val="22"/>
              </w:rPr>
              <w:t>Treatment: (Ref: AZA/MMF/MTX/Other)</w:t>
            </w:r>
          </w:p>
        </w:tc>
      </w:tr>
      <w:tr w:rsidR="00C85C51" w:rsidRPr="0062773B" w14:paraId="1BE0EBCE"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04DDA4F4" w14:textId="77777777" w:rsidR="00C85C51" w:rsidRPr="00F60C85" w:rsidRDefault="00C85C51" w:rsidP="00D00916">
            <w:pPr>
              <w:rPr>
                <w:rFonts w:cstheme="minorHAnsi"/>
                <w:sz w:val="22"/>
                <w:szCs w:val="22"/>
              </w:rPr>
            </w:pPr>
            <w:r w:rsidRPr="00F60C85">
              <w:rPr>
                <w:rFonts w:cstheme="minorHAnsi"/>
                <w:sz w:val="22"/>
                <w:szCs w:val="22"/>
              </w:rPr>
              <w:t xml:space="preserve">   Rituximab </w:t>
            </w:r>
          </w:p>
        </w:tc>
        <w:tc>
          <w:tcPr>
            <w:tcW w:w="4064"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460DD63E" w14:textId="77777777" w:rsidR="00C85C51" w:rsidRPr="00F60C85" w:rsidRDefault="00C85C51" w:rsidP="00D00916">
            <w:pPr>
              <w:jc w:val="center"/>
              <w:rPr>
                <w:rFonts w:cstheme="minorHAnsi"/>
                <w:sz w:val="22"/>
                <w:szCs w:val="22"/>
              </w:rPr>
            </w:pPr>
            <w:r w:rsidRPr="00F60C85">
              <w:rPr>
                <w:rFonts w:cstheme="minorHAnsi"/>
                <w:sz w:val="22"/>
                <w:szCs w:val="22"/>
              </w:rPr>
              <w:t>0.41 (0.16 - 1.03, 0.06)</w:t>
            </w:r>
          </w:p>
        </w:tc>
      </w:tr>
      <w:tr w:rsidR="00C85C51" w:rsidRPr="0062773B" w14:paraId="20A0C8F8"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1EC30B2A" w14:textId="77777777" w:rsidR="00C85C51" w:rsidRPr="00F60C85" w:rsidRDefault="00C85C51" w:rsidP="00D00916">
            <w:pPr>
              <w:rPr>
                <w:rFonts w:cstheme="minorHAnsi"/>
                <w:sz w:val="22"/>
                <w:szCs w:val="22"/>
              </w:rPr>
            </w:pPr>
            <w:r w:rsidRPr="00F60C85">
              <w:rPr>
                <w:rFonts w:cstheme="minorHAnsi"/>
                <w:sz w:val="22"/>
                <w:szCs w:val="22"/>
              </w:rPr>
              <w:t xml:space="preserve">   Cyclophosphamide </w:t>
            </w:r>
          </w:p>
        </w:tc>
        <w:tc>
          <w:tcPr>
            <w:tcW w:w="4064"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3B900F1E" w14:textId="77777777" w:rsidR="00C85C51" w:rsidRPr="00F60C85" w:rsidRDefault="00C85C51" w:rsidP="00D00916">
            <w:pPr>
              <w:jc w:val="center"/>
              <w:rPr>
                <w:rFonts w:cstheme="minorHAnsi"/>
                <w:sz w:val="22"/>
                <w:szCs w:val="22"/>
              </w:rPr>
            </w:pPr>
            <w:r w:rsidRPr="00F60C85">
              <w:rPr>
                <w:rFonts w:cstheme="minorHAnsi"/>
                <w:sz w:val="22"/>
                <w:szCs w:val="22"/>
              </w:rPr>
              <w:t>0.58 (1.25 - 2.66, 0.50)</w:t>
            </w:r>
          </w:p>
        </w:tc>
      </w:tr>
      <w:tr w:rsidR="00C85C51" w:rsidRPr="0062773B" w14:paraId="673C46CA"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534A881E" w14:textId="77777777" w:rsidR="00C85C51" w:rsidRPr="00F60C85" w:rsidRDefault="00C85C51" w:rsidP="00D00916">
            <w:pPr>
              <w:rPr>
                <w:rFonts w:cstheme="minorHAnsi"/>
                <w:sz w:val="22"/>
                <w:szCs w:val="22"/>
              </w:rPr>
            </w:pPr>
            <w:r w:rsidRPr="00F60C85">
              <w:rPr>
                <w:rFonts w:cstheme="minorHAnsi"/>
                <w:sz w:val="22"/>
                <w:szCs w:val="22"/>
              </w:rPr>
              <w:t xml:space="preserve">   Glucocorticoid monotherapy</w:t>
            </w:r>
          </w:p>
        </w:tc>
        <w:tc>
          <w:tcPr>
            <w:tcW w:w="4064" w:type="dxa"/>
            <w:tcBorders>
              <w:top w:val="single" w:sz="8" w:space="0" w:color="FFFFFF"/>
              <w:left w:val="single" w:sz="8" w:space="0" w:color="FFFFFF"/>
              <w:bottom w:val="single" w:sz="8" w:space="0" w:color="FFFFFF"/>
              <w:right w:val="single" w:sz="8" w:space="0" w:color="FFFFFF"/>
            </w:tcBorders>
            <w:shd w:val="clear" w:color="auto" w:fill="auto"/>
            <w:tcMar>
              <w:top w:w="21" w:type="dxa"/>
              <w:left w:w="21" w:type="dxa"/>
              <w:bottom w:w="0" w:type="dxa"/>
              <w:right w:w="21" w:type="dxa"/>
            </w:tcMar>
            <w:vAlign w:val="bottom"/>
            <w:hideMark/>
          </w:tcPr>
          <w:p w14:paraId="6D54BF50" w14:textId="77777777" w:rsidR="00C85C51" w:rsidRPr="00F60C85" w:rsidRDefault="00C85C51" w:rsidP="00D00916">
            <w:pPr>
              <w:jc w:val="center"/>
              <w:rPr>
                <w:rFonts w:cstheme="minorHAnsi"/>
                <w:sz w:val="22"/>
                <w:szCs w:val="22"/>
              </w:rPr>
            </w:pPr>
            <w:r w:rsidRPr="00F60C85">
              <w:rPr>
                <w:rFonts w:cstheme="minorHAnsi"/>
                <w:sz w:val="22"/>
                <w:szCs w:val="22"/>
              </w:rPr>
              <w:t>1.85 (1.02 - 3.35</w:t>
            </w:r>
            <w:r w:rsidRPr="00F60C85">
              <w:rPr>
                <w:rFonts w:cstheme="minorHAnsi"/>
                <w:b/>
                <w:sz w:val="22"/>
                <w:szCs w:val="22"/>
              </w:rPr>
              <w:t>, 0.04</w:t>
            </w:r>
            <w:r w:rsidRPr="00F60C85">
              <w:rPr>
                <w:rFonts w:cstheme="minorHAnsi"/>
                <w:sz w:val="22"/>
                <w:szCs w:val="22"/>
              </w:rPr>
              <w:t>)</w:t>
            </w:r>
          </w:p>
        </w:tc>
      </w:tr>
      <w:tr w:rsidR="00C85C51" w:rsidRPr="0062773B" w14:paraId="1A8821E2" w14:textId="77777777" w:rsidTr="00D00916">
        <w:trPr>
          <w:trHeight w:val="337"/>
          <w:jc w:val="center"/>
        </w:trPr>
        <w:tc>
          <w:tcPr>
            <w:tcW w:w="4897"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0E748E6D" w14:textId="77777777" w:rsidR="00C85C51" w:rsidRPr="00F60C85" w:rsidRDefault="00C85C51" w:rsidP="00D00916">
            <w:pPr>
              <w:rPr>
                <w:rFonts w:cstheme="minorHAnsi"/>
                <w:sz w:val="22"/>
                <w:szCs w:val="22"/>
              </w:rPr>
            </w:pPr>
            <w:r w:rsidRPr="00F60C85">
              <w:rPr>
                <w:rFonts w:cstheme="minorHAnsi"/>
                <w:sz w:val="22"/>
                <w:szCs w:val="22"/>
              </w:rPr>
              <w:t xml:space="preserve">   Off treatment</w:t>
            </w:r>
          </w:p>
        </w:tc>
        <w:tc>
          <w:tcPr>
            <w:tcW w:w="4064" w:type="dxa"/>
            <w:tcBorders>
              <w:top w:val="single" w:sz="8" w:space="0" w:color="FFFFFF"/>
              <w:left w:val="single" w:sz="8" w:space="0" w:color="FFFFFF"/>
              <w:bottom w:val="single" w:sz="8" w:space="0" w:color="FFFFFF"/>
              <w:right w:val="single" w:sz="8" w:space="0" w:color="FFFFFF"/>
            </w:tcBorders>
            <w:shd w:val="clear" w:color="auto" w:fill="D9D9D9"/>
            <w:tcMar>
              <w:top w:w="21" w:type="dxa"/>
              <w:left w:w="21" w:type="dxa"/>
              <w:bottom w:w="0" w:type="dxa"/>
              <w:right w:w="21" w:type="dxa"/>
            </w:tcMar>
            <w:vAlign w:val="bottom"/>
            <w:hideMark/>
          </w:tcPr>
          <w:p w14:paraId="28889350" w14:textId="77777777" w:rsidR="00C85C51" w:rsidRPr="00F60C85" w:rsidRDefault="00C85C51" w:rsidP="00D00916">
            <w:pPr>
              <w:jc w:val="center"/>
              <w:rPr>
                <w:rFonts w:cstheme="minorHAnsi"/>
                <w:sz w:val="22"/>
                <w:szCs w:val="22"/>
              </w:rPr>
            </w:pPr>
            <w:r w:rsidRPr="00F60C85">
              <w:rPr>
                <w:rFonts w:cstheme="minorHAnsi"/>
                <w:sz w:val="22"/>
                <w:szCs w:val="22"/>
              </w:rPr>
              <w:t xml:space="preserve">2.69 (1.65 - 4.40, </w:t>
            </w:r>
            <w:r w:rsidRPr="00F60C85">
              <w:rPr>
                <w:rFonts w:cstheme="minorHAnsi"/>
                <w:b/>
                <w:sz w:val="22"/>
                <w:szCs w:val="22"/>
              </w:rPr>
              <w:t>&lt;0.001</w:t>
            </w:r>
            <w:r w:rsidRPr="00F60C85">
              <w:rPr>
                <w:rFonts w:cstheme="minorHAnsi"/>
                <w:sz w:val="22"/>
                <w:szCs w:val="22"/>
              </w:rPr>
              <w:t>)</w:t>
            </w:r>
          </w:p>
        </w:tc>
      </w:tr>
      <w:tr w:rsidR="00C85C51" w:rsidRPr="0062773B" w14:paraId="531ABD5A" w14:textId="77777777" w:rsidTr="00D00916">
        <w:trPr>
          <w:trHeight w:val="337"/>
          <w:jc w:val="center"/>
        </w:trPr>
        <w:tc>
          <w:tcPr>
            <w:tcW w:w="4897" w:type="dxa"/>
            <w:tcBorders>
              <w:top w:val="single" w:sz="8" w:space="0" w:color="FFFFFF"/>
              <w:left w:val="single" w:sz="8" w:space="0" w:color="FFFFFF"/>
              <w:bottom w:val="single" w:sz="8" w:space="0" w:color="000000" w:themeColor="text1"/>
              <w:right w:val="single" w:sz="8" w:space="0" w:color="FFFFFF"/>
            </w:tcBorders>
            <w:shd w:val="clear" w:color="auto" w:fill="auto"/>
            <w:tcMar>
              <w:top w:w="21" w:type="dxa"/>
              <w:left w:w="21" w:type="dxa"/>
              <w:bottom w:w="0" w:type="dxa"/>
              <w:right w:w="21" w:type="dxa"/>
            </w:tcMar>
            <w:vAlign w:val="bottom"/>
            <w:hideMark/>
          </w:tcPr>
          <w:p w14:paraId="738888F4" w14:textId="77777777" w:rsidR="00C85C51" w:rsidRPr="00F60C85" w:rsidRDefault="00C85C51" w:rsidP="00D00916">
            <w:pPr>
              <w:rPr>
                <w:rFonts w:cstheme="minorHAnsi"/>
                <w:sz w:val="22"/>
                <w:szCs w:val="22"/>
              </w:rPr>
            </w:pPr>
            <w:r w:rsidRPr="00F60C85">
              <w:rPr>
                <w:rFonts w:cstheme="minorHAnsi"/>
                <w:sz w:val="22"/>
                <w:szCs w:val="22"/>
              </w:rPr>
              <w:t>CW-D-UVB: Not MPA (Ref: MPA)</w:t>
            </w:r>
          </w:p>
        </w:tc>
        <w:tc>
          <w:tcPr>
            <w:tcW w:w="4064" w:type="dxa"/>
            <w:tcBorders>
              <w:top w:val="single" w:sz="8" w:space="0" w:color="FFFFFF"/>
              <w:left w:val="single" w:sz="8" w:space="0" w:color="FFFFFF"/>
              <w:bottom w:val="single" w:sz="8" w:space="0" w:color="000000" w:themeColor="text1"/>
              <w:right w:val="single" w:sz="8" w:space="0" w:color="FFFFFF"/>
            </w:tcBorders>
            <w:shd w:val="clear" w:color="auto" w:fill="auto"/>
            <w:tcMar>
              <w:top w:w="21" w:type="dxa"/>
              <w:left w:w="21" w:type="dxa"/>
              <w:bottom w:w="0" w:type="dxa"/>
              <w:right w:w="21" w:type="dxa"/>
            </w:tcMar>
            <w:vAlign w:val="bottom"/>
            <w:hideMark/>
          </w:tcPr>
          <w:p w14:paraId="57FAFF23" w14:textId="77777777" w:rsidR="00C85C51" w:rsidRPr="00F60C85" w:rsidRDefault="00C85C51" w:rsidP="00D00916">
            <w:pPr>
              <w:jc w:val="center"/>
              <w:rPr>
                <w:rFonts w:cstheme="minorHAnsi"/>
                <w:sz w:val="22"/>
                <w:szCs w:val="22"/>
              </w:rPr>
            </w:pPr>
            <w:r w:rsidRPr="00F60C85">
              <w:rPr>
                <w:rFonts w:cstheme="minorHAnsi"/>
                <w:sz w:val="22"/>
                <w:szCs w:val="22"/>
              </w:rPr>
              <w:t>0.83 (0.56 - 1.24, 0.36)</w:t>
            </w:r>
          </w:p>
        </w:tc>
      </w:tr>
    </w:tbl>
    <w:p w14:paraId="29037506" w14:textId="77777777" w:rsidR="00AC3265" w:rsidRDefault="00AC3265" w:rsidP="00AC3265">
      <w:pPr>
        <w:pStyle w:val="Heading2"/>
      </w:pPr>
    </w:p>
    <w:p w14:paraId="2ACCAB8A" w14:textId="77777777" w:rsidR="00693DCE" w:rsidRDefault="00693DCE" w:rsidP="00693DCE">
      <w:pPr>
        <w:jc w:val="both"/>
        <w:rPr>
          <w:rFonts w:cstheme="minorHAnsi"/>
          <w:sz w:val="20"/>
          <w:szCs w:val="20"/>
          <w:shd w:val="clear" w:color="auto" w:fill="FFFFFF"/>
        </w:rPr>
      </w:pPr>
      <w:r w:rsidRPr="0B8DBBA7">
        <w:rPr>
          <w:rFonts w:ascii="Calibri" w:hAnsi="Calibri" w:cs="Calibri"/>
          <w:color w:val="000000" w:themeColor="text1"/>
          <w:sz w:val="20"/>
          <w:szCs w:val="20"/>
        </w:rPr>
        <w:t>N (individuals) = 439, N (observations) = 2080</w:t>
      </w:r>
      <w:r>
        <w:rPr>
          <w:rFonts w:ascii="Calibri" w:hAnsi="Calibri" w:cs="Calibri"/>
          <w:color w:val="000000" w:themeColor="text1"/>
          <w:sz w:val="20"/>
          <w:szCs w:val="20"/>
        </w:rPr>
        <w:t xml:space="preserve"> as multiple observations (remission +/- relapse) per individual were included according to each participant’s disease course. </w:t>
      </w:r>
      <w:r w:rsidRPr="0070219F">
        <w:rPr>
          <w:rFonts w:ascii="Calibri" w:hAnsi="Calibri" w:cs="Calibri"/>
          <w:color w:val="000000"/>
          <w:sz w:val="20"/>
          <w:szCs w:val="20"/>
        </w:rPr>
        <w:t xml:space="preserve">The OR refers to the probability of having </w:t>
      </w:r>
      <w:r>
        <w:rPr>
          <w:rFonts w:ascii="Calibri" w:hAnsi="Calibri" w:cs="Calibri"/>
          <w:color w:val="000000"/>
          <w:sz w:val="20"/>
          <w:szCs w:val="20"/>
        </w:rPr>
        <w:t xml:space="preserve">an AAV relapse (relative to remission). </w:t>
      </w:r>
      <w:r>
        <w:rPr>
          <w:rFonts w:cstheme="minorHAnsi"/>
          <w:sz w:val="20"/>
          <w:szCs w:val="20"/>
          <w:shd w:val="clear" w:color="auto" w:fill="FFFFFF"/>
        </w:rPr>
        <w:t>Cumulative-weighted UVB dose (CW-D-UVB), Standard deviation (SD), Microscopic polyangiitis (MPA), Myeloperoxidase (MPO), Odds ratio (OR), 95% Confidence interval (95% CI), Azathioprine (AZA), Mycophenolate mofetil (MMF), Methotrexate (MTX)</w:t>
      </w:r>
    </w:p>
    <w:p w14:paraId="607C03F3" w14:textId="77777777" w:rsidR="00E77DEE" w:rsidRDefault="00E77DEE" w:rsidP="00AC3265">
      <w:pPr>
        <w:pStyle w:val="Heading2"/>
      </w:pPr>
      <w:r>
        <w:br w:type="page"/>
      </w:r>
    </w:p>
    <w:p w14:paraId="753A978C" w14:textId="3650D819" w:rsidR="00EA011A" w:rsidRDefault="00AC3265" w:rsidP="00EA011A">
      <w:pPr>
        <w:rPr>
          <w:rStyle w:val="Heading2Char"/>
        </w:rPr>
      </w:pPr>
      <w:r w:rsidRPr="00E61BE2">
        <w:rPr>
          <w:rFonts w:ascii="Calibri Light" w:hAnsi="Calibri Light" w:cs="Calibri Light"/>
          <w:color w:val="2F5496"/>
          <w:sz w:val="26"/>
          <w:szCs w:val="26"/>
          <w:shd w:val="clear" w:color="auto" w:fill="FFFFFF"/>
        </w:rPr>
        <w:lastRenderedPageBreak/>
        <w:t xml:space="preserve">Supplementary Table </w:t>
      </w:r>
      <w:r>
        <w:rPr>
          <w:rFonts w:ascii="Calibri Light" w:hAnsi="Calibri Light" w:cs="Calibri Light"/>
          <w:color w:val="2F5496"/>
          <w:sz w:val="26"/>
          <w:szCs w:val="26"/>
          <w:shd w:val="clear" w:color="auto" w:fill="FFFFFF"/>
        </w:rPr>
        <w:t>4</w:t>
      </w:r>
      <w:r w:rsidRPr="00E61BE2">
        <w:rPr>
          <w:rFonts w:ascii="Calibri Light" w:hAnsi="Calibri Light" w:cs="Calibri Light"/>
          <w:color w:val="2F5496"/>
          <w:sz w:val="26"/>
          <w:szCs w:val="26"/>
          <w:shd w:val="clear" w:color="auto" w:fill="FFFFFF"/>
        </w:rPr>
        <w:t>:</w:t>
      </w:r>
      <w:r w:rsidR="00EA011A" w:rsidRPr="00E61BE2">
        <w:rPr>
          <w:rFonts w:ascii="Calibri Light" w:hAnsi="Calibri Light" w:cs="Calibri Light"/>
          <w:i/>
          <w:iCs/>
          <w:color w:val="2F5496"/>
          <w:sz w:val="26"/>
          <w:szCs w:val="26"/>
          <w:shd w:val="clear" w:color="auto" w:fill="FFFFFF"/>
        </w:rPr>
        <w:t>  </w:t>
      </w:r>
      <w:r w:rsidR="00EA011A" w:rsidRPr="00E61BE2">
        <w:rPr>
          <w:rFonts w:ascii="Calibri Light" w:hAnsi="Calibri Light" w:cs="Calibri Light"/>
          <w:color w:val="2F5496"/>
          <w:sz w:val="26"/>
          <w:szCs w:val="26"/>
          <w:shd w:val="clear" w:color="auto" w:fill="FFFFFF"/>
        </w:rPr>
        <w:t xml:space="preserve">Uni- and multivariable logistic regression analysis </w:t>
      </w:r>
      <w:r w:rsidR="00EA011A" w:rsidRPr="00E61BE2">
        <w:rPr>
          <w:rStyle w:val="Heading2Char"/>
        </w:rPr>
        <w:t>of</w:t>
      </w:r>
      <w:r w:rsidR="00EA011A" w:rsidRPr="009C72F1">
        <w:rPr>
          <w:rStyle w:val="Heading2Char"/>
        </w:rPr>
        <w:t> factors associated with AAV serotype</w:t>
      </w:r>
      <w:r w:rsidR="00EA011A">
        <w:rPr>
          <w:rStyle w:val="Heading2Char"/>
        </w:rPr>
        <w:t xml:space="preserve"> at diagnosis,</w:t>
      </w:r>
      <w:r w:rsidR="00EA011A" w:rsidRPr="009C72F1">
        <w:rPr>
          <w:rStyle w:val="Heading2Char"/>
        </w:rPr>
        <w:t xml:space="preserve"> in the combined UKIVAS and RKD cohort </w:t>
      </w:r>
    </w:p>
    <w:p w14:paraId="63D4DF6D" w14:textId="0E543E80" w:rsidR="00EA011A" w:rsidRDefault="00EA011A" w:rsidP="00EA011A"/>
    <w:tbl>
      <w:tblPr>
        <w:tblStyle w:val="ListTable1Light"/>
        <w:tblW w:w="14601" w:type="dxa"/>
        <w:tblInd w:w="-567" w:type="dxa"/>
        <w:tblLayout w:type="fixed"/>
        <w:tblLook w:val="04A0" w:firstRow="1" w:lastRow="0" w:firstColumn="1" w:lastColumn="0" w:noHBand="0" w:noVBand="1"/>
      </w:tblPr>
      <w:tblGrid>
        <w:gridCol w:w="1701"/>
        <w:gridCol w:w="1039"/>
        <w:gridCol w:w="1040"/>
        <w:gridCol w:w="1040"/>
        <w:gridCol w:w="2140"/>
        <w:gridCol w:w="1910"/>
        <w:gridCol w:w="1910"/>
        <w:gridCol w:w="1910"/>
        <w:gridCol w:w="1911"/>
      </w:tblGrid>
      <w:tr w:rsidR="00EA011A" w:rsidRPr="005F5601" w14:paraId="2F16041F" w14:textId="77777777" w:rsidTr="00F60C85">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14:paraId="788C4551" w14:textId="77777777" w:rsidR="00EA011A" w:rsidRPr="005F5601" w:rsidRDefault="00EA011A" w:rsidP="00B04E50">
            <w:pPr>
              <w:rPr>
                <w:rFonts w:cstheme="minorHAnsi"/>
                <w:color w:val="FFFFFF" w:themeColor="background1"/>
                <w:sz w:val="22"/>
                <w:szCs w:val="22"/>
              </w:rPr>
            </w:pPr>
          </w:p>
        </w:tc>
        <w:tc>
          <w:tcPr>
            <w:tcW w:w="1039" w:type="dxa"/>
            <w:shd w:val="clear" w:color="auto" w:fill="000000" w:themeFill="text1"/>
          </w:tcPr>
          <w:p w14:paraId="384C23C5" w14:textId="77777777" w:rsidR="00EA011A" w:rsidRPr="005F5601" w:rsidRDefault="00EA011A" w:rsidP="00B04E50">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p>
        </w:tc>
        <w:tc>
          <w:tcPr>
            <w:tcW w:w="1040" w:type="dxa"/>
            <w:shd w:val="clear" w:color="auto" w:fill="000000" w:themeFill="text1"/>
          </w:tcPr>
          <w:p w14:paraId="49C66AA0" w14:textId="68DE198A"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5F5601">
              <w:rPr>
                <w:rFonts w:cstheme="minorHAnsi"/>
                <w:color w:val="FFFFFF" w:themeColor="background1"/>
                <w:sz w:val="22"/>
                <w:szCs w:val="22"/>
              </w:rPr>
              <w:t>Not MPO</w:t>
            </w:r>
          </w:p>
        </w:tc>
        <w:tc>
          <w:tcPr>
            <w:tcW w:w="1040" w:type="dxa"/>
            <w:shd w:val="clear" w:color="auto" w:fill="000000" w:themeFill="text1"/>
          </w:tcPr>
          <w:p w14:paraId="5BF560E7" w14:textId="77777777"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5F5601">
              <w:rPr>
                <w:rFonts w:cstheme="minorHAnsi"/>
                <w:color w:val="FFFFFF" w:themeColor="background1"/>
                <w:sz w:val="22"/>
                <w:szCs w:val="22"/>
              </w:rPr>
              <w:t>MPO</w:t>
            </w:r>
          </w:p>
        </w:tc>
        <w:tc>
          <w:tcPr>
            <w:tcW w:w="2140" w:type="dxa"/>
            <w:shd w:val="clear" w:color="auto" w:fill="000000" w:themeFill="text1"/>
          </w:tcPr>
          <w:p w14:paraId="6F936385" w14:textId="77777777"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5F5601">
              <w:rPr>
                <w:rFonts w:cstheme="minorHAnsi"/>
                <w:color w:val="FFFFFF" w:themeColor="background1"/>
                <w:sz w:val="22"/>
                <w:szCs w:val="22"/>
              </w:rPr>
              <w:t>Unadjusted</w:t>
            </w:r>
          </w:p>
        </w:tc>
        <w:tc>
          <w:tcPr>
            <w:tcW w:w="1910" w:type="dxa"/>
            <w:shd w:val="clear" w:color="auto" w:fill="000000" w:themeFill="text1"/>
          </w:tcPr>
          <w:p w14:paraId="045DCAD9" w14:textId="77777777"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p>
        </w:tc>
        <w:tc>
          <w:tcPr>
            <w:tcW w:w="1910" w:type="dxa"/>
            <w:shd w:val="clear" w:color="auto" w:fill="000000" w:themeFill="text1"/>
          </w:tcPr>
          <w:p w14:paraId="1D3B9F1B" w14:textId="77777777"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5F5601">
              <w:rPr>
                <w:rFonts w:cstheme="minorHAnsi"/>
                <w:color w:val="FFFFFF" w:themeColor="background1"/>
                <w:sz w:val="22"/>
                <w:szCs w:val="22"/>
              </w:rPr>
              <w:t>Adjusted</w:t>
            </w:r>
          </w:p>
        </w:tc>
        <w:tc>
          <w:tcPr>
            <w:tcW w:w="1910" w:type="dxa"/>
            <w:shd w:val="clear" w:color="auto" w:fill="000000" w:themeFill="text1"/>
          </w:tcPr>
          <w:p w14:paraId="13539219" w14:textId="77777777"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p>
        </w:tc>
        <w:tc>
          <w:tcPr>
            <w:tcW w:w="1911" w:type="dxa"/>
            <w:shd w:val="clear" w:color="auto" w:fill="000000" w:themeFill="text1"/>
          </w:tcPr>
          <w:p w14:paraId="081880E8" w14:textId="77777777" w:rsidR="00EA011A" w:rsidRPr="005F5601" w:rsidRDefault="00EA011A" w:rsidP="00B04E50">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p>
        </w:tc>
      </w:tr>
      <w:tr w:rsidR="00887E46" w:rsidRPr="005F5601" w14:paraId="1946A3CD" w14:textId="77777777" w:rsidTr="00F8053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tcPr>
          <w:p w14:paraId="468B59DD" w14:textId="77777777" w:rsidR="00887E46" w:rsidRPr="005F5601" w:rsidRDefault="00887E46" w:rsidP="00887E46">
            <w:pPr>
              <w:rPr>
                <w:rFonts w:cstheme="minorHAnsi"/>
                <w:color w:val="000000"/>
                <w:sz w:val="22"/>
                <w:szCs w:val="22"/>
              </w:rPr>
            </w:pPr>
          </w:p>
        </w:tc>
        <w:tc>
          <w:tcPr>
            <w:tcW w:w="1039" w:type="dxa"/>
          </w:tcPr>
          <w:p w14:paraId="6B0360E7" w14:textId="77777777" w:rsidR="00887E46" w:rsidRPr="005F5601" w:rsidRDefault="00887E46" w:rsidP="00887E46">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p>
        </w:tc>
        <w:tc>
          <w:tcPr>
            <w:tcW w:w="1040" w:type="dxa"/>
            <w:vAlign w:val="bottom"/>
          </w:tcPr>
          <w:p w14:paraId="7BA97427" w14:textId="77777777" w:rsidR="00887E46" w:rsidRPr="005F5601"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1040" w:type="dxa"/>
            <w:vAlign w:val="bottom"/>
          </w:tcPr>
          <w:p w14:paraId="2ED9EE49" w14:textId="77777777" w:rsidR="00887E46" w:rsidRPr="005F5601"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2140" w:type="dxa"/>
            <w:vAlign w:val="bottom"/>
          </w:tcPr>
          <w:p w14:paraId="79973292" w14:textId="77777777" w:rsidR="00887E46" w:rsidRPr="005F5601"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1910" w:type="dxa"/>
            <w:vAlign w:val="bottom"/>
          </w:tcPr>
          <w:p w14:paraId="387BF2E4" w14:textId="5886CF6E" w:rsidR="00887E46" w:rsidRPr="005F5601"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A16BC">
              <w:rPr>
                <w:rFonts w:cstheme="minorHAnsi"/>
                <w:b/>
                <w:bCs/>
                <w:color w:val="000000"/>
                <w:sz w:val="22"/>
                <w:szCs w:val="22"/>
              </w:rPr>
              <w:t>Latitude</w:t>
            </w:r>
            <w:r w:rsidRPr="009A16BC">
              <w:rPr>
                <w:rFonts w:cstheme="minorHAnsi"/>
                <w:b/>
                <w:bCs/>
                <w:color w:val="000000"/>
                <w:sz w:val="22"/>
                <w:szCs w:val="22"/>
              </w:rPr>
              <w:br/>
            </w:r>
          </w:p>
        </w:tc>
        <w:tc>
          <w:tcPr>
            <w:tcW w:w="1910" w:type="dxa"/>
          </w:tcPr>
          <w:p w14:paraId="0621E561" w14:textId="46D08B0C" w:rsidR="00887E46" w:rsidRPr="005F5601"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A16BC">
              <w:rPr>
                <w:rFonts w:cstheme="minorHAnsi"/>
                <w:b/>
                <w:bCs/>
                <w:color w:val="000000"/>
                <w:sz w:val="22"/>
                <w:szCs w:val="22"/>
              </w:rPr>
              <w:t>Average annual vitD-UVB</w:t>
            </w:r>
          </w:p>
        </w:tc>
        <w:tc>
          <w:tcPr>
            <w:tcW w:w="1910" w:type="dxa"/>
          </w:tcPr>
          <w:p w14:paraId="5D6977D4" w14:textId="49732E44" w:rsidR="00887E46"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A16BC">
              <w:rPr>
                <w:rFonts w:cstheme="minorHAnsi"/>
                <w:b/>
                <w:bCs/>
                <w:color w:val="000000"/>
                <w:sz w:val="22"/>
                <w:szCs w:val="22"/>
              </w:rPr>
              <w:t>Average winter vitD-UVB</w:t>
            </w:r>
          </w:p>
        </w:tc>
        <w:tc>
          <w:tcPr>
            <w:tcW w:w="1911" w:type="dxa"/>
          </w:tcPr>
          <w:p w14:paraId="3226E5B2" w14:textId="62C2B78D" w:rsidR="00887E46" w:rsidRPr="005F5601" w:rsidRDefault="00887E46" w:rsidP="00887E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9A16BC">
              <w:rPr>
                <w:rFonts w:cstheme="minorHAnsi"/>
                <w:b/>
                <w:bCs/>
                <w:color w:val="000000"/>
                <w:sz w:val="22"/>
                <w:szCs w:val="22"/>
              </w:rPr>
              <w:t>CW-D-UVB at symptom onset</w:t>
            </w:r>
          </w:p>
        </w:tc>
      </w:tr>
      <w:tr w:rsidR="006B1373" w:rsidRPr="006B1373" w14:paraId="2A3AC758" w14:textId="77777777" w:rsidTr="006B1373">
        <w:trPr>
          <w:trHeight w:val="190"/>
        </w:trPr>
        <w:tc>
          <w:tcPr>
            <w:cnfStyle w:val="001000000000" w:firstRow="0" w:lastRow="0" w:firstColumn="1" w:lastColumn="0" w:oddVBand="0" w:evenVBand="0" w:oddHBand="0" w:evenHBand="0" w:firstRowFirstColumn="0" w:firstRowLastColumn="0" w:lastRowFirstColumn="0" w:lastRowLastColumn="0"/>
            <w:tcW w:w="1701" w:type="dxa"/>
            <w:shd w:val="clear" w:color="auto" w:fill="000000" w:themeFill="text1"/>
          </w:tcPr>
          <w:p w14:paraId="7AA8E9CE" w14:textId="77777777" w:rsidR="00EA011A" w:rsidRPr="006B1373" w:rsidRDefault="00EA011A" w:rsidP="00B04E50">
            <w:pPr>
              <w:rPr>
                <w:rFonts w:cstheme="minorHAnsi"/>
                <w:color w:val="FFFFFF" w:themeColor="background1"/>
                <w:sz w:val="22"/>
                <w:szCs w:val="22"/>
              </w:rPr>
            </w:pPr>
          </w:p>
        </w:tc>
        <w:tc>
          <w:tcPr>
            <w:tcW w:w="1039" w:type="dxa"/>
            <w:shd w:val="clear" w:color="auto" w:fill="000000" w:themeFill="text1"/>
          </w:tcPr>
          <w:p w14:paraId="3D1E8E27" w14:textId="77777777" w:rsidR="00EA011A" w:rsidRPr="006B1373"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2"/>
                <w:szCs w:val="22"/>
              </w:rPr>
            </w:pPr>
          </w:p>
        </w:tc>
        <w:tc>
          <w:tcPr>
            <w:tcW w:w="1040" w:type="dxa"/>
            <w:shd w:val="clear" w:color="auto" w:fill="000000" w:themeFill="text1"/>
            <w:vAlign w:val="bottom"/>
          </w:tcPr>
          <w:p w14:paraId="584053FF" w14:textId="77777777" w:rsidR="00EA011A" w:rsidRPr="006B1373" w:rsidRDefault="00EA011A" w:rsidP="00F559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p>
        </w:tc>
        <w:tc>
          <w:tcPr>
            <w:tcW w:w="1040" w:type="dxa"/>
            <w:shd w:val="clear" w:color="auto" w:fill="000000" w:themeFill="text1"/>
            <w:vAlign w:val="bottom"/>
          </w:tcPr>
          <w:p w14:paraId="36E331B5" w14:textId="77777777" w:rsidR="00EA011A" w:rsidRPr="006B1373" w:rsidRDefault="00EA011A" w:rsidP="00F559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p>
        </w:tc>
        <w:tc>
          <w:tcPr>
            <w:tcW w:w="2140" w:type="dxa"/>
            <w:shd w:val="clear" w:color="auto" w:fill="000000" w:themeFill="text1"/>
            <w:vAlign w:val="bottom"/>
          </w:tcPr>
          <w:p w14:paraId="44F6BEF3" w14:textId="77777777" w:rsidR="00EA011A" w:rsidRPr="006B1373"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p>
        </w:tc>
        <w:tc>
          <w:tcPr>
            <w:tcW w:w="1910" w:type="dxa"/>
            <w:shd w:val="clear" w:color="auto" w:fill="000000" w:themeFill="text1"/>
          </w:tcPr>
          <w:p w14:paraId="49085415" w14:textId="77777777" w:rsidR="00EA011A" w:rsidRPr="006B1373"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r w:rsidRPr="006B1373">
              <w:rPr>
                <w:rFonts w:ascii="Calibri" w:hAnsi="Calibri" w:cs="Calibri"/>
                <w:b/>
                <w:bCs/>
                <w:color w:val="FFFFFF" w:themeColor="background1"/>
                <w:sz w:val="22"/>
                <w:szCs w:val="22"/>
              </w:rPr>
              <w:t>Model 1</w:t>
            </w:r>
          </w:p>
        </w:tc>
        <w:tc>
          <w:tcPr>
            <w:tcW w:w="1910" w:type="dxa"/>
            <w:shd w:val="clear" w:color="auto" w:fill="000000" w:themeFill="text1"/>
            <w:vAlign w:val="bottom"/>
          </w:tcPr>
          <w:p w14:paraId="5F8E815E" w14:textId="77777777" w:rsidR="00EA011A" w:rsidRPr="006B1373"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r w:rsidRPr="006B1373">
              <w:rPr>
                <w:rFonts w:ascii="Calibri" w:hAnsi="Calibri" w:cs="Calibri"/>
                <w:b/>
                <w:bCs/>
                <w:color w:val="FFFFFF" w:themeColor="background1"/>
                <w:sz w:val="22"/>
                <w:szCs w:val="22"/>
              </w:rPr>
              <w:t>Model 2</w:t>
            </w:r>
          </w:p>
        </w:tc>
        <w:tc>
          <w:tcPr>
            <w:tcW w:w="1910" w:type="dxa"/>
            <w:shd w:val="clear" w:color="auto" w:fill="000000" w:themeFill="text1"/>
          </w:tcPr>
          <w:p w14:paraId="7905E7E2" w14:textId="77777777" w:rsidR="00EA011A" w:rsidRPr="006B1373"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r w:rsidRPr="006B1373">
              <w:rPr>
                <w:rFonts w:ascii="Calibri" w:hAnsi="Calibri" w:cs="Calibri"/>
                <w:b/>
                <w:bCs/>
                <w:color w:val="FFFFFF" w:themeColor="background1"/>
                <w:sz w:val="22"/>
                <w:szCs w:val="22"/>
              </w:rPr>
              <w:t>Model 3</w:t>
            </w:r>
          </w:p>
        </w:tc>
        <w:tc>
          <w:tcPr>
            <w:tcW w:w="1911" w:type="dxa"/>
            <w:shd w:val="clear" w:color="auto" w:fill="000000" w:themeFill="text1"/>
          </w:tcPr>
          <w:p w14:paraId="729DC927" w14:textId="77777777" w:rsidR="00EA011A" w:rsidRPr="006B1373"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sz w:val="22"/>
                <w:szCs w:val="22"/>
              </w:rPr>
            </w:pPr>
            <w:r w:rsidRPr="006B1373">
              <w:rPr>
                <w:rFonts w:ascii="Calibri" w:hAnsi="Calibri" w:cs="Calibri"/>
                <w:b/>
                <w:bCs/>
                <w:color w:val="FFFFFF" w:themeColor="background1"/>
                <w:sz w:val="22"/>
                <w:szCs w:val="22"/>
              </w:rPr>
              <w:t>Model 4</w:t>
            </w:r>
          </w:p>
        </w:tc>
      </w:tr>
      <w:tr w:rsidR="00EA011A" w:rsidRPr="005F5601" w14:paraId="0DD5AFD8" w14:textId="77777777" w:rsidTr="00F60C8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2BFE3D48" w14:textId="77777777" w:rsidR="00EA011A" w:rsidRPr="005F5601" w:rsidRDefault="00EA011A" w:rsidP="00B04E50">
            <w:pPr>
              <w:rPr>
                <w:rFonts w:cstheme="minorHAnsi"/>
                <w:color w:val="000000"/>
                <w:sz w:val="22"/>
                <w:szCs w:val="22"/>
              </w:rPr>
            </w:pPr>
            <w:r w:rsidRPr="005F5601">
              <w:rPr>
                <w:rFonts w:cstheme="minorHAnsi"/>
                <w:color w:val="000000"/>
                <w:sz w:val="22"/>
                <w:szCs w:val="22"/>
              </w:rPr>
              <w:t>Age at diagnosis (</w:t>
            </w:r>
            <w:proofErr w:type="spellStart"/>
            <w:r w:rsidRPr="005F5601">
              <w:rPr>
                <w:rFonts w:cstheme="minorHAnsi"/>
                <w:color w:val="000000"/>
                <w:sz w:val="22"/>
                <w:szCs w:val="22"/>
              </w:rPr>
              <w:t>yrs</w:t>
            </w:r>
            <w:proofErr w:type="spellEnd"/>
            <w:r w:rsidRPr="005F5601">
              <w:rPr>
                <w:rFonts w:cstheme="minorHAnsi"/>
                <w:color w:val="000000"/>
                <w:sz w:val="22"/>
                <w:szCs w:val="22"/>
              </w:rPr>
              <w:t>)</w:t>
            </w:r>
          </w:p>
        </w:tc>
        <w:tc>
          <w:tcPr>
            <w:tcW w:w="1039" w:type="dxa"/>
            <w:hideMark/>
          </w:tcPr>
          <w:p w14:paraId="5381C37A" w14:textId="77777777" w:rsidR="00EA011A" w:rsidRPr="005F5601" w:rsidRDefault="00EA011A" w:rsidP="00B04E50">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Mean (SD)</w:t>
            </w:r>
          </w:p>
        </w:tc>
        <w:tc>
          <w:tcPr>
            <w:tcW w:w="1040" w:type="dxa"/>
            <w:vAlign w:val="bottom"/>
            <w:hideMark/>
          </w:tcPr>
          <w:p w14:paraId="343514BC"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55.6 (15.8)</w:t>
            </w:r>
            <w:r>
              <w:rPr>
                <w:rFonts w:ascii="Calibri" w:hAnsi="Calibri" w:cs="Calibri"/>
                <w:color w:val="000000"/>
                <w:sz w:val="22"/>
                <w:szCs w:val="22"/>
              </w:rPr>
              <w:br/>
            </w:r>
          </w:p>
        </w:tc>
        <w:tc>
          <w:tcPr>
            <w:tcW w:w="1040" w:type="dxa"/>
            <w:vAlign w:val="bottom"/>
            <w:hideMark/>
          </w:tcPr>
          <w:p w14:paraId="73693BF9"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63.4 (12.9)</w:t>
            </w:r>
            <w:r>
              <w:rPr>
                <w:rFonts w:ascii="Calibri" w:hAnsi="Calibri" w:cs="Calibri"/>
                <w:color w:val="000000"/>
                <w:sz w:val="22"/>
                <w:szCs w:val="22"/>
              </w:rPr>
              <w:br/>
            </w:r>
          </w:p>
        </w:tc>
        <w:tc>
          <w:tcPr>
            <w:tcW w:w="2140" w:type="dxa"/>
            <w:vAlign w:val="bottom"/>
            <w:hideMark/>
          </w:tcPr>
          <w:p w14:paraId="272EAAD5"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 xml:space="preserve">1.04 (1.03-1.05, </w:t>
            </w:r>
            <w:r w:rsidRPr="00897712">
              <w:rPr>
                <w:rFonts w:ascii="Calibri" w:hAnsi="Calibri" w:cs="Calibri"/>
                <w:b/>
                <w:bCs/>
                <w:color w:val="000000"/>
                <w:sz w:val="22"/>
                <w:szCs w:val="22"/>
              </w:rPr>
              <w:t>p&lt;0.001</w:t>
            </w:r>
            <w:r w:rsidRPr="005F5601">
              <w:rPr>
                <w:rFonts w:ascii="Calibri" w:hAnsi="Calibri" w:cs="Calibri"/>
                <w:color w:val="000000"/>
                <w:sz w:val="22"/>
                <w:szCs w:val="22"/>
              </w:rPr>
              <w:t>)</w:t>
            </w:r>
            <w:r>
              <w:rPr>
                <w:rFonts w:ascii="Calibri" w:hAnsi="Calibri" w:cs="Calibri"/>
                <w:color w:val="000000"/>
                <w:sz w:val="22"/>
                <w:szCs w:val="22"/>
              </w:rPr>
              <w:br/>
            </w:r>
          </w:p>
        </w:tc>
        <w:tc>
          <w:tcPr>
            <w:tcW w:w="1910" w:type="dxa"/>
          </w:tcPr>
          <w:p w14:paraId="445C6C18" w14:textId="2BCBDAEE"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 xml:space="preserve">1.04 (1.03-1.05, </w:t>
            </w:r>
            <w:r w:rsidRPr="00897712">
              <w:rPr>
                <w:rFonts w:ascii="Calibri" w:hAnsi="Calibri" w:cs="Calibri"/>
                <w:b/>
                <w:bCs/>
                <w:color w:val="000000"/>
                <w:sz w:val="22"/>
                <w:szCs w:val="22"/>
              </w:rPr>
              <w:t>p&lt;0.001</w:t>
            </w:r>
            <w:r w:rsidRPr="005F5601">
              <w:rPr>
                <w:rFonts w:ascii="Calibri" w:hAnsi="Calibri" w:cs="Calibri"/>
                <w:color w:val="000000"/>
                <w:sz w:val="22"/>
                <w:szCs w:val="22"/>
              </w:rPr>
              <w:t>)</w:t>
            </w:r>
          </w:p>
        </w:tc>
        <w:tc>
          <w:tcPr>
            <w:tcW w:w="1910" w:type="dxa"/>
            <w:vAlign w:val="bottom"/>
          </w:tcPr>
          <w:p w14:paraId="28ABAFD5"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Pr>
                <w:rFonts w:cstheme="minorHAnsi"/>
                <w:color w:val="000000"/>
                <w:sz w:val="22"/>
                <w:szCs w:val="22"/>
              </w:rPr>
              <w:t xml:space="preserve">1.04 (1.03-1.05, </w:t>
            </w:r>
            <w:r w:rsidRPr="00897712">
              <w:rPr>
                <w:rFonts w:cstheme="minorHAnsi"/>
                <w:b/>
                <w:bCs/>
                <w:color w:val="000000"/>
                <w:sz w:val="22"/>
                <w:szCs w:val="22"/>
              </w:rPr>
              <w:t>p&lt;0.001</w:t>
            </w:r>
            <w:r>
              <w:rPr>
                <w:rFonts w:cstheme="minorHAnsi"/>
                <w:color w:val="000000"/>
                <w:sz w:val="22"/>
                <w:szCs w:val="22"/>
              </w:rPr>
              <w:t>)</w:t>
            </w:r>
            <w:r>
              <w:rPr>
                <w:rFonts w:cstheme="minorHAnsi"/>
                <w:color w:val="000000"/>
                <w:sz w:val="22"/>
                <w:szCs w:val="22"/>
              </w:rPr>
              <w:br/>
            </w:r>
          </w:p>
        </w:tc>
        <w:tc>
          <w:tcPr>
            <w:tcW w:w="1910" w:type="dxa"/>
            <w:vAlign w:val="bottom"/>
          </w:tcPr>
          <w:p w14:paraId="5D85536C"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 xml:space="preserve">1.04 (1.03-1.05, </w:t>
            </w:r>
            <w:r w:rsidRPr="00897712">
              <w:rPr>
                <w:rFonts w:ascii="Calibri" w:hAnsi="Calibri" w:cs="Calibri"/>
                <w:b/>
                <w:bCs/>
                <w:color w:val="000000"/>
                <w:sz w:val="22"/>
                <w:szCs w:val="22"/>
              </w:rPr>
              <w:t>p&lt;0.001</w:t>
            </w:r>
            <w:r w:rsidRPr="005F5601">
              <w:rPr>
                <w:rFonts w:ascii="Calibri" w:hAnsi="Calibri" w:cs="Calibri"/>
                <w:color w:val="000000"/>
                <w:sz w:val="22"/>
                <w:szCs w:val="22"/>
              </w:rPr>
              <w:t>)</w:t>
            </w:r>
            <w:r>
              <w:rPr>
                <w:rFonts w:ascii="Calibri" w:hAnsi="Calibri" w:cs="Calibri"/>
                <w:color w:val="000000"/>
                <w:sz w:val="22"/>
                <w:szCs w:val="22"/>
              </w:rPr>
              <w:br/>
            </w:r>
          </w:p>
        </w:tc>
        <w:tc>
          <w:tcPr>
            <w:tcW w:w="1911" w:type="dxa"/>
            <w:vAlign w:val="bottom"/>
          </w:tcPr>
          <w:p w14:paraId="5EDE364A"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 xml:space="preserve">1.04 (1.03-1.05, </w:t>
            </w:r>
            <w:r w:rsidRPr="00897712">
              <w:rPr>
                <w:rFonts w:ascii="Calibri" w:hAnsi="Calibri" w:cs="Calibri"/>
                <w:b/>
                <w:bCs/>
                <w:color w:val="000000"/>
                <w:sz w:val="22"/>
                <w:szCs w:val="22"/>
              </w:rPr>
              <w:t>p&lt;0.001</w:t>
            </w:r>
            <w:r w:rsidRPr="005F5601">
              <w:rPr>
                <w:rFonts w:ascii="Calibri" w:hAnsi="Calibri" w:cs="Calibri"/>
                <w:color w:val="000000"/>
                <w:sz w:val="22"/>
                <w:szCs w:val="22"/>
              </w:rPr>
              <w:t>)</w:t>
            </w:r>
            <w:r>
              <w:rPr>
                <w:rFonts w:ascii="Calibri" w:hAnsi="Calibri" w:cs="Calibri"/>
                <w:color w:val="000000"/>
                <w:sz w:val="22"/>
                <w:szCs w:val="22"/>
              </w:rPr>
              <w:br/>
            </w:r>
          </w:p>
        </w:tc>
      </w:tr>
      <w:tr w:rsidR="00EA011A" w:rsidRPr="005F5601" w14:paraId="339A5F6A" w14:textId="77777777" w:rsidTr="00F60C85">
        <w:trPr>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59C7A7B7" w14:textId="473B52CA" w:rsidR="00EA011A" w:rsidRPr="005F5601" w:rsidRDefault="00EA011A" w:rsidP="00B04E50">
            <w:pPr>
              <w:rPr>
                <w:rFonts w:cstheme="minorHAnsi"/>
                <w:color w:val="000000"/>
                <w:sz w:val="22"/>
                <w:szCs w:val="22"/>
              </w:rPr>
            </w:pPr>
            <w:r w:rsidRPr="005F5601">
              <w:rPr>
                <w:rFonts w:cstheme="minorHAnsi"/>
                <w:color w:val="000000"/>
                <w:sz w:val="22"/>
                <w:szCs w:val="22"/>
              </w:rPr>
              <w:t>Gender</w:t>
            </w:r>
          </w:p>
        </w:tc>
        <w:tc>
          <w:tcPr>
            <w:tcW w:w="1039" w:type="dxa"/>
            <w:hideMark/>
          </w:tcPr>
          <w:p w14:paraId="5B7A04CD" w14:textId="77777777" w:rsidR="00EA011A" w:rsidRPr="005F5601"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Female</w:t>
            </w:r>
          </w:p>
        </w:tc>
        <w:tc>
          <w:tcPr>
            <w:tcW w:w="1040" w:type="dxa"/>
            <w:vAlign w:val="bottom"/>
            <w:hideMark/>
          </w:tcPr>
          <w:p w14:paraId="731706D5"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329 (56.9)</w:t>
            </w:r>
          </w:p>
        </w:tc>
        <w:tc>
          <w:tcPr>
            <w:tcW w:w="1040" w:type="dxa"/>
            <w:vAlign w:val="bottom"/>
            <w:hideMark/>
          </w:tcPr>
          <w:p w14:paraId="556E1BD4"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249 (43.1)</w:t>
            </w:r>
          </w:p>
        </w:tc>
        <w:tc>
          <w:tcPr>
            <w:tcW w:w="2140" w:type="dxa"/>
            <w:vAlign w:val="bottom"/>
            <w:hideMark/>
          </w:tcPr>
          <w:p w14:paraId="7C2E76FE"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c>
          <w:tcPr>
            <w:tcW w:w="1910" w:type="dxa"/>
          </w:tcPr>
          <w:p w14:paraId="1D97EC75"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p>
        </w:tc>
        <w:tc>
          <w:tcPr>
            <w:tcW w:w="1910" w:type="dxa"/>
            <w:vAlign w:val="bottom"/>
          </w:tcPr>
          <w:p w14:paraId="6856F37B"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w:t>
            </w:r>
            <w:r>
              <w:rPr>
                <w:rFonts w:cstheme="minorHAnsi"/>
                <w:color w:val="000000"/>
                <w:sz w:val="22"/>
                <w:szCs w:val="22"/>
              </w:rPr>
              <w:br/>
            </w:r>
          </w:p>
        </w:tc>
        <w:tc>
          <w:tcPr>
            <w:tcW w:w="1910" w:type="dxa"/>
            <w:vAlign w:val="bottom"/>
          </w:tcPr>
          <w:p w14:paraId="6AC7B19D"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c>
          <w:tcPr>
            <w:tcW w:w="1911" w:type="dxa"/>
            <w:vAlign w:val="bottom"/>
          </w:tcPr>
          <w:p w14:paraId="09F5BE83"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r>
      <w:tr w:rsidR="00EA011A" w:rsidRPr="005F5601" w14:paraId="2620D20A" w14:textId="77777777" w:rsidTr="00F60C8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444B2559" w14:textId="77777777" w:rsidR="00EA011A" w:rsidRPr="005F5601" w:rsidRDefault="00EA011A" w:rsidP="00B04E50">
            <w:pPr>
              <w:jc w:val="center"/>
              <w:rPr>
                <w:rFonts w:cstheme="minorHAnsi"/>
                <w:color w:val="000000"/>
                <w:sz w:val="22"/>
                <w:szCs w:val="22"/>
              </w:rPr>
            </w:pPr>
          </w:p>
        </w:tc>
        <w:tc>
          <w:tcPr>
            <w:tcW w:w="1039" w:type="dxa"/>
            <w:hideMark/>
          </w:tcPr>
          <w:p w14:paraId="11E497E2" w14:textId="77777777" w:rsidR="00EA011A" w:rsidRPr="005F5601" w:rsidRDefault="00EA011A" w:rsidP="00B04E50">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Male</w:t>
            </w:r>
          </w:p>
        </w:tc>
        <w:tc>
          <w:tcPr>
            <w:tcW w:w="1040" w:type="dxa"/>
            <w:vAlign w:val="bottom"/>
            <w:hideMark/>
          </w:tcPr>
          <w:p w14:paraId="09A376B2"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417 (61.1)</w:t>
            </w:r>
          </w:p>
        </w:tc>
        <w:tc>
          <w:tcPr>
            <w:tcW w:w="1040" w:type="dxa"/>
            <w:vAlign w:val="bottom"/>
            <w:hideMark/>
          </w:tcPr>
          <w:p w14:paraId="5F0D49FA"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265 (38.9)</w:t>
            </w:r>
          </w:p>
        </w:tc>
        <w:tc>
          <w:tcPr>
            <w:tcW w:w="2140" w:type="dxa"/>
            <w:vAlign w:val="bottom"/>
            <w:hideMark/>
          </w:tcPr>
          <w:p w14:paraId="1BDBE852"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0.84 (0.67-1.05, p=0.129)</w:t>
            </w:r>
            <w:r>
              <w:rPr>
                <w:rFonts w:ascii="Calibri" w:hAnsi="Calibri" w:cs="Calibri"/>
                <w:color w:val="000000"/>
                <w:sz w:val="22"/>
                <w:szCs w:val="22"/>
              </w:rPr>
              <w:br/>
            </w:r>
          </w:p>
        </w:tc>
        <w:tc>
          <w:tcPr>
            <w:tcW w:w="1910" w:type="dxa"/>
          </w:tcPr>
          <w:p w14:paraId="5E6C45DD"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0.84 (0.67-1.06, p=0.149)</w:t>
            </w:r>
          </w:p>
        </w:tc>
        <w:tc>
          <w:tcPr>
            <w:tcW w:w="1910" w:type="dxa"/>
            <w:vAlign w:val="bottom"/>
          </w:tcPr>
          <w:p w14:paraId="7AC11256"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Pr>
                <w:rFonts w:cstheme="minorHAnsi"/>
                <w:color w:val="000000"/>
                <w:sz w:val="22"/>
                <w:szCs w:val="22"/>
              </w:rPr>
              <w:t>0.84 (0.67-1.06, p=0.150)</w:t>
            </w:r>
            <w:r>
              <w:rPr>
                <w:rFonts w:cstheme="minorHAnsi"/>
                <w:color w:val="000000"/>
                <w:sz w:val="22"/>
                <w:szCs w:val="22"/>
              </w:rPr>
              <w:br/>
            </w:r>
          </w:p>
        </w:tc>
        <w:tc>
          <w:tcPr>
            <w:tcW w:w="1910" w:type="dxa"/>
            <w:vAlign w:val="bottom"/>
          </w:tcPr>
          <w:p w14:paraId="5BE97263"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0.84 (0.6</w:t>
            </w:r>
            <w:r>
              <w:rPr>
                <w:rFonts w:ascii="Calibri" w:hAnsi="Calibri" w:cs="Calibri"/>
                <w:color w:val="000000"/>
                <w:sz w:val="22"/>
                <w:szCs w:val="22"/>
              </w:rPr>
              <w:t>7</w:t>
            </w:r>
            <w:r w:rsidRPr="005F5601">
              <w:rPr>
                <w:rFonts w:ascii="Calibri" w:hAnsi="Calibri" w:cs="Calibri"/>
                <w:color w:val="000000"/>
                <w:sz w:val="22"/>
                <w:szCs w:val="22"/>
              </w:rPr>
              <w:t>-1.0</w:t>
            </w:r>
            <w:r>
              <w:rPr>
                <w:rFonts w:ascii="Calibri" w:hAnsi="Calibri" w:cs="Calibri"/>
                <w:color w:val="000000"/>
                <w:sz w:val="22"/>
                <w:szCs w:val="22"/>
              </w:rPr>
              <w:t>6</w:t>
            </w:r>
            <w:r w:rsidRPr="005F5601">
              <w:rPr>
                <w:rFonts w:ascii="Calibri" w:hAnsi="Calibri" w:cs="Calibri"/>
                <w:color w:val="000000"/>
                <w:sz w:val="22"/>
                <w:szCs w:val="22"/>
              </w:rPr>
              <w:t>, p=0.1</w:t>
            </w:r>
            <w:r>
              <w:rPr>
                <w:rFonts w:ascii="Calibri" w:hAnsi="Calibri" w:cs="Calibri"/>
                <w:color w:val="000000"/>
                <w:sz w:val="22"/>
                <w:szCs w:val="22"/>
              </w:rPr>
              <w:t>50</w:t>
            </w:r>
            <w:r w:rsidRPr="005F5601">
              <w:rPr>
                <w:rFonts w:ascii="Calibri" w:hAnsi="Calibri" w:cs="Calibri"/>
                <w:color w:val="000000"/>
                <w:sz w:val="22"/>
                <w:szCs w:val="22"/>
              </w:rPr>
              <w:t>)</w:t>
            </w:r>
            <w:r>
              <w:rPr>
                <w:rFonts w:ascii="Calibri" w:hAnsi="Calibri" w:cs="Calibri"/>
                <w:color w:val="000000"/>
                <w:sz w:val="22"/>
                <w:szCs w:val="22"/>
              </w:rPr>
              <w:br/>
            </w:r>
          </w:p>
        </w:tc>
        <w:tc>
          <w:tcPr>
            <w:tcW w:w="1911" w:type="dxa"/>
            <w:vAlign w:val="bottom"/>
          </w:tcPr>
          <w:p w14:paraId="25D637A1"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0.84 (0.6</w:t>
            </w:r>
            <w:r>
              <w:rPr>
                <w:rFonts w:ascii="Calibri" w:hAnsi="Calibri" w:cs="Calibri"/>
                <w:color w:val="000000"/>
                <w:sz w:val="22"/>
                <w:szCs w:val="22"/>
              </w:rPr>
              <w:t>6</w:t>
            </w:r>
            <w:r w:rsidRPr="005F5601">
              <w:rPr>
                <w:rFonts w:ascii="Calibri" w:hAnsi="Calibri" w:cs="Calibri"/>
                <w:color w:val="000000"/>
                <w:sz w:val="22"/>
                <w:szCs w:val="22"/>
              </w:rPr>
              <w:t>-1.0</w:t>
            </w:r>
            <w:r>
              <w:rPr>
                <w:rFonts w:ascii="Calibri" w:hAnsi="Calibri" w:cs="Calibri"/>
                <w:color w:val="000000"/>
                <w:sz w:val="22"/>
                <w:szCs w:val="22"/>
              </w:rPr>
              <w:t>6</w:t>
            </w:r>
            <w:r w:rsidRPr="005F5601">
              <w:rPr>
                <w:rFonts w:ascii="Calibri" w:hAnsi="Calibri" w:cs="Calibri"/>
                <w:color w:val="000000"/>
                <w:sz w:val="22"/>
                <w:szCs w:val="22"/>
              </w:rPr>
              <w:t>, p=0.1</w:t>
            </w:r>
            <w:r>
              <w:rPr>
                <w:rFonts w:ascii="Calibri" w:hAnsi="Calibri" w:cs="Calibri"/>
                <w:color w:val="000000"/>
                <w:sz w:val="22"/>
                <w:szCs w:val="22"/>
              </w:rPr>
              <w:t>41</w:t>
            </w:r>
            <w:r w:rsidRPr="005F5601">
              <w:rPr>
                <w:rFonts w:ascii="Calibri" w:hAnsi="Calibri" w:cs="Calibri"/>
                <w:color w:val="000000"/>
                <w:sz w:val="22"/>
                <w:szCs w:val="22"/>
              </w:rPr>
              <w:t>)</w:t>
            </w:r>
            <w:r>
              <w:rPr>
                <w:rFonts w:ascii="Calibri" w:hAnsi="Calibri" w:cs="Calibri"/>
                <w:color w:val="000000"/>
                <w:sz w:val="22"/>
                <w:szCs w:val="22"/>
              </w:rPr>
              <w:br/>
            </w:r>
          </w:p>
        </w:tc>
      </w:tr>
      <w:tr w:rsidR="00EA011A" w:rsidRPr="005F5601" w14:paraId="5F6DE465" w14:textId="77777777" w:rsidTr="00F60C85">
        <w:trPr>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54268619" w14:textId="77777777" w:rsidR="00EA011A" w:rsidRPr="005F5601" w:rsidRDefault="00EA011A" w:rsidP="00B04E50">
            <w:pPr>
              <w:rPr>
                <w:rFonts w:cstheme="minorHAnsi"/>
                <w:color w:val="000000"/>
                <w:sz w:val="22"/>
                <w:szCs w:val="22"/>
              </w:rPr>
            </w:pPr>
            <w:r w:rsidRPr="005F5601">
              <w:rPr>
                <w:rFonts w:cstheme="minorHAnsi"/>
                <w:color w:val="000000"/>
                <w:sz w:val="22"/>
                <w:szCs w:val="22"/>
              </w:rPr>
              <w:t>Ethnicity</w:t>
            </w:r>
          </w:p>
        </w:tc>
        <w:tc>
          <w:tcPr>
            <w:tcW w:w="1039" w:type="dxa"/>
            <w:hideMark/>
          </w:tcPr>
          <w:p w14:paraId="64F35D53" w14:textId="77777777" w:rsidR="00EA011A" w:rsidRPr="005F5601"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White</w:t>
            </w:r>
          </w:p>
        </w:tc>
        <w:tc>
          <w:tcPr>
            <w:tcW w:w="1040" w:type="dxa"/>
            <w:vAlign w:val="bottom"/>
            <w:hideMark/>
          </w:tcPr>
          <w:p w14:paraId="675016BC"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690 (59.4)</w:t>
            </w:r>
          </w:p>
        </w:tc>
        <w:tc>
          <w:tcPr>
            <w:tcW w:w="1040" w:type="dxa"/>
            <w:vAlign w:val="bottom"/>
            <w:hideMark/>
          </w:tcPr>
          <w:p w14:paraId="0685257C"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472 (40.6)</w:t>
            </w:r>
          </w:p>
        </w:tc>
        <w:tc>
          <w:tcPr>
            <w:tcW w:w="2140" w:type="dxa"/>
            <w:vAlign w:val="bottom"/>
            <w:hideMark/>
          </w:tcPr>
          <w:p w14:paraId="3CFBAAD6"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c>
          <w:tcPr>
            <w:tcW w:w="1910" w:type="dxa"/>
          </w:tcPr>
          <w:p w14:paraId="1DD5B4B4"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p>
        </w:tc>
        <w:tc>
          <w:tcPr>
            <w:tcW w:w="1910" w:type="dxa"/>
            <w:vAlign w:val="bottom"/>
          </w:tcPr>
          <w:p w14:paraId="2A821284"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w:t>
            </w:r>
            <w:r>
              <w:rPr>
                <w:rFonts w:cstheme="minorHAnsi"/>
                <w:color w:val="000000"/>
                <w:sz w:val="22"/>
                <w:szCs w:val="22"/>
              </w:rPr>
              <w:br/>
            </w:r>
          </w:p>
        </w:tc>
        <w:tc>
          <w:tcPr>
            <w:tcW w:w="1910" w:type="dxa"/>
            <w:vAlign w:val="bottom"/>
          </w:tcPr>
          <w:p w14:paraId="5B0D2379"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c>
          <w:tcPr>
            <w:tcW w:w="1911" w:type="dxa"/>
            <w:vAlign w:val="bottom"/>
          </w:tcPr>
          <w:p w14:paraId="2216CAC6"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r>
      <w:tr w:rsidR="00EA011A" w:rsidRPr="005F5601" w14:paraId="5FA8B45C" w14:textId="77777777" w:rsidTr="00F60C8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15DFE810" w14:textId="77777777" w:rsidR="00EA011A" w:rsidRPr="005F5601" w:rsidRDefault="00EA011A" w:rsidP="00B04E50">
            <w:pPr>
              <w:jc w:val="center"/>
              <w:rPr>
                <w:rFonts w:cstheme="minorHAnsi"/>
                <w:color w:val="000000"/>
                <w:sz w:val="22"/>
                <w:szCs w:val="22"/>
              </w:rPr>
            </w:pPr>
          </w:p>
        </w:tc>
        <w:tc>
          <w:tcPr>
            <w:tcW w:w="1039" w:type="dxa"/>
            <w:hideMark/>
          </w:tcPr>
          <w:p w14:paraId="49D65A78" w14:textId="77777777" w:rsidR="00EA011A" w:rsidRPr="005F5601" w:rsidRDefault="00EA011A" w:rsidP="00B04E50">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Asian</w:t>
            </w:r>
          </w:p>
        </w:tc>
        <w:tc>
          <w:tcPr>
            <w:tcW w:w="1040" w:type="dxa"/>
            <w:vAlign w:val="bottom"/>
            <w:hideMark/>
          </w:tcPr>
          <w:p w14:paraId="3F599153"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30 (60.0)</w:t>
            </w:r>
          </w:p>
        </w:tc>
        <w:tc>
          <w:tcPr>
            <w:tcW w:w="1040" w:type="dxa"/>
            <w:vAlign w:val="bottom"/>
            <w:hideMark/>
          </w:tcPr>
          <w:p w14:paraId="6A28EDEC"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20 (40.0)</w:t>
            </w:r>
          </w:p>
        </w:tc>
        <w:tc>
          <w:tcPr>
            <w:tcW w:w="2140" w:type="dxa"/>
            <w:vAlign w:val="bottom"/>
            <w:hideMark/>
          </w:tcPr>
          <w:p w14:paraId="3F3C6F98"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0.97 (0.54-1.73, p=0.930)</w:t>
            </w:r>
          </w:p>
        </w:tc>
        <w:tc>
          <w:tcPr>
            <w:tcW w:w="1910" w:type="dxa"/>
          </w:tcPr>
          <w:p w14:paraId="0C91F389"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1.41 (0.75-2.59, p=0.278)</w:t>
            </w:r>
          </w:p>
        </w:tc>
        <w:tc>
          <w:tcPr>
            <w:tcW w:w="1910" w:type="dxa"/>
            <w:vAlign w:val="bottom"/>
          </w:tcPr>
          <w:p w14:paraId="56389606"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Pr>
                <w:rFonts w:cstheme="minorHAnsi"/>
                <w:color w:val="000000"/>
                <w:sz w:val="22"/>
                <w:szCs w:val="22"/>
              </w:rPr>
              <w:t>1.41 (0.76-2.60, p=0.271)</w:t>
            </w:r>
          </w:p>
        </w:tc>
        <w:tc>
          <w:tcPr>
            <w:tcW w:w="1910" w:type="dxa"/>
            <w:vAlign w:val="bottom"/>
          </w:tcPr>
          <w:p w14:paraId="53E05A6A"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1.4</w:t>
            </w:r>
            <w:r>
              <w:rPr>
                <w:rFonts w:ascii="Calibri" w:hAnsi="Calibri" w:cs="Calibri"/>
                <w:color w:val="000000"/>
                <w:sz w:val="22"/>
                <w:szCs w:val="22"/>
              </w:rPr>
              <w:t>4</w:t>
            </w:r>
            <w:r w:rsidRPr="005F5601">
              <w:rPr>
                <w:rFonts w:ascii="Calibri" w:hAnsi="Calibri" w:cs="Calibri"/>
                <w:color w:val="000000"/>
                <w:sz w:val="22"/>
                <w:szCs w:val="22"/>
              </w:rPr>
              <w:t xml:space="preserve"> (0.7</w:t>
            </w:r>
            <w:r>
              <w:rPr>
                <w:rFonts w:ascii="Calibri" w:hAnsi="Calibri" w:cs="Calibri"/>
                <w:color w:val="000000"/>
                <w:sz w:val="22"/>
                <w:szCs w:val="22"/>
              </w:rPr>
              <w:t>5</w:t>
            </w:r>
            <w:r w:rsidRPr="005F5601">
              <w:rPr>
                <w:rFonts w:ascii="Calibri" w:hAnsi="Calibri" w:cs="Calibri"/>
                <w:color w:val="000000"/>
                <w:sz w:val="22"/>
                <w:szCs w:val="22"/>
              </w:rPr>
              <w:t>-2.</w:t>
            </w:r>
            <w:r>
              <w:rPr>
                <w:rFonts w:ascii="Calibri" w:hAnsi="Calibri" w:cs="Calibri"/>
                <w:color w:val="000000"/>
                <w:sz w:val="22"/>
                <w:szCs w:val="22"/>
              </w:rPr>
              <w:t>58</w:t>
            </w:r>
            <w:r w:rsidRPr="005F5601">
              <w:rPr>
                <w:rFonts w:ascii="Calibri" w:hAnsi="Calibri" w:cs="Calibri"/>
                <w:color w:val="000000"/>
                <w:sz w:val="22"/>
                <w:szCs w:val="22"/>
              </w:rPr>
              <w:t>, p=0.2</w:t>
            </w:r>
            <w:r>
              <w:rPr>
                <w:rFonts w:ascii="Calibri" w:hAnsi="Calibri" w:cs="Calibri"/>
                <w:color w:val="000000"/>
                <w:sz w:val="22"/>
                <w:szCs w:val="22"/>
              </w:rPr>
              <w:t>79</w:t>
            </w:r>
            <w:r w:rsidRPr="005F5601">
              <w:rPr>
                <w:rFonts w:ascii="Calibri" w:hAnsi="Calibri" w:cs="Calibri"/>
                <w:color w:val="000000"/>
                <w:sz w:val="22"/>
                <w:szCs w:val="22"/>
              </w:rPr>
              <w:t>)</w:t>
            </w:r>
          </w:p>
        </w:tc>
        <w:tc>
          <w:tcPr>
            <w:tcW w:w="1911" w:type="dxa"/>
            <w:vAlign w:val="bottom"/>
          </w:tcPr>
          <w:p w14:paraId="60F98679"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1.4</w:t>
            </w:r>
            <w:r>
              <w:rPr>
                <w:rFonts w:ascii="Calibri" w:hAnsi="Calibri" w:cs="Calibri"/>
                <w:color w:val="000000"/>
                <w:sz w:val="22"/>
                <w:szCs w:val="22"/>
              </w:rPr>
              <w:t>4</w:t>
            </w:r>
            <w:r w:rsidRPr="005F5601">
              <w:rPr>
                <w:rFonts w:ascii="Calibri" w:hAnsi="Calibri" w:cs="Calibri"/>
                <w:color w:val="000000"/>
                <w:sz w:val="22"/>
                <w:szCs w:val="22"/>
              </w:rPr>
              <w:t xml:space="preserve"> (0.7</w:t>
            </w:r>
            <w:r>
              <w:rPr>
                <w:rFonts w:ascii="Calibri" w:hAnsi="Calibri" w:cs="Calibri"/>
                <w:color w:val="000000"/>
                <w:sz w:val="22"/>
                <w:szCs w:val="22"/>
              </w:rPr>
              <w:t>7</w:t>
            </w:r>
            <w:r w:rsidRPr="005F5601">
              <w:rPr>
                <w:rFonts w:ascii="Calibri" w:hAnsi="Calibri" w:cs="Calibri"/>
                <w:color w:val="000000"/>
                <w:sz w:val="22"/>
                <w:szCs w:val="22"/>
              </w:rPr>
              <w:t>-2.6</w:t>
            </w:r>
            <w:r>
              <w:rPr>
                <w:rFonts w:ascii="Calibri" w:hAnsi="Calibri" w:cs="Calibri"/>
                <w:color w:val="000000"/>
                <w:sz w:val="22"/>
                <w:szCs w:val="22"/>
              </w:rPr>
              <w:t>4</w:t>
            </w:r>
            <w:r w:rsidRPr="005F5601">
              <w:rPr>
                <w:rFonts w:ascii="Calibri" w:hAnsi="Calibri" w:cs="Calibri"/>
                <w:color w:val="000000"/>
                <w:sz w:val="22"/>
                <w:szCs w:val="22"/>
              </w:rPr>
              <w:t>, p=0.2</w:t>
            </w:r>
            <w:r>
              <w:rPr>
                <w:rFonts w:ascii="Calibri" w:hAnsi="Calibri" w:cs="Calibri"/>
                <w:color w:val="000000"/>
                <w:sz w:val="22"/>
                <w:szCs w:val="22"/>
              </w:rPr>
              <w:t>45</w:t>
            </w:r>
            <w:r w:rsidRPr="005F5601">
              <w:rPr>
                <w:rFonts w:ascii="Calibri" w:hAnsi="Calibri" w:cs="Calibri"/>
                <w:color w:val="000000"/>
                <w:sz w:val="22"/>
                <w:szCs w:val="22"/>
              </w:rPr>
              <w:t>)</w:t>
            </w:r>
          </w:p>
        </w:tc>
      </w:tr>
      <w:tr w:rsidR="00EA011A" w:rsidRPr="005F5601" w14:paraId="750670BE" w14:textId="77777777" w:rsidTr="00F60C85">
        <w:trPr>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661C168B" w14:textId="77777777" w:rsidR="00EA011A" w:rsidRPr="005F5601" w:rsidRDefault="00EA011A" w:rsidP="00B04E50">
            <w:pPr>
              <w:jc w:val="right"/>
              <w:rPr>
                <w:rFonts w:cstheme="minorHAnsi"/>
                <w:color w:val="000000"/>
                <w:sz w:val="22"/>
                <w:szCs w:val="22"/>
              </w:rPr>
            </w:pPr>
          </w:p>
        </w:tc>
        <w:tc>
          <w:tcPr>
            <w:tcW w:w="1039" w:type="dxa"/>
            <w:hideMark/>
          </w:tcPr>
          <w:p w14:paraId="5E99CCA1" w14:textId="77777777" w:rsidR="00EA011A" w:rsidRPr="005F5601"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Black</w:t>
            </w:r>
          </w:p>
        </w:tc>
        <w:tc>
          <w:tcPr>
            <w:tcW w:w="1040" w:type="dxa"/>
            <w:vAlign w:val="bottom"/>
            <w:hideMark/>
          </w:tcPr>
          <w:p w14:paraId="4D4C192D"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9 (52.9)</w:t>
            </w:r>
          </w:p>
        </w:tc>
        <w:tc>
          <w:tcPr>
            <w:tcW w:w="1040" w:type="dxa"/>
            <w:vAlign w:val="bottom"/>
            <w:hideMark/>
          </w:tcPr>
          <w:p w14:paraId="7B6EA145"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8 (47.1)</w:t>
            </w:r>
          </w:p>
        </w:tc>
        <w:tc>
          <w:tcPr>
            <w:tcW w:w="2140" w:type="dxa"/>
            <w:vAlign w:val="bottom"/>
            <w:hideMark/>
          </w:tcPr>
          <w:p w14:paraId="5E2DD0AC"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1.30 (0.48-3.42, p=0.593)</w:t>
            </w:r>
          </w:p>
        </w:tc>
        <w:tc>
          <w:tcPr>
            <w:tcW w:w="1910" w:type="dxa"/>
          </w:tcPr>
          <w:p w14:paraId="1EAB3306"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1.71 (0.61-4.69, p=0.296)</w:t>
            </w:r>
          </w:p>
        </w:tc>
        <w:tc>
          <w:tcPr>
            <w:tcW w:w="1910" w:type="dxa"/>
            <w:vAlign w:val="bottom"/>
          </w:tcPr>
          <w:p w14:paraId="28D12D2C"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1.71 (0.61-4.70, p=0.293)</w:t>
            </w:r>
          </w:p>
        </w:tc>
        <w:tc>
          <w:tcPr>
            <w:tcW w:w="1910" w:type="dxa"/>
            <w:vAlign w:val="bottom"/>
          </w:tcPr>
          <w:p w14:paraId="7BBEA91A"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1.7</w:t>
            </w:r>
            <w:r>
              <w:rPr>
                <w:rFonts w:ascii="Calibri" w:hAnsi="Calibri" w:cs="Calibri"/>
                <w:color w:val="000000"/>
                <w:sz w:val="22"/>
                <w:szCs w:val="22"/>
              </w:rPr>
              <w:t>0</w:t>
            </w:r>
            <w:r w:rsidRPr="005F5601">
              <w:rPr>
                <w:rFonts w:ascii="Calibri" w:hAnsi="Calibri" w:cs="Calibri"/>
                <w:color w:val="000000"/>
                <w:sz w:val="22"/>
                <w:szCs w:val="22"/>
              </w:rPr>
              <w:t xml:space="preserve"> (0.6</w:t>
            </w:r>
            <w:r>
              <w:rPr>
                <w:rFonts w:ascii="Calibri" w:hAnsi="Calibri" w:cs="Calibri"/>
                <w:color w:val="000000"/>
                <w:sz w:val="22"/>
                <w:szCs w:val="22"/>
              </w:rPr>
              <w:t>1</w:t>
            </w:r>
            <w:r w:rsidRPr="005F5601">
              <w:rPr>
                <w:rFonts w:ascii="Calibri" w:hAnsi="Calibri" w:cs="Calibri"/>
                <w:color w:val="000000"/>
                <w:sz w:val="22"/>
                <w:szCs w:val="22"/>
              </w:rPr>
              <w:t>-4.</w:t>
            </w:r>
            <w:r>
              <w:rPr>
                <w:rFonts w:ascii="Calibri" w:hAnsi="Calibri" w:cs="Calibri"/>
                <w:color w:val="000000"/>
                <w:sz w:val="22"/>
                <w:szCs w:val="22"/>
              </w:rPr>
              <w:t>67</w:t>
            </w:r>
            <w:r w:rsidRPr="005F5601">
              <w:rPr>
                <w:rFonts w:ascii="Calibri" w:hAnsi="Calibri" w:cs="Calibri"/>
                <w:color w:val="000000"/>
                <w:sz w:val="22"/>
                <w:szCs w:val="22"/>
              </w:rPr>
              <w:t>, p=0.2</w:t>
            </w:r>
            <w:r>
              <w:rPr>
                <w:rFonts w:ascii="Calibri" w:hAnsi="Calibri" w:cs="Calibri"/>
                <w:color w:val="000000"/>
                <w:sz w:val="22"/>
                <w:szCs w:val="22"/>
              </w:rPr>
              <w:t>97</w:t>
            </w:r>
            <w:r w:rsidRPr="005F5601">
              <w:rPr>
                <w:rFonts w:ascii="Calibri" w:hAnsi="Calibri" w:cs="Calibri"/>
                <w:color w:val="000000"/>
                <w:sz w:val="22"/>
                <w:szCs w:val="22"/>
              </w:rPr>
              <w:t>)</w:t>
            </w:r>
          </w:p>
        </w:tc>
        <w:tc>
          <w:tcPr>
            <w:tcW w:w="1911" w:type="dxa"/>
            <w:vAlign w:val="bottom"/>
          </w:tcPr>
          <w:p w14:paraId="5C6A4C85"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1.7</w:t>
            </w:r>
            <w:r>
              <w:rPr>
                <w:rFonts w:ascii="Calibri" w:hAnsi="Calibri" w:cs="Calibri"/>
                <w:color w:val="000000"/>
                <w:sz w:val="22"/>
                <w:szCs w:val="22"/>
              </w:rPr>
              <w:t>5</w:t>
            </w:r>
            <w:r w:rsidRPr="005F5601">
              <w:rPr>
                <w:rFonts w:ascii="Calibri" w:hAnsi="Calibri" w:cs="Calibri"/>
                <w:color w:val="000000"/>
                <w:sz w:val="22"/>
                <w:szCs w:val="22"/>
              </w:rPr>
              <w:t xml:space="preserve"> (0.63-4.8</w:t>
            </w:r>
            <w:r>
              <w:rPr>
                <w:rFonts w:ascii="Calibri" w:hAnsi="Calibri" w:cs="Calibri"/>
                <w:color w:val="000000"/>
                <w:sz w:val="22"/>
                <w:szCs w:val="22"/>
              </w:rPr>
              <w:t>0</w:t>
            </w:r>
            <w:r w:rsidRPr="005F5601">
              <w:rPr>
                <w:rFonts w:ascii="Calibri" w:hAnsi="Calibri" w:cs="Calibri"/>
                <w:color w:val="000000"/>
                <w:sz w:val="22"/>
                <w:szCs w:val="22"/>
              </w:rPr>
              <w:t>, p=0.271)</w:t>
            </w:r>
          </w:p>
        </w:tc>
      </w:tr>
      <w:tr w:rsidR="00EA011A" w:rsidRPr="005F5601" w14:paraId="67808BDE" w14:textId="77777777" w:rsidTr="00F60C8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13200E7B" w14:textId="77777777" w:rsidR="00EA011A" w:rsidRPr="005F5601" w:rsidRDefault="00EA011A" w:rsidP="00B04E50">
            <w:pPr>
              <w:jc w:val="right"/>
              <w:rPr>
                <w:rFonts w:cstheme="minorHAnsi"/>
                <w:color w:val="000000"/>
                <w:sz w:val="22"/>
                <w:szCs w:val="22"/>
              </w:rPr>
            </w:pPr>
          </w:p>
        </w:tc>
        <w:tc>
          <w:tcPr>
            <w:tcW w:w="1039" w:type="dxa"/>
            <w:hideMark/>
          </w:tcPr>
          <w:p w14:paraId="4FD83610" w14:textId="77777777" w:rsidR="00EA011A" w:rsidRPr="005F5601" w:rsidRDefault="00EA011A" w:rsidP="00B04E50">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Mixed</w:t>
            </w:r>
          </w:p>
        </w:tc>
        <w:tc>
          <w:tcPr>
            <w:tcW w:w="1040" w:type="dxa"/>
            <w:vAlign w:val="bottom"/>
            <w:hideMark/>
          </w:tcPr>
          <w:p w14:paraId="349ED230"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2 (40.0)</w:t>
            </w:r>
          </w:p>
        </w:tc>
        <w:tc>
          <w:tcPr>
            <w:tcW w:w="1040" w:type="dxa"/>
            <w:vAlign w:val="bottom"/>
            <w:hideMark/>
          </w:tcPr>
          <w:p w14:paraId="4BF25520"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3 (60.0)</w:t>
            </w:r>
          </w:p>
        </w:tc>
        <w:tc>
          <w:tcPr>
            <w:tcW w:w="2140" w:type="dxa"/>
            <w:vAlign w:val="bottom"/>
            <w:hideMark/>
          </w:tcPr>
          <w:p w14:paraId="2AB896BA"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2.19 (0.36-16.70, p=0.391)</w:t>
            </w:r>
          </w:p>
        </w:tc>
        <w:tc>
          <w:tcPr>
            <w:tcW w:w="1910" w:type="dxa"/>
          </w:tcPr>
          <w:p w14:paraId="067B18D8"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2.23 (0.34-17.95, p=0.401)</w:t>
            </w:r>
          </w:p>
        </w:tc>
        <w:tc>
          <w:tcPr>
            <w:tcW w:w="1910" w:type="dxa"/>
            <w:vAlign w:val="bottom"/>
          </w:tcPr>
          <w:p w14:paraId="3B74BD95"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Pr>
                <w:rFonts w:cstheme="minorHAnsi"/>
                <w:color w:val="000000"/>
                <w:sz w:val="22"/>
                <w:szCs w:val="22"/>
              </w:rPr>
              <w:t>2.23 (0.34-17.97, p-0.401)</w:t>
            </w:r>
          </w:p>
        </w:tc>
        <w:tc>
          <w:tcPr>
            <w:tcW w:w="1910" w:type="dxa"/>
            <w:vAlign w:val="bottom"/>
          </w:tcPr>
          <w:p w14:paraId="0899CFEE"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2.</w:t>
            </w:r>
            <w:r>
              <w:rPr>
                <w:rFonts w:ascii="Calibri" w:hAnsi="Calibri" w:cs="Calibri"/>
                <w:color w:val="000000"/>
                <w:sz w:val="22"/>
                <w:szCs w:val="22"/>
              </w:rPr>
              <w:t>27</w:t>
            </w:r>
            <w:r w:rsidRPr="005F5601">
              <w:rPr>
                <w:rFonts w:ascii="Calibri" w:hAnsi="Calibri" w:cs="Calibri"/>
                <w:color w:val="000000"/>
                <w:sz w:val="22"/>
                <w:szCs w:val="22"/>
              </w:rPr>
              <w:t xml:space="preserve"> (0.3</w:t>
            </w:r>
            <w:r>
              <w:rPr>
                <w:rFonts w:ascii="Calibri" w:hAnsi="Calibri" w:cs="Calibri"/>
                <w:color w:val="000000"/>
                <w:sz w:val="22"/>
                <w:szCs w:val="22"/>
              </w:rPr>
              <w:t>4</w:t>
            </w:r>
            <w:r w:rsidRPr="005F5601">
              <w:rPr>
                <w:rFonts w:ascii="Calibri" w:hAnsi="Calibri" w:cs="Calibri"/>
                <w:color w:val="000000"/>
                <w:sz w:val="22"/>
                <w:szCs w:val="22"/>
              </w:rPr>
              <w:t>-1</w:t>
            </w:r>
            <w:r>
              <w:rPr>
                <w:rFonts w:ascii="Calibri" w:hAnsi="Calibri" w:cs="Calibri"/>
                <w:color w:val="000000"/>
                <w:sz w:val="22"/>
                <w:szCs w:val="22"/>
              </w:rPr>
              <w:t>7.91</w:t>
            </w:r>
            <w:r w:rsidRPr="005F5601">
              <w:rPr>
                <w:rFonts w:ascii="Calibri" w:hAnsi="Calibri" w:cs="Calibri"/>
                <w:color w:val="000000"/>
                <w:sz w:val="22"/>
                <w:szCs w:val="22"/>
              </w:rPr>
              <w:t>, p=0.</w:t>
            </w:r>
            <w:r>
              <w:rPr>
                <w:rFonts w:ascii="Calibri" w:hAnsi="Calibri" w:cs="Calibri"/>
                <w:color w:val="000000"/>
                <w:sz w:val="22"/>
                <w:szCs w:val="22"/>
              </w:rPr>
              <w:t>402</w:t>
            </w:r>
            <w:r w:rsidRPr="005F5601">
              <w:rPr>
                <w:rFonts w:ascii="Calibri" w:hAnsi="Calibri" w:cs="Calibri"/>
                <w:color w:val="000000"/>
                <w:sz w:val="22"/>
                <w:szCs w:val="22"/>
              </w:rPr>
              <w:t>)</w:t>
            </w:r>
          </w:p>
        </w:tc>
        <w:tc>
          <w:tcPr>
            <w:tcW w:w="1911" w:type="dxa"/>
            <w:vAlign w:val="bottom"/>
          </w:tcPr>
          <w:p w14:paraId="0FCA85ED"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2.</w:t>
            </w:r>
            <w:r>
              <w:rPr>
                <w:rFonts w:ascii="Calibri" w:hAnsi="Calibri" w:cs="Calibri"/>
                <w:color w:val="000000"/>
                <w:sz w:val="22"/>
                <w:szCs w:val="22"/>
              </w:rPr>
              <w:t>27</w:t>
            </w:r>
            <w:r w:rsidRPr="005F5601">
              <w:rPr>
                <w:rFonts w:ascii="Calibri" w:hAnsi="Calibri" w:cs="Calibri"/>
                <w:color w:val="000000"/>
                <w:sz w:val="22"/>
                <w:szCs w:val="22"/>
              </w:rPr>
              <w:t xml:space="preserve"> (0.3</w:t>
            </w:r>
            <w:r>
              <w:rPr>
                <w:rFonts w:ascii="Calibri" w:hAnsi="Calibri" w:cs="Calibri"/>
                <w:color w:val="000000"/>
                <w:sz w:val="22"/>
                <w:szCs w:val="22"/>
              </w:rPr>
              <w:t>5</w:t>
            </w:r>
            <w:r w:rsidRPr="005F5601">
              <w:rPr>
                <w:rFonts w:ascii="Calibri" w:hAnsi="Calibri" w:cs="Calibri"/>
                <w:color w:val="000000"/>
                <w:sz w:val="22"/>
                <w:szCs w:val="22"/>
              </w:rPr>
              <w:t>-18.</w:t>
            </w:r>
            <w:r>
              <w:rPr>
                <w:rFonts w:ascii="Calibri" w:hAnsi="Calibri" w:cs="Calibri"/>
                <w:color w:val="000000"/>
                <w:sz w:val="22"/>
                <w:szCs w:val="22"/>
              </w:rPr>
              <w:t>33</w:t>
            </w:r>
            <w:r w:rsidRPr="005F5601">
              <w:rPr>
                <w:rFonts w:ascii="Calibri" w:hAnsi="Calibri" w:cs="Calibri"/>
                <w:color w:val="000000"/>
                <w:sz w:val="22"/>
                <w:szCs w:val="22"/>
              </w:rPr>
              <w:t>, p=0.3</w:t>
            </w:r>
            <w:r>
              <w:rPr>
                <w:rFonts w:ascii="Calibri" w:hAnsi="Calibri" w:cs="Calibri"/>
                <w:color w:val="000000"/>
                <w:sz w:val="22"/>
                <w:szCs w:val="22"/>
              </w:rPr>
              <w:t>91</w:t>
            </w:r>
            <w:r w:rsidRPr="005F5601">
              <w:rPr>
                <w:rFonts w:ascii="Calibri" w:hAnsi="Calibri" w:cs="Calibri"/>
                <w:color w:val="000000"/>
                <w:sz w:val="22"/>
                <w:szCs w:val="22"/>
              </w:rPr>
              <w:t>)</w:t>
            </w:r>
          </w:p>
        </w:tc>
      </w:tr>
      <w:tr w:rsidR="00EA011A" w:rsidRPr="005F5601" w14:paraId="3B1A248D" w14:textId="77777777" w:rsidTr="00F60C85">
        <w:trPr>
          <w:trHeight w:val="190"/>
        </w:trPr>
        <w:tc>
          <w:tcPr>
            <w:cnfStyle w:val="001000000000" w:firstRow="0" w:lastRow="0" w:firstColumn="1" w:lastColumn="0" w:oddVBand="0" w:evenVBand="0" w:oddHBand="0" w:evenHBand="0" w:firstRowFirstColumn="0" w:firstRowLastColumn="0" w:lastRowFirstColumn="0" w:lastRowLastColumn="0"/>
            <w:tcW w:w="1701" w:type="dxa"/>
            <w:hideMark/>
          </w:tcPr>
          <w:p w14:paraId="4982BB62" w14:textId="77777777" w:rsidR="00EA011A" w:rsidRPr="005F5601" w:rsidRDefault="00EA011A" w:rsidP="00B04E50">
            <w:pPr>
              <w:jc w:val="right"/>
              <w:rPr>
                <w:rFonts w:cstheme="minorHAnsi"/>
                <w:color w:val="000000"/>
                <w:sz w:val="22"/>
                <w:szCs w:val="22"/>
              </w:rPr>
            </w:pPr>
          </w:p>
        </w:tc>
        <w:tc>
          <w:tcPr>
            <w:tcW w:w="1039" w:type="dxa"/>
            <w:hideMark/>
          </w:tcPr>
          <w:p w14:paraId="375B827B" w14:textId="77777777" w:rsidR="00EA011A" w:rsidRPr="005F5601"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cstheme="minorHAnsi"/>
                <w:color w:val="000000"/>
                <w:sz w:val="22"/>
                <w:szCs w:val="22"/>
              </w:rPr>
              <w:t>Other</w:t>
            </w:r>
          </w:p>
        </w:tc>
        <w:tc>
          <w:tcPr>
            <w:tcW w:w="1040" w:type="dxa"/>
            <w:vAlign w:val="bottom"/>
            <w:hideMark/>
          </w:tcPr>
          <w:p w14:paraId="4CA98764"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15 (57.7)</w:t>
            </w:r>
          </w:p>
        </w:tc>
        <w:tc>
          <w:tcPr>
            <w:tcW w:w="1040" w:type="dxa"/>
            <w:vAlign w:val="bottom"/>
            <w:hideMark/>
          </w:tcPr>
          <w:p w14:paraId="1EBBF7F3"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11 (42.3)</w:t>
            </w:r>
          </w:p>
        </w:tc>
        <w:tc>
          <w:tcPr>
            <w:tcW w:w="2140" w:type="dxa"/>
            <w:vAlign w:val="bottom"/>
            <w:hideMark/>
          </w:tcPr>
          <w:p w14:paraId="2C23D8FB"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1.07 (0.48-2.34, p=0.862)</w:t>
            </w:r>
          </w:p>
        </w:tc>
        <w:tc>
          <w:tcPr>
            <w:tcW w:w="1910" w:type="dxa"/>
          </w:tcPr>
          <w:p w14:paraId="7647D565"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1.15 (0.50-2.61, p=0.730)</w:t>
            </w:r>
          </w:p>
        </w:tc>
        <w:tc>
          <w:tcPr>
            <w:tcW w:w="1910" w:type="dxa"/>
            <w:vAlign w:val="bottom"/>
          </w:tcPr>
          <w:p w14:paraId="3CD27715"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1.15 (0.50-2.61, p=0.731)</w:t>
            </w:r>
          </w:p>
        </w:tc>
        <w:tc>
          <w:tcPr>
            <w:tcW w:w="1910" w:type="dxa"/>
            <w:vAlign w:val="bottom"/>
          </w:tcPr>
          <w:p w14:paraId="712F2FFA"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1.1</w:t>
            </w:r>
            <w:r>
              <w:rPr>
                <w:rFonts w:ascii="Calibri" w:hAnsi="Calibri" w:cs="Calibri"/>
                <w:color w:val="000000"/>
                <w:sz w:val="22"/>
                <w:szCs w:val="22"/>
              </w:rPr>
              <w:t>4</w:t>
            </w:r>
            <w:r w:rsidRPr="005F5601">
              <w:rPr>
                <w:rFonts w:ascii="Calibri" w:hAnsi="Calibri" w:cs="Calibri"/>
                <w:color w:val="000000"/>
                <w:sz w:val="22"/>
                <w:szCs w:val="22"/>
              </w:rPr>
              <w:t xml:space="preserve"> (0.</w:t>
            </w:r>
            <w:r>
              <w:rPr>
                <w:rFonts w:ascii="Calibri" w:hAnsi="Calibri" w:cs="Calibri"/>
                <w:color w:val="000000"/>
                <w:sz w:val="22"/>
                <w:szCs w:val="22"/>
              </w:rPr>
              <w:t>49</w:t>
            </w:r>
            <w:r w:rsidRPr="005F5601">
              <w:rPr>
                <w:rFonts w:ascii="Calibri" w:hAnsi="Calibri" w:cs="Calibri"/>
                <w:color w:val="000000"/>
                <w:sz w:val="22"/>
                <w:szCs w:val="22"/>
              </w:rPr>
              <w:t>-2.</w:t>
            </w:r>
            <w:r>
              <w:rPr>
                <w:rFonts w:ascii="Calibri" w:hAnsi="Calibri" w:cs="Calibri"/>
                <w:color w:val="000000"/>
                <w:sz w:val="22"/>
                <w:szCs w:val="22"/>
              </w:rPr>
              <w:t>58</w:t>
            </w:r>
            <w:r w:rsidRPr="005F5601">
              <w:rPr>
                <w:rFonts w:ascii="Calibri" w:hAnsi="Calibri" w:cs="Calibri"/>
                <w:color w:val="000000"/>
                <w:sz w:val="22"/>
                <w:szCs w:val="22"/>
              </w:rPr>
              <w:t>, p=0.</w:t>
            </w:r>
            <w:r>
              <w:rPr>
                <w:rFonts w:ascii="Calibri" w:hAnsi="Calibri" w:cs="Calibri"/>
                <w:color w:val="000000"/>
                <w:sz w:val="22"/>
                <w:szCs w:val="22"/>
              </w:rPr>
              <w:t>752</w:t>
            </w:r>
            <w:r w:rsidRPr="005F5601">
              <w:rPr>
                <w:rFonts w:ascii="Calibri" w:hAnsi="Calibri" w:cs="Calibri"/>
                <w:color w:val="000000"/>
                <w:sz w:val="22"/>
                <w:szCs w:val="22"/>
              </w:rPr>
              <w:t>)</w:t>
            </w:r>
          </w:p>
        </w:tc>
        <w:tc>
          <w:tcPr>
            <w:tcW w:w="1911" w:type="dxa"/>
            <w:vAlign w:val="bottom"/>
          </w:tcPr>
          <w:p w14:paraId="3A50715F"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1.18 (0.51-2.6</w:t>
            </w:r>
            <w:r>
              <w:rPr>
                <w:rFonts w:ascii="Calibri" w:hAnsi="Calibri" w:cs="Calibri"/>
                <w:color w:val="000000"/>
                <w:sz w:val="22"/>
                <w:szCs w:val="22"/>
              </w:rPr>
              <w:t>6</w:t>
            </w:r>
            <w:r w:rsidRPr="005F5601">
              <w:rPr>
                <w:rFonts w:ascii="Calibri" w:hAnsi="Calibri" w:cs="Calibri"/>
                <w:color w:val="000000"/>
                <w:sz w:val="22"/>
                <w:szCs w:val="22"/>
              </w:rPr>
              <w:t>, p=0.6</w:t>
            </w:r>
            <w:r>
              <w:rPr>
                <w:rFonts w:ascii="Calibri" w:hAnsi="Calibri" w:cs="Calibri"/>
                <w:color w:val="000000"/>
                <w:sz w:val="22"/>
                <w:szCs w:val="22"/>
              </w:rPr>
              <w:t>85</w:t>
            </w:r>
            <w:r w:rsidRPr="005F5601">
              <w:rPr>
                <w:rFonts w:ascii="Calibri" w:hAnsi="Calibri" w:cs="Calibri"/>
                <w:color w:val="000000"/>
                <w:sz w:val="22"/>
                <w:szCs w:val="22"/>
              </w:rPr>
              <w:t>)</w:t>
            </w:r>
          </w:p>
        </w:tc>
      </w:tr>
      <w:tr w:rsidR="00EA011A" w:rsidRPr="005F5601" w14:paraId="69E5DFA9" w14:textId="77777777" w:rsidTr="00F60C8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tcPr>
          <w:p w14:paraId="74F9034C" w14:textId="77777777" w:rsidR="00EA011A" w:rsidRPr="005F5601" w:rsidRDefault="00EA011A" w:rsidP="00B04E50">
            <w:pPr>
              <w:rPr>
                <w:rFonts w:cstheme="minorHAnsi"/>
                <w:color w:val="000000" w:themeColor="text1"/>
                <w:sz w:val="22"/>
                <w:szCs w:val="22"/>
              </w:rPr>
            </w:pPr>
            <w:r w:rsidRPr="005F5601">
              <w:rPr>
                <w:rFonts w:ascii="Calibri" w:hAnsi="Calibri" w:cs="Calibri"/>
                <w:color w:val="000000"/>
                <w:sz w:val="22"/>
                <w:szCs w:val="22"/>
              </w:rPr>
              <w:t>Latitude (degrees)</w:t>
            </w:r>
          </w:p>
        </w:tc>
        <w:tc>
          <w:tcPr>
            <w:tcW w:w="1039" w:type="dxa"/>
          </w:tcPr>
          <w:p w14:paraId="10005ECB" w14:textId="77777777" w:rsidR="00EA011A" w:rsidRPr="005F5601" w:rsidRDefault="00EA011A" w:rsidP="00B04E50">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sidRPr="005F5601">
              <w:rPr>
                <w:rFonts w:ascii="Calibri" w:hAnsi="Calibri" w:cs="Calibri"/>
                <w:color w:val="000000"/>
                <w:sz w:val="22"/>
                <w:szCs w:val="22"/>
              </w:rPr>
              <w:t>Mean (SD)</w:t>
            </w:r>
          </w:p>
        </w:tc>
        <w:tc>
          <w:tcPr>
            <w:tcW w:w="1040" w:type="dxa"/>
          </w:tcPr>
          <w:p w14:paraId="79413FAD"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52.8 (1.6)</w:t>
            </w:r>
          </w:p>
        </w:tc>
        <w:tc>
          <w:tcPr>
            <w:tcW w:w="1040" w:type="dxa"/>
          </w:tcPr>
          <w:p w14:paraId="5734B6F3"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52.7 (1.5)</w:t>
            </w:r>
          </w:p>
        </w:tc>
        <w:tc>
          <w:tcPr>
            <w:tcW w:w="2140" w:type="dxa"/>
          </w:tcPr>
          <w:p w14:paraId="1C5B5FB9"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0.95 (0.88-1.02, p=0.149)</w:t>
            </w:r>
          </w:p>
        </w:tc>
        <w:tc>
          <w:tcPr>
            <w:tcW w:w="1910" w:type="dxa"/>
          </w:tcPr>
          <w:p w14:paraId="7873EEB5"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0.97 (0.90-1.05, p=0.501)</w:t>
            </w:r>
          </w:p>
        </w:tc>
        <w:tc>
          <w:tcPr>
            <w:tcW w:w="1910" w:type="dxa"/>
            <w:vAlign w:val="bottom"/>
          </w:tcPr>
          <w:p w14:paraId="12997FEE"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2"/>
                <w:szCs w:val="22"/>
              </w:rPr>
              <w:br/>
            </w:r>
          </w:p>
        </w:tc>
        <w:tc>
          <w:tcPr>
            <w:tcW w:w="1910" w:type="dxa"/>
            <w:vAlign w:val="bottom"/>
          </w:tcPr>
          <w:p w14:paraId="25CD8FC6"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c>
          <w:tcPr>
            <w:tcW w:w="1911" w:type="dxa"/>
            <w:vAlign w:val="bottom"/>
          </w:tcPr>
          <w:p w14:paraId="5A116F40"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F5601">
              <w:rPr>
                <w:rFonts w:ascii="Calibri" w:hAnsi="Calibri" w:cs="Calibri"/>
                <w:color w:val="000000"/>
                <w:sz w:val="22"/>
                <w:szCs w:val="22"/>
              </w:rPr>
              <w:t>-</w:t>
            </w:r>
            <w:r>
              <w:rPr>
                <w:rFonts w:ascii="Calibri" w:hAnsi="Calibri" w:cs="Calibri"/>
                <w:color w:val="000000"/>
                <w:sz w:val="22"/>
                <w:szCs w:val="22"/>
              </w:rPr>
              <w:br/>
            </w:r>
          </w:p>
        </w:tc>
      </w:tr>
      <w:tr w:rsidR="00EA011A" w:rsidRPr="005F5601" w14:paraId="1D7A7F88" w14:textId="77777777" w:rsidTr="00F60C85">
        <w:trPr>
          <w:trHeight w:val="190"/>
        </w:trPr>
        <w:tc>
          <w:tcPr>
            <w:cnfStyle w:val="001000000000" w:firstRow="0" w:lastRow="0" w:firstColumn="1" w:lastColumn="0" w:oddVBand="0" w:evenVBand="0" w:oddHBand="0" w:evenHBand="0" w:firstRowFirstColumn="0" w:firstRowLastColumn="0" w:lastRowFirstColumn="0" w:lastRowLastColumn="0"/>
            <w:tcW w:w="1701" w:type="dxa"/>
          </w:tcPr>
          <w:p w14:paraId="32C24870" w14:textId="77777777" w:rsidR="00EA011A" w:rsidRPr="005F5601" w:rsidRDefault="00EA011A" w:rsidP="00B04E50">
            <w:pPr>
              <w:rPr>
                <w:rFonts w:cstheme="minorHAnsi"/>
                <w:color w:val="000000" w:themeColor="text1"/>
                <w:sz w:val="22"/>
                <w:szCs w:val="22"/>
              </w:rPr>
            </w:pPr>
            <w:r w:rsidRPr="005F5601">
              <w:rPr>
                <w:color w:val="000000" w:themeColor="text1"/>
                <w:sz w:val="22"/>
                <w:szCs w:val="22"/>
              </w:rPr>
              <w:t>Average annual vitD-UVB (kJ/m2)</w:t>
            </w:r>
          </w:p>
        </w:tc>
        <w:tc>
          <w:tcPr>
            <w:tcW w:w="1039" w:type="dxa"/>
          </w:tcPr>
          <w:p w14:paraId="6261B5B2" w14:textId="77777777" w:rsidR="00EA011A" w:rsidRPr="005F5601"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Mean (SD)</w:t>
            </w:r>
          </w:p>
        </w:tc>
        <w:tc>
          <w:tcPr>
            <w:tcW w:w="1040" w:type="dxa"/>
            <w:vAlign w:val="bottom"/>
          </w:tcPr>
          <w:p w14:paraId="598452AB"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 (0.2)</w:t>
            </w:r>
            <w:r>
              <w:rPr>
                <w:rFonts w:ascii="Calibri" w:hAnsi="Calibri" w:cs="Calibri"/>
                <w:color w:val="000000"/>
                <w:sz w:val="22"/>
                <w:szCs w:val="22"/>
              </w:rPr>
              <w:br/>
            </w:r>
          </w:p>
        </w:tc>
        <w:tc>
          <w:tcPr>
            <w:tcW w:w="1040" w:type="dxa"/>
            <w:vAlign w:val="bottom"/>
          </w:tcPr>
          <w:p w14:paraId="44643E44"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2.1 (0.2)</w:t>
            </w:r>
            <w:r>
              <w:rPr>
                <w:rFonts w:ascii="Calibri" w:hAnsi="Calibri" w:cs="Calibri"/>
                <w:color w:val="000000"/>
                <w:sz w:val="22"/>
                <w:szCs w:val="22"/>
              </w:rPr>
              <w:br/>
            </w:r>
          </w:p>
        </w:tc>
        <w:tc>
          <w:tcPr>
            <w:tcW w:w="2140" w:type="dxa"/>
            <w:vAlign w:val="bottom"/>
          </w:tcPr>
          <w:p w14:paraId="54B58FDE"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1.47 (0.88-2.48, p=0.143)</w:t>
            </w:r>
            <w:r>
              <w:rPr>
                <w:rFonts w:ascii="Calibri" w:hAnsi="Calibri" w:cs="Calibri"/>
                <w:color w:val="000000"/>
                <w:sz w:val="22"/>
                <w:szCs w:val="22"/>
              </w:rPr>
              <w:br/>
            </w:r>
          </w:p>
        </w:tc>
        <w:tc>
          <w:tcPr>
            <w:tcW w:w="1910" w:type="dxa"/>
          </w:tcPr>
          <w:p w14:paraId="545D1755"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br/>
              <w:t>-</w:t>
            </w:r>
          </w:p>
        </w:tc>
        <w:tc>
          <w:tcPr>
            <w:tcW w:w="1910" w:type="dxa"/>
            <w:vAlign w:val="bottom"/>
          </w:tcPr>
          <w:p w14:paraId="1254EFFF"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1.22 (0.71-2.10, p=0.477)</w:t>
            </w:r>
            <w:r>
              <w:rPr>
                <w:rFonts w:ascii="Calibri" w:hAnsi="Calibri" w:cs="Calibri"/>
                <w:color w:val="000000"/>
                <w:sz w:val="22"/>
                <w:szCs w:val="22"/>
              </w:rPr>
              <w:br/>
            </w:r>
          </w:p>
        </w:tc>
        <w:tc>
          <w:tcPr>
            <w:tcW w:w="1910" w:type="dxa"/>
            <w:vAlign w:val="bottom"/>
          </w:tcPr>
          <w:p w14:paraId="5F87D47D" w14:textId="77777777" w:rsidR="00EA011A"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2"/>
                <w:szCs w:val="22"/>
              </w:rPr>
              <w:br/>
            </w:r>
          </w:p>
        </w:tc>
        <w:tc>
          <w:tcPr>
            <w:tcW w:w="1911" w:type="dxa"/>
            <w:vAlign w:val="bottom"/>
          </w:tcPr>
          <w:p w14:paraId="78EFAADB"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2"/>
                <w:szCs w:val="22"/>
              </w:rPr>
              <w:br/>
            </w:r>
          </w:p>
        </w:tc>
      </w:tr>
      <w:tr w:rsidR="00EA011A" w:rsidRPr="005F5601" w14:paraId="3AA7EBB6" w14:textId="77777777" w:rsidTr="00F60C85">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701" w:type="dxa"/>
          </w:tcPr>
          <w:p w14:paraId="7F7B5480" w14:textId="77777777" w:rsidR="00EA011A" w:rsidRPr="005F5601" w:rsidRDefault="00EA011A" w:rsidP="00B04E50">
            <w:pPr>
              <w:rPr>
                <w:rFonts w:cstheme="minorHAnsi"/>
                <w:color w:val="000000" w:themeColor="text1"/>
                <w:sz w:val="22"/>
                <w:szCs w:val="22"/>
              </w:rPr>
            </w:pPr>
            <w:r>
              <w:rPr>
                <w:color w:val="000000" w:themeColor="text1"/>
                <w:sz w:val="22"/>
                <w:szCs w:val="22"/>
              </w:rPr>
              <w:lastRenderedPageBreak/>
              <w:t xml:space="preserve">Average winter vitD-UVB </w:t>
            </w:r>
            <w:r>
              <w:rPr>
                <w:color w:val="000000" w:themeColor="text1"/>
                <w:sz w:val="22"/>
                <w:szCs w:val="22"/>
              </w:rPr>
              <w:br/>
              <w:t>(10 kJ/m2)</w:t>
            </w:r>
          </w:p>
        </w:tc>
        <w:tc>
          <w:tcPr>
            <w:tcW w:w="1039" w:type="dxa"/>
          </w:tcPr>
          <w:p w14:paraId="3965B95F" w14:textId="77777777" w:rsidR="00EA011A" w:rsidRPr="005F5601" w:rsidRDefault="00EA011A" w:rsidP="00B04E50">
            <w:pP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Pr>
                <w:rFonts w:cstheme="minorHAnsi"/>
                <w:color w:val="000000"/>
                <w:sz w:val="22"/>
                <w:szCs w:val="22"/>
              </w:rPr>
              <w:t>Mean (SD)</w:t>
            </w:r>
          </w:p>
        </w:tc>
        <w:tc>
          <w:tcPr>
            <w:tcW w:w="1040" w:type="dxa"/>
            <w:vAlign w:val="bottom"/>
          </w:tcPr>
          <w:p w14:paraId="0E85498E"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 (0.3)</w:t>
            </w:r>
            <w:r>
              <w:rPr>
                <w:rFonts w:ascii="Calibri" w:hAnsi="Calibri" w:cs="Calibri"/>
                <w:color w:val="000000"/>
                <w:sz w:val="22"/>
                <w:szCs w:val="22"/>
              </w:rPr>
              <w:br/>
            </w:r>
          </w:p>
        </w:tc>
        <w:tc>
          <w:tcPr>
            <w:tcW w:w="1040" w:type="dxa"/>
            <w:vAlign w:val="bottom"/>
          </w:tcPr>
          <w:p w14:paraId="2A639079" w14:textId="77777777" w:rsidR="00EA011A" w:rsidRPr="005F5601" w:rsidRDefault="00EA011A" w:rsidP="00F5594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 (0.3)</w:t>
            </w:r>
            <w:r>
              <w:rPr>
                <w:rFonts w:ascii="Calibri" w:hAnsi="Calibri" w:cs="Calibri"/>
                <w:color w:val="000000"/>
                <w:sz w:val="22"/>
                <w:szCs w:val="22"/>
              </w:rPr>
              <w:br/>
            </w:r>
          </w:p>
        </w:tc>
        <w:tc>
          <w:tcPr>
            <w:tcW w:w="2140" w:type="dxa"/>
            <w:vAlign w:val="bottom"/>
          </w:tcPr>
          <w:p w14:paraId="48AA3B29"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1.33 (0.96-1.87, p=0.092)</w:t>
            </w:r>
            <w:r>
              <w:rPr>
                <w:rFonts w:ascii="Calibri" w:hAnsi="Calibri" w:cs="Calibri"/>
                <w:color w:val="000000"/>
                <w:sz w:val="22"/>
                <w:szCs w:val="22"/>
              </w:rPr>
              <w:br/>
            </w:r>
          </w:p>
        </w:tc>
        <w:tc>
          <w:tcPr>
            <w:tcW w:w="1910" w:type="dxa"/>
          </w:tcPr>
          <w:p w14:paraId="45AC7F7E"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br/>
              <w:t>-</w:t>
            </w:r>
          </w:p>
        </w:tc>
        <w:tc>
          <w:tcPr>
            <w:tcW w:w="1910" w:type="dxa"/>
            <w:vAlign w:val="bottom"/>
          </w:tcPr>
          <w:p w14:paraId="05A3D853" w14:textId="77777777" w:rsidR="00EA011A" w:rsidRDefault="00EA011A" w:rsidP="00B04E50">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2"/>
                <w:szCs w:val="22"/>
              </w:rPr>
            </w:pPr>
            <w:r>
              <w:rPr>
                <w:rFonts w:cstheme="minorHAnsi"/>
                <w:color w:val="000000"/>
                <w:sz w:val="22"/>
                <w:szCs w:val="22"/>
              </w:rPr>
              <w:t>-</w:t>
            </w:r>
            <w:r>
              <w:rPr>
                <w:rFonts w:cstheme="minorHAnsi"/>
                <w:color w:val="000000"/>
                <w:sz w:val="22"/>
                <w:szCs w:val="22"/>
              </w:rPr>
              <w:br/>
            </w:r>
          </w:p>
        </w:tc>
        <w:tc>
          <w:tcPr>
            <w:tcW w:w="1910" w:type="dxa"/>
          </w:tcPr>
          <w:p w14:paraId="79AE8991"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1.18 (0.83-1.67, p=0.362)</w:t>
            </w:r>
          </w:p>
        </w:tc>
        <w:tc>
          <w:tcPr>
            <w:tcW w:w="1911" w:type="dxa"/>
            <w:vAlign w:val="bottom"/>
          </w:tcPr>
          <w:p w14:paraId="37E08054" w14:textId="77777777" w:rsidR="00EA011A" w:rsidRPr="005F5601" w:rsidRDefault="00EA011A" w:rsidP="00B04E5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r>
              <w:rPr>
                <w:rFonts w:ascii="Calibri" w:hAnsi="Calibri" w:cs="Calibri"/>
                <w:color w:val="000000"/>
                <w:sz w:val="22"/>
                <w:szCs w:val="22"/>
              </w:rPr>
              <w:br/>
            </w:r>
          </w:p>
        </w:tc>
      </w:tr>
      <w:tr w:rsidR="00EA011A" w:rsidRPr="005F5601" w14:paraId="0AD66CE1" w14:textId="77777777" w:rsidTr="00F60C85">
        <w:trPr>
          <w:trHeight w:val="190"/>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tcPr>
          <w:p w14:paraId="570A6CBF" w14:textId="77777777" w:rsidR="00EA011A" w:rsidRPr="005F5601" w:rsidRDefault="00EA011A" w:rsidP="00B04E50">
            <w:pPr>
              <w:rPr>
                <w:rFonts w:cstheme="minorHAnsi"/>
                <w:color w:val="000000"/>
                <w:sz w:val="22"/>
                <w:szCs w:val="22"/>
              </w:rPr>
            </w:pPr>
            <w:r w:rsidRPr="005F5601">
              <w:rPr>
                <w:rFonts w:cstheme="minorHAnsi"/>
                <w:color w:val="000000" w:themeColor="text1"/>
                <w:sz w:val="22"/>
                <w:szCs w:val="22"/>
              </w:rPr>
              <w:t xml:space="preserve">CW-D-UVB </w:t>
            </w:r>
            <w:r>
              <w:rPr>
                <w:rFonts w:cstheme="minorHAnsi"/>
                <w:color w:val="000000" w:themeColor="text1"/>
                <w:sz w:val="22"/>
                <w:szCs w:val="22"/>
              </w:rPr>
              <w:t xml:space="preserve">at symptom onset </w:t>
            </w:r>
            <w:r w:rsidRPr="005F5601">
              <w:rPr>
                <w:rFonts w:cstheme="minorHAnsi"/>
                <w:color w:val="000000" w:themeColor="text1"/>
                <w:sz w:val="22"/>
                <w:szCs w:val="22"/>
              </w:rPr>
              <w:t xml:space="preserve">(J/m2) </w:t>
            </w:r>
          </w:p>
        </w:tc>
        <w:tc>
          <w:tcPr>
            <w:tcW w:w="1039" w:type="dxa"/>
            <w:tcBorders>
              <w:bottom w:val="single" w:sz="4" w:space="0" w:color="auto"/>
            </w:tcBorders>
          </w:tcPr>
          <w:p w14:paraId="45FACE1A" w14:textId="77777777" w:rsidR="00EA011A" w:rsidRPr="005F5601" w:rsidRDefault="00EA011A" w:rsidP="00B04E50">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Mean (SD)</w:t>
            </w:r>
          </w:p>
        </w:tc>
        <w:tc>
          <w:tcPr>
            <w:tcW w:w="1040" w:type="dxa"/>
            <w:tcBorders>
              <w:bottom w:val="single" w:sz="4" w:space="0" w:color="auto"/>
            </w:tcBorders>
            <w:vAlign w:val="bottom"/>
          </w:tcPr>
          <w:p w14:paraId="41C198CE"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ascii="Calibri" w:hAnsi="Calibri" w:cs="Calibri"/>
                <w:color w:val="000000"/>
                <w:sz w:val="22"/>
                <w:szCs w:val="22"/>
              </w:rPr>
              <w:t>0.1</w:t>
            </w:r>
            <w:r w:rsidRPr="005F5601">
              <w:rPr>
                <w:rFonts w:ascii="Calibri" w:hAnsi="Calibri" w:cs="Calibri"/>
                <w:color w:val="000000"/>
                <w:sz w:val="22"/>
                <w:szCs w:val="22"/>
              </w:rPr>
              <w:t xml:space="preserve"> (</w:t>
            </w:r>
            <w:r>
              <w:rPr>
                <w:rFonts w:ascii="Calibri" w:hAnsi="Calibri" w:cs="Calibri"/>
                <w:color w:val="000000"/>
                <w:sz w:val="22"/>
                <w:szCs w:val="22"/>
              </w:rPr>
              <w:t>0.1</w:t>
            </w:r>
            <w:r w:rsidRPr="005F5601">
              <w:rPr>
                <w:rFonts w:ascii="Calibri" w:hAnsi="Calibri" w:cs="Calibri"/>
                <w:color w:val="000000"/>
                <w:sz w:val="22"/>
                <w:szCs w:val="22"/>
              </w:rPr>
              <w:t>)</w:t>
            </w:r>
            <w:r>
              <w:rPr>
                <w:rFonts w:ascii="Calibri" w:hAnsi="Calibri" w:cs="Calibri"/>
                <w:color w:val="000000"/>
                <w:sz w:val="22"/>
                <w:szCs w:val="22"/>
              </w:rPr>
              <w:br/>
            </w:r>
          </w:p>
        </w:tc>
        <w:tc>
          <w:tcPr>
            <w:tcW w:w="1040" w:type="dxa"/>
            <w:tcBorders>
              <w:bottom w:val="single" w:sz="4" w:space="0" w:color="auto"/>
            </w:tcBorders>
            <w:vAlign w:val="bottom"/>
          </w:tcPr>
          <w:p w14:paraId="3B0FFD1D" w14:textId="77777777" w:rsidR="00EA011A" w:rsidRPr="005F5601" w:rsidRDefault="00EA011A" w:rsidP="00F5594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ascii="Calibri" w:hAnsi="Calibri" w:cs="Calibri"/>
                <w:color w:val="000000"/>
                <w:sz w:val="22"/>
                <w:szCs w:val="22"/>
              </w:rPr>
              <w:t>0.1</w:t>
            </w:r>
            <w:r w:rsidRPr="005F5601">
              <w:rPr>
                <w:rFonts w:ascii="Calibri" w:hAnsi="Calibri" w:cs="Calibri"/>
                <w:color w:val="000000"/>
                <w:sz w:val="22"/>
                <w:szCs w:val="22"/>
              </w:rPr>
              <w:t xml:space="preserve"> (</w:t>
            </w:r>
            <w:r>
              <w:rPr>
                <w:rFonts w:ascii="Calibri" w:hAnsi="Calibri" w:cs="Calibri"/>
                <w:color w:val="000000"/>
                <w:sz w:val="22"/>
                <w:szCs w:val="22"/>
              </w:rPr>
              <w:t>0.1</w:t>
            </w:r>
            <w:r w:rsidRPr="005F5601">
              <w:rPr>
                <w:rFonts w:ascii="Calibri" w:hAnsi="Calibri" w:cs="Calibri"/>
                <w:color w:val="000000"/>
                <w:sz w:val="22"/>
                <w:szCs w:val="22"/>
              </w:rPr>
              <w:t>)</w:t>
            </w:r>
            <w:r>
              <w:rPr>
                <w:rFonts w:ascii="Calibri" w:hAnsi="Calibri" w:cs="Calibri"/>
                <w:color w:val="000000"/>
                <w:sz w:val="22"/>
                <w:szCs w:val="22"/>
              </w:rPr>
              <w:br/>
            </w:r>
          </w:p>
        </w:tc>
        <w:tc>
          <w:tcPr>
            <w:tcW w:w="2140" w:type="dxa"/>
            <w:tcBorders>
              <w:bottom w:val="single" w:sz="4" w:space="0" w:color="auto"/>
            </w:tcBorders>
            <w:vAlign w:val="bottom"/>
          </w:tcPr>
          <w:p w14:paraId="6F6E190D"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ascii="Calibri" w:hAnsi="Calibri" w:cs="Calibri"/>
                <w:color w:val="000000"/>
                <w:sz w:val="22"/>
                <w:szCs w:val="22"/>
              </w:rPr>
              <w:t>0.82 (0.18-3.67, p=0.791)</w:t>
            </w:r>
            <w:r>
              <w:rPr>
                <w:rFonts w:ascii="Calibri" w:hAnsi="Calibri" w:cs="Calibri"/>
                <w:color w:val="000000"/>
                <w:sz w:val="22"/>
                <w:szCs w:val="22"/>
              </w:rPr>
              <w:br/>
            </w:r>
          </w:p>
        </w:tc>
        <w:tc>
          <w:tcPr>
            <w:tcW w:w="1910" w:type="dxa"/>
            <w:tcBorders>
              <w:bottom w:val="single" w:sz="4" w:space="0" w:color="auto"/>
            </w:tcBorders>
          </w:tcPr>
          <w:p w14:paraId="6DC3E78E"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br/>
            </w:r>
            <w:r w:rsidRPr="005F5601">
              <w:rPr>
                <w:rFonts w:ascii="Calibri" w:hAnsi="Calibri" w:cs="Calibri"/>
                <w:color w:val="000000"/>
                <w:sz w:val="22"/>
                <w:szCs w:val="22"/>
              </w:rPr>
              <w:t>-</w:t>
            </w:r>
          </w:p>
        </w:tc>
        <w:tc>
          <w:tcPr>
            <w:tcW w:w="1910" w:type="dxa"/>
            <w:tcBorders>
              <w:bottom w:val="single" w:sz="4" w:space="0" w:color="auto"/>
            </w:tcBorders>
            <w:vAlign w:val="bottom"/>
          </w:tcPr>
          <w:p w14:paraId="0F9718B7"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Pr>
                <w:rFonts w:cstheme="minorHAnsi"/>
                <w:color w:val="000000"/>
                <w:sz w:val="22"/>
                <w:szCs w:val="22"/>
              </w:rPr>
              <w:t>-</w:t>
            </w:r>
            <w:r>
              <w:rPr>
                <w:rFonts w:cstheme="minorHAnsi"/>
                <w:color w:val="000000"/>
                <w:sz w:val="22"/>
                <w:szCs w:val="22"/>
              </w:rPr>
              <w:br/>
            </w:r>
          </w:p>
        </w:tc>
        <w:tc>
          <w:tcPr>
            <w:tcW w:w="1910" w:type="dxa"/>
            <w:tcBorders>
              <w:bottom w:val="single" w:sz="4" w:space="0" w:color="auto"/>
            </w:tcBorders>
          </w:tcPr>
          <w:p w14:paraId="329BEE23"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br/>
              <w:t>-</w:t>
            </w:r>
          </w:p>
        </w:tc>
        <w:tc>
          <w:tcPr>
            <w:tcW w:w="1911" w:type="dxa"/>
            <w:tcBorders>
              <w:bottom w:val="single" w:sz="4" w:space="0" w:color="auto"/>
            </w:tcBorders>
            <w:vAlign w:val="bottom"/>
          </w:tcPr>
          <w:p w14:paraId="230B7D66" w14:textId="77777777" w:rsidR="00EA011A" w:rsidRPr="005F5601" w:rsidRDefault="00EA011A" w:rsidP="00B04E5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0.86 (0.18-4.12, p=0.855)</w:t>
            </w:r>
            <w:r>
              <w:rPr>
                <w:rFonts w:ascii="Calibri" w:hAnsi="Calibri" w:cs="Calibri"/>
                <w:color w:val="000000"/>
                <w:sz w:val="22"/>
                <w:szCs w:val="22"/>
              </w:rPr>
              <w:br/>
            </w:r>
          </w:p>
        </w:tc>
      </w:tr>
    </w:tbl>
    <w:p w14:paraId="5F1B9767" w14:textId="77777777" w:rsidR="00EA011A" w:rsidRDefault="00EA011A" w:rsidP="00EA011A"/>
    <w:p w14:paraId="50EE685A" w14:textId="77777777" w:rsidR="00693DCE" w:rsidRDefault="00693DCE" w:rsidP="00693DCE">
      <w:pPr>
        <w:rPr>
          <w:rFonts w:ascii="Calibri" w:hAnsi="Calibri" w:cs="Calibri"/>
          <w:color w:val="000000"/>
          <w:sz w:val="20"/>
          <w:szCs w:val="20"/>
        </w:rPr>
      </w:pPr>
      <w:r w:rsidRPr="0070219F">
        <w:rPr>
          <w:rFonts w:ascii="Calibri" w:hAnsi="Calibri" w:cs="Calibri"/>
          <w:color w:val="000000"/>
          <w:sz w:val="20"/>
          <w:szCs w:val="20"/>
        </w:rPr>
        <w:t xml:space="preserve">Note: OR (95% CI, p) </w:t>
      </w:r>
    </w:p>
    <w:p w14:paraId="652612D8" w14:textId="77777777" w:rsidR="00693DCE" w:rsidRDefault="00693DCE" w:rsidP="00693DCE">
      <w:pPr>
        <w:rPr>
          <w:rFonts w:ascii="Calibri" w:hAnsi="Calibri" w:cs="Calibri"/>
          <w:color w:val="000000"/>
          <w:sz w:val="20"/>
          <w:szCs w:val="20"/>
        </w:rPr>
      </w:pPr>
      <w:r w:rsidRPr="0070219F">
        <w:rPr>
          <w:rFonts w:ascii="Calibri" w:hAnsi="Calibri" w:cs="Calibri"/>
          <w:color w:val="000000"/>
          <w:sz w:val="20"/>
          <w:szCs w:val="20"/>
        </w:rPr>
        <w:t xml:space="preserve">The OR refers to the probability of having </w:t>
      </w:r>
      <w:r>
        <w:rPr>
          <w:rFonts w:ascii="Calibri" w:hAnsi="Calibri" w:cs="Calibri"/>
          <w:color w:val="000000"/>
          <w:sz w:val="20"/>
          <w:szCs w:val="20"/>
        </w:rPr>
        <w:t>MPO-positivity</w:t>
      </w:r>
      <w:r w:rsidRPr="0070219F">
        <w:rPr>
          <w:rFonts w:ascii="Calibri" w:hAnsi="Calibri" w:cs="Calibri"/>
          <w:color w:val="000000"/>
          <w:sz w:val="20"/>
          <w:szCs w:val="20"/>
        </w:rPr>
        <w:t xml:space="preserve"> (ref: not </w:t>
      </w:r>
      <w:r>
        <w:rPr>
          <w:rFonts w:ascii="Calibri" w:hAnsi="Calibri" w:cs="Calibri"/>
          <w:color w:val="000000"/>
          <w:sz w:val="20"/>
          <w:szCs w:val="20"/>
        </w:rPr>
        <w:t>MPO-ANCA</w:t>
      </w:r>
      <w:r w:rsidRPr="0070219F">
        <w:rPr>
          <w:rFonts w:ascii="Calibri" w:hAnsi="Calibri" w:cs="Calibri"/>
          <w:color w:val="000000"/>
          <w:sz w:val="20"/>
          <w:szCs w:val="20"/>
        </w:rPr>
        <w:t>) at diagnosis</w:t>
      </w:r>
      <w:r>
        <w:rPr>
          <w:rFonts w:ascii="Calibri" w:hAnsi="Calibri" w:cs="Calibri"/>
          <w:color w:val="000000"/>
          <w:sz w:val="20"/>
          <w:szCs w:val="20"/>
        </w:rPr>
        <w:t>.</w:t>
      </w:r>
    </w:p>
    <w:p w14:paraId="00ADD39F" w14:textId="77777777" w:rsidR="00693DCE" w:rsidRDefault="00693DCE" w:rsidP="00693DCE">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1</w:t>
      </w:r>
      <w:r w:rsidRPr="79D24161">
        <w:rPr>
          <w:rFonts w:ascii="Calibri" w:hAnsi="Calibri" w:cs="Calibri"/>
          <w:color w:val="000000" w:themeColor="text1"/>
          <w:sz w:val="20"/>
          <w:szCs w:val="20"/>
        </w:rPr>
        <w:t xml:space="preserve"> investigates the effect of </w:t>
      </w:r>
      <w:r w:rsidRPr="79D24161">
        <w:rPr>
          <w:rFonts w:ascii="Calibri" w:hAnsi="Calibri" w:cs="Calibri"/>
          <w:b/>
          <w:color w:val="000000" w:themeColor="text1"/>
          <w:sz w:val="20"/>
          <w:szCs w:val="20"/>
        </w:rPr>
        <w:t>latitude</w:t>
      </w:r>
      <w:r w:rsidRPr="79D24161">
        <w:rPr>
          <w:rFonts w:ascii="Calibri" w:hAnsi="Calibri" w:cs="Calibri"/>
          <w:color w:val="000000" w:themeColor="text1"/>
          <w:sz w:val="20"/>
          <w:szCs w:val="20"/>
        </w:rPr>
        <w:t xml:space="preserve">, adjusted for age at diagnosis, </w:t>
      </w:r>
      <w:r>
        <w:rPr>
          <w:rFonts w:ascii="Calibri" w:hAnsi="Calibri" w:cs="Calibri"/>
          <w:color w:val="000000" w:themeColor="text1"/>
          <w:sz w:val="20"/>
          <w:szCs w:val="20"/>
        </w:rPr>
        <w:t>gender</w:t>
      </w:r>
      <w:r w:rsidRPr="79D24161">
        <w:rPr>
          <w:rFonts w:ascii="Calibri" w:hAnsi="Calibri" w:cs="Calibri"/>
          <w:color w:val="000000" w:themeColor="text1"/>
          <w:sz w:val="20"/>
          <w:szCs w:val="20"/>
        </w:rPr>
        <w:t xml:space="preserve"> and ethnicity (observations 1260, 1053 missing ANCA serology, AIC </w:t>
      </w:r>
      <w:r>
        <w:rPr>
          <w:rFonts w:ascii="Calibri" w:hAnsi="Calibri" w:cs="Calibri"/>
          <w:color w:val="000000"/>
          <w:sz w:val="20"/>
          <w:szCs w:val="20"/>
        </w:rPr>
        <w:t>1626</w:t>
      </w:r>
      <w:r w:rsidRPr="79D24161">
        <w:rPr>
          <w:rFonts w:ascii="Calibri" w:hAnsi="Calibri" w:cs="Calibri"/>
          <w:color w:val="000000" w:themeColor="text1"/>
          <w:sz w:val="20"/>
          <w:szCs w:val="20"/>
        </w:rPr>
        <w:t>.9).</w:t>
      </w:r>
      <w:r w:rsidRPr="0070219F">
        <w:rPr>
          <w:rFonts w:ascii="Calibri" w:hAnsi="Calibri" w:cs="Calibri"/>
          <w:color w:val="000000"/>
          <w:sz w:val="20"/>
          <w:szCs w:val="20"/>
        </w:rPr>
        <w:t xml:space="preserve"> </w:t>
      </w:r>
    </w:p>
    <w:p w14:paraId="279C2480" w14:textId="77777777" w:rsidR="00693DCE" w:rsidRDefault="00693DCE" w:rsidP="00693DCE">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2</w:t>
      </w:r>
      <w:r w:rsidRPr="79D24161">
        <w:rPr>
          <w:rFonts w:ascii="Calibri" w:hAnsi="Calibri" w:cs="Calibri"/>
          <w:color w:val="000000" w:themeColor="text1"/>
          <w:sz w:val="20"/>
          <w:szCs w:val="20"/>
        </w:rPr>
        <w:t xml:space="preserve"> investigates the effect of </w:t>
      </w:r>
      <w:r>
        <w:rPr>
          <w:rFonts w:ascii="Calibri" w:hAnsi="Calibri" w:cs="Calibri"/>
          <w:b/>
          <w:color w:val="000000" w:themeColor="text1"/>
          <w:sz w:val="20"/>
          <w:szCs w:val="20"/>
        </w:rPr>
        <w:t>average annual vitD-UVB,</w:t>
      </w:r>
      <w:r w:rsidRPr="79D24161">
        <w:rPr>
          <w:rFonts w:ascii="Calibri" w:hAnsi="Calibri" w:cs="Calibri"/>
          <w:color w:val="000000" w:themeColor="text1"/>
          <w:sz w:val="20"/>
          <w:szCs w:val="20"/>
        </w:rPr>
        <w:t xml:space="preserve"> adjusted for age at diagnosis, </w:t>
      </w:r>
      <w:r>
        <w:rPr>
          <w:rFonts w:ascii="Calibri" w:hAnsi="Calibri" w:cs="Calibri"/>
          <w:color w:val="000000" w:themeColor="text1"/>
          <w:sz w:val="20"/>
          <w:szCs w:val="20"/>
        </w:rPr>
        <w:t>gender</w:t>
      </w:r>
      <w:r w:rsidRPr="79D24161">
        <w:rPr>
          <w:rFonts w:ascii="Calibri" w:hAnsi="Calibri" w:cs="Calibri"/>
          <w:color w:val="000000" w:themeColor="text1"/>
          <w:sz w:val="20"/>
          <w:szCs w:val="20"/>
        </w:rPr>
        <w:t xml:space="preserve"> and ethnicity (observations 1260, 1053 missing ANCA serology, AIC </w:t>
      </w:r>
      <w:r>
        <w:rPr>
          <w:rFonts w:ascii="Calibri" w:hAnsi="Calibri" w:cs="Calibri"/>
          <w:color w:val="000000"/>
          <w:sz w:val="20"/>
          <w:szCs w:val="20"/>
        </w:rPr>
        <w:t>1626</w:t>
      </w:r>
      <w:r w:rsidRPr="79D24161">
        <w:rPr>
          <w:rFonts w:ascii="Calibri" w:hAnsi="Calibri" w:cs="Calibri"/>
          <w:color w:val="000000" w:themeColor="text1"/>
          <w:sz w:val="20"/>
          <w:szCs w:val="20"/>
        </w:rPr>
        <w:t>.</w:t>
      </w:r>
      <w:r>
        <w:rPr>
          <w:rFonts w:ascii="Calibri" w:hAnsi="Calibri" w:cs="Calibri"/>
          <w:color w:val="000000" w:themeColor="text1"/>
          <w:sz w:val="20"/>
          <w:szCs w:val="20"/>
        </w:rPr>
        <w:t>8</w:t>
      </w:r>
      <w:r w:rsidRPr="79D24161">
        <w:rPr>
          <w:rFonts w:ascii="Calibri" w:hAnsi="Calibri" w:cs="Calibri"/>
          <w:color w:val="000000" w:themeColor="text1"/>
          <w:sz w:val="20"/>
          <w:szCs w:val="20"/>
        </w:rPr>
        <w:t>).</w:t>
      </w:r>
      <w:r w:rsidRPr="0070219F">
        <w:rPr>
          <w:rFonts w:ascii="Calibri" w:hAnsi="Calibri" w:cs="Calibri"/>
          <w:color w:val="000000"/>
          <w:sz w:val="20"/>
          <w:szCs w:val="20"/>
        </w:rPr>
        <w:t xml:space="preserve"> </w:t>
      </w:r>
    </w:p>
    <w:p w14:paraId="2C30FCA6" w14:textId="77777777" w:rsidR="00693DCE" w:rsidRDefault="00693DCE" w:rsidP="00693DCE">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3</w:t>
      </w:r>
      <w:r w:rsidRPr="79D24161">
        <w:rPr>
          <w:rFonts w:ascii="Calibri" w:hAnsi="Calibri" w:cs="Calibri"/>
          <w:color w:val="000000" w:themeColor="text1"/>
          <w:sz w:val="20"/>
          <w:szCs w:val="20"/>
        </w:rPr>
        <w:t xml:space="preserve"> investigates the effect of </w:t>
      </w:r>
      <w:r>
        <w:rPr>
          <w:rFonts w:ascii="Calibri" w:hAnsi="Calibri" w:cs="Calibri"/>
          <w:b/>
          <w:color w:val="000000" w:themeColor="text1"/>
          <w:sz w:val="20"/>
          <w:szCs w:val="20"/>
        </w:rPr>
        <w:t>average winter (Dec-Feb) vitD-UVB (2004-2019),</w:t>
      </w:r>
      <w:r w:rsidRPr="79D24161">
        <w:rPr>
          <w:rFonts w:ascii="Calibri" w:hAnsi="Calibri" w:cs="Calibri"/>
          <w:color w:val="000000" w:themeColor="text1"/>
          <w:sz w:val="20"/>
          <w:szCs w:val="20"/>
        </w:rPr>
        <w:t xml:space="preserve"> adjusted for age at diagnosis, </w:t>
      </w:r>
      <w:r>
        <w:rPr>
          <w:rFonts w:ascii="Calibri" w:hAnsi="Calibri" w:cs="Calibri"/>
          <w:color w:val="000000" w:themeColor="text1"/>
          <w:sz w:val="20"/>
          <w:szCs w:val="20"/>
        </w:rPr>
        <w:t>gender</w:t>
      </w:r>
      <w:r w:rsidRPr="79D24161">
        <w:rPr>
          <w:rFonts w:ascii="Calibri" w:hAnsi="Calibri" w:cs="Calibri"/>
          <w:color w:val="000000" w:themeColor="text1"/>
          <w:sz w:val="20"/>
          <w:szCs w:val="20"/>
        </w:rPr>
        <w:t xml:space="preserve"> and ethnicity (observations 1260, 1053 missing ANCA serology, AIC </w:t>
      </w:r>
      <w:r>
        <w:rPr>
          <w:rFonts w:ascii="Calibri" w:hAnsi="Calibri" w:cs="Calibri"/>
          <w:color w:val="000000"/>
          <w:sz w:val="20"/>
          <w:szCs w:val="20"/>
        </w:rPr>
        <w:t>1626</w:t>
      </w:r>
      <w:r w:rsidRPr="79D24161">
        <w:rPr>
          <w:rFonts w:ascii="Calibri" w:hAnsi="Calibri" w:cs="Calibri"/>
          <w:color w:val="000000" w:themeColor="text1"/>
          <w:sz w:val="20"/>
          <w:szCs w:val="20"/>
        </w:rPr>
        <w:t>.</w:t>
      </w:r>
      <w:r>
        <w:rPr>
          <w:rFonts w:ascii="Calibri" w:hAnsi="Calibri" w:cs="Calibri"/>
          <w:color w:val="000000" w:themeColor="text1"/>
          <w:sz w:val="20"/>
          <w:szCs w:val="20"/>
        </w:rPr>
        <w:t>5</w:t>
      </w:r>
      <w:r w:rsidRPr="79D24161">
        <w:rPr>
          <w:rFonts w:ascii="Calibri" w:hAnsi="Calibri" w:cs="Calibri"/>
          <w:color w:val="000000" w:themeColor="text1"/>
          <w:sz w:val="20"/>
          <w:szCs w:val="20"/>
        </w:rPr>
        <w:t>).</w:t>
      </w:r>
      <w:r w:rsidRPr="0070219F">
        <w:rPr>
          <w:rFonts w:ascii="Calibri" w:hAnsi="Calibri" w:cs="Calibri"/>
          <w:color w:val="000000"/>
          <w:sz w:val="20"/>
          <w:szCs w:val="20"/>
        </w:rPr>
        <w:t xml:space="preserve"> </w:t>
      </w:r>
    </w:p>
    <w:p w14:paraId="6E59297B" w14:textId="77777777" w:rsidR="00693DCE" w:rsidRDefault="00693DCE" w:rsidP="00693DCE">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4</w:t>
      </w:r>
      <w:r w:rsidRPr="79D24161">
        <w:rPr>
          <w:rFonts w:ascii="Calibri" w:hAnsi="Calibri" w:cs="Calibri"/>
          <w:color w:val="000000" w:themeColor="text1"/>
          <w:sz w:val="20"/>
          <w:szCs w:val="20"/>
        </w:rPr>
        <w:t xml:space="preserve"> investigates the effect of </w:t>
      </w:r>
      <w:r w:rsidRPr="79D24161">
        <w:rPr>
          <w:rFonts w:ascii="Calibri" w:hAnsi="Calibri" w:cs="Calibri"/>
          <w:b/>
          <w:color w:val="000000" w:themeColor="text1"/>
          <w:sz w:val="20"/>
          <w:szCs w:val="20"/>
        </w:rPr>
        <w:t>CW-D-UVB</w:t>
      </w:r>
      <w:r>
        <w:rPr>
          <w:rFonts w:ascii="Calibri" w:hAnsi="Calibri" w:cs="Calibri"/>
          <w:bCs/>
          <w:color w:val="000000" w:themeColor="text1"/>
          <w:sz w:val="20"/>
          <w:szCs w:val="20"/>
        </w:rPr>
        <w:t xml:space="preserve"> at symptom onset</w:t>
      </w:r>
      <w:r w:rsidRPr="79D24161">
        <w:rPr>
          <w:rFonts w:ascii="Calibri" w:hAnsi="Calibri" w:cs="Calibri"/>
          <w:color w:val="000000" w:themeColor="text1"/>
          <w:sz w:val="20"/>
          <w:szCs w:val="20"/>
        </w:rPr>
        <w:t xml:space="preserve">, adjusted for age at diagnosis, </w:t>
      </w:r>
      <w:r>
        <w:rPr>
          <w:rFonts w:ascii="Calibri" w:hAnsi="Calibri" w:cs="Calibri"/>
          <w:color w:val="000000" w:themeColor="text1"/>
          <w:sz w:val="20"/>
          <w:szCs w:val="20"/>
        </w:rPr>
        <w:t>gender</w:t>
      </w:r>
      <w:r w:rsidRPr="79D24161">
        <w:rPr>
          <w:rFonts w:ascii="Calibri" w:hAnsi="Calibri" w:cs="Calibri"/>
          <w:color w:val="000000" w:themeColor="text1"/>
          <w:sz w:val="20"/>
          <w:szCs w:val="20"/>
        </w:rPr>
        <w:t xml:space="preserve"> and ethnicity (observations 1260, 1053 missing ANCA serology, AIC 162</w:t>
      </w:r>
      <w:r>
        <w:rPr>
          <w:rFonts w:ascii="Calibri" w:hAnsi="Calibri" w:cs="Calibri"/>
          <w:color w:val="000000" w:themeColor="text1"/>
          <w:sz w:val="20"/>
          <w:szCs w:val="20"/>
        </w:rPr>
        <w:t>7.3</w:t>
      </w:r>
      <w:r>
        <w:rPr>
          <w:rFonts w:ascii="Calibri" w:hAnsi="Calibri" w:cs="Calibri"/>
          <w:color w:val="000000"/>
          <w:sz w:val="20"/>
          <w:szCs w:val="20"/>
        </w:rPr>
        <w:t>).</w:t>
      </w:r>
    </w:p>
    <w:p w14:paraId="4034857F" w14:textId="6D994C94" w:rsidR="00516B95" w:rsidRDefault="00693DCE" w:rsidP="00693DCE">
      <w:pPr>
        <w:pStyle w:val="Heading2"/>
        <w:rPr>
          <w:rFonts w:asciiTheme="minorHAnsi" w:hAnsiTheme="minorHAnsi" w:cstheme="minorHAnsi"/>
        </w:rPr>
      </w:pPr>
      <w:r w:rsidRPr="005E0048">
        <w:rPr>
          <w:rFonts w:cstheme="minorHAnsi"/>
          <w:color w:val="000000" w:themeColor="text1"/>
          <w:sz w:val="20"/>
          <w:szCs w:val="20"/>
          <w:shd w:val="clear" w:color="auto" w:fill="FFFFFF"/>
        </w:rPr>
        <w:t xml:space="preserve">Ambient UVB dose at wavelengths than induce vitD synthesis (vitD-UVB), Cumulative-weighted UVB dose (CW-D-UVB), Standard deviation (SD), Myeloperoxidase (MPO), </w:t>
      </w:r>
      <w:r>
        <w:rPr>
          <w:rFonts w:cstheme="minorHAnsi"/>
          <w:color w:val="000000" w:themeColor="text1"/>
          <w:sz w:val="20"/>
          <w:szCs w:val="20"/>
          <w:shd w:val="clear" w:color="auto" w:fill="FFFFFF"/>
        </w:rPr>
        <w:t xml:space="preserve">Akaike information criterion (AIC), </w:t>
      </w:r>
      <w:r w:rsidRPr="005E0048">
        <w:rPr>
          <w:rFonts w:cstheme="minorHAnsi"/>
          <w:color w:val="000000" w:themeColor="text1"/>
          <w:sz w:val="20"/>
          <w:szCs w:val="20"/>
          <w:shd w:val="clear" w:color="auto" w:fill="FFFFFF"/>
        </w:rPr>
        <w:t>Odds ratio (OR), 95% Confidence interval (95% CI)</w:t>
      </w:r>
    </w:p>
    <w:p w14:paraId="2988CF5C" w14:textId="0F142D20" w:rsidR="003B48F4" w:rsidRPr="001D323C" w:rsidRDefault="002A1D35" w:rsidP="001D323C">
      <w:pPr>
        <w:pStyle w:val="Heading2"/>
        <w:rPr>
          <w:rStyle w:val="Heading2Char"/>
          <w:rFonts w:asciiTheme="minorHAnsi" w:hAnsiTheme="minorHAnsi" w:cstheme="minorHAnsi"/>
          <w:color w:val="000000"/>
          <w:sz w:val="20"/>
          <w:szCs w:val="20"/>
        </w:rPr>
      </w:pPr>
      <w:r w:rsidRPr="001D323C">
        <w:rPr>
          <w:rFonts w:ascii="Calibri Light" w:hAnsi="Calibri Light" w:cs="Calibri Light"/>
          <w:color w:val="2F5496"/>
          <w:shd w:val="clear" w:color="auto" w:fill="FFFFFF"/>
        </w:rPr>
        <w:br w:type="page"/>
      </w:r>
      <w:bookmarkStart w:id="44" w:name="_Toc80281886"/>
      <w:r w:rsidR="003B48F4" w:rsidRPr="00B5600D">
        <w:rPr>
          <w:rFonts w:ascii="Calibri Light" w:hAnsi="Calibri Light" w:cs="Calibri Light"/>
          <w:color w:val="2F5496"/>
          <w:shd w:val="clear" w:color="auto" w:fill="FFFFFF"/>
        </w:rPr>
        <w:lastRenderedPageBreak/>
        <w:t xml:space="preserve">Supplementary Table </w:t>
      </w:r>
      <w:r w:rsidR="00F60C85">
        <w:rPr>
          <w:rFonts w:ascii="Calibri Light" w:hAnsi="Calibri Light" w:cs="Calibri Light"/>
          <w:color w:val="2F5496"/>
          <w:shd w:val="clear" w:color="auto" w:fill="FFFFFF"/>
        </w:rPr>
        <w:t>5</w:t>
      </w:r>
      <w:r w:rsidR="003B48F4" w:rsidRPr="008948E3">
        <w:rPr>
          <w:rFonts w:ascii="Calibri Light" w:hAnsi="Calibri Light" w:cs="Calibri Light"/>
          <w:i/>
          <w:iCs/>
          <w:color w:val="2F5496"/>
          <w:shd w:val="clear" w:color="auto" w:fill="FFFFFF"/>
        </w:rPr>
        <w:t>:  </w:t>
      </w:r>
      <w:r w:rsidR="003B48F4" w:rsidRPr="008948E3">
        <w:rPr>
          <w:rFonts w:ascii="Calibri Light" w:hAnsi="Calibri Light" w:cs="Calibri Light"/>
          <w:color w:val="2F5496"/>
          <w:shd w:val="clear" w:color="auto" w:fill="FFFFFF"/>
        </w:rPr>
        <w:t>Uni</w:t>
      </w:r>
      <w:r w:rsidR="003B48F4">
        <w:rPr>
          <w:rFonts w:ascii="Calibri Light" w:hAnsi="Calibri Light" w:cs="Calibri Light"/>
          <w:color w:val="2F5496"/>
          <w:shd w:val="clear" w:color="auto" w:fill="FFFFFF"/>
        </w:rPr>
        <w:t>-</w:t>
      </w:r>
      <w:r w:rsidR="003B48F4" w:rsidRPr="008948E3">
        <w:rPr>
          <w:rFonts w:ascii="Calibri Light" w:hAnsi="Calibri Light" w:cs="Calibri Light"/>
          <w:color w:val="2F5496"/>
          <w:shd w:val="clear" w:color="auto" w:fill="FFFFFF"/>
        </w:rPr>
        <w:t xml:space="preserve"> and multivaria</w:t>
      </w:r>
      <w:r w:rsidR="003B48F4">
        <w:rPr>
          <w:rFonts w:ascii="Calibri Light" w:hAnsi="Calibri Light" w:cs="Calibri Light"/>
          <w:color w:val="2F5496"/>
          <w:shd w:val="clear" w:color="auto" w:fill="FFFFFF"/>
        </w:rPr>
        <w:t>ble</w:t>
      </w:r>
      <w:r w:rsidR="003B48F4" w:rsidRPr="008948E3">
        <w:rPr>
          <w:rFonts w:ascii="Calibri Light" w:hAnsi="Calibri Light" w:cs="Calibri Light"/>
          <w:color w:val="2F5496"/>
          <w:shd w:val="clear" w:color="auto" w:fill="FFFFFF"/>
        </w:rPr>
        <w:t xml:space="preserve"> logistic regression analysis </w:t>
      </w:r>
      <w:r w:rsidR="003B48F4" w:rsidRPr="008948E3">
        <w:rPr>
          <w:rStyle w:val="Heading2Char"/>
        </w:rPr>
        <w:t>of factors associated with AAV phenotype </w:t>
      </w:r>
      <w:r w:rsidR="003B48F4" w:rsidRPr="00A44EEF">
        <w:rPr>
          <w:rStyle w:val="Heading2Char"/>
        </w:rPr>
        <w:t>in the</w:t>
      </w:r>
      <w:r w:rsidR="003B48F4">
        <w:rPr>
          <w:rStyle w:val="Heading2Char"/>
        </w:rPr>
        <w:t xml:space="preserve"> combined</w:t>
      </w:r>
      <w:r w:rsidR="003B48F4" w:rsidRPr="00A44EEF">
        <w:rPr>
          <w:rStyle w:val="Heading2Char"/>
        </w:rPr>
        <w:t xml:space="preserve"> UKIVAS </w:t>
      </w:r>
      <w:r w:rsidR="003B48F4">
        <w:rPr>
          <w:rStyle w:val="Heading2Char"/>
        </w:rPr>
        <w:t xml:space="preserve">and RKD </w:t>
      </w:r>
      <w:r w:rsidR="003B48F4" w:rsidRPr="00A44EEF">
        <w:rPr>
          <w:rStyle w:val="Heading2Char"/>
        </w:rPr>
        <w:t>cohort</w:t>
      </w:r>
      <w:r w:rsidR="003B48F4">
        <w:rPr>
          <w:rStyle w:val="Heading2Char"/>
        </w:rPr>
        <w:t xml:space="preserve">, </w:t>
      </w:r>
      <w:r w:rsidR="003B48F4" w:rsidRPr="00106B73">
        <w:rPr>
          <w:rStyle w:val="Heading2Char"/>
          <w:b/>
          <w:bCs/>
        </w:rPr>
        <w:t xml:space="preserve">restricted to </w:t>
      </w:r>
      <w:r w:rsidR="003B48F4">
        <w:rPr>
          <w:rStyle w:val="Heading2Char"/>
          <w:b/>
          <w:bCs/>
        </w:rPr>
        <w:t>White</w:t>
      </w:r>
      <w:r w:rsidR="00076379">
        <w:rPr>
          <w:rStyle w:val="Heading2Char"/>
          <w:b/>
          <w:bCs/>
        </w:rPr>
        <w:t xml:space="preserve"> participants</w:t>
      </w:r>
      <w:r w:rsidR="003B48F4" w:rsidRPr="00106B73">
        <w:rPr>
          <w:rStyle w:val="Heading2Char"/>
          <w:b/>
          <w:bCs/>
        </w:rPr>
        <w:t xml:space="preserve"> (sensitivity analysis)</w:t>
      </w:r>
      <w:bookmarkEnd w:id="44"/>
    </w:p>
    <w:p w14:paraId="0087D464" w14:textId="77777777" w:rsidR="003B48F4" w:rsidRPr="00D772F7" w:rsidRDefault="003B48F4" w:rsidP="003B48F4">
      <w:pPr>
        <w:rPr>
          <w:rFonts w:asciiTheme="majorHAnsi" w:eastAsiaTheme="majorEastAsia" w:hAnsiTheme="majorHAnsi" w:cstheme="majorBidi"/>
          <w:color w:val="2F5496" w:themeColor="accent1" w:themeShade="BF"/>
          <w:sz w:val="26"/>
          <w:szCs w:val="26"/>
        </w:rPr>
      </w:pPr>
    </w:p>
    <w:tbl>
      <w:tblPr>
        <w:tblStyle w:val="ListTable1Light"/>
        <w:tblW w:w="15123" w:type="dxa"/>
        <w:tblInd w:w="-567" w:type="dxa"/>
        <w:tblLayout w:type="fixed"/>
        <w:tblLook w:val="04A0" w:firstRow="1" w:lastRow="0" w:firstColumn="1" w:lastColumn="0" w:noHBand="0" w:noVBand="1"/>
      </w:tblPr>
      <w:tblGrid>
        <w:gridCol w:w="2155"/>
        <w:gridCol w:w="1243"/>
        <w:gridCol w:w="1243"/>
        <w:gridCol w:w="1243"/>
        <w:gridCol w:w="1847"/>
        <w:gridCol w:w="1848"/>
        <w:gridCol w:w="1848"/>
        <w:gridCol w:w="827"/>
        <w:gridCol w:w="1021"/>
        <w:gridCol w:w="1848"/>
      </w:tblGrid>
      <w:tr w:rsidR="003E161F" w:rsidRPr="00036A46" w14:paraId="3C359E33" w14:textId="77777777" w:rsidTr="008F758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55" w:type="dxa"/>
            <w:shd w:val="clear" w:color="auto" w:fill="000000" w:themeFill="text1"/>
            <w:noWrap/>
            <w:hideMark/>
          </w:tcPr>
          <w:p w14:paraId="75EBBD3E" w14:textId="77777777" w:rsidR="003E161F" w:rsidRPr="00036A46" w:rsidRDefault="003E161F" w:rsidP="00B04E50">
            <w:pPr>
              <w:rPr>
                <w:color w:val="FFFFFF" w:themeColor="background1"/>
              </w:rPr>
            </w:pPr>
          </w:p>
        </w:tc>
        <w:tc>
          <w:tcPr>
            <w:tcW w:w="1243" w:type="dxa"/>
            <w:shd w:val="clear" w:color="auto" w:fill="000000" w:themeFill="text1"/>
            <w:noWrap/>
            <w:hideMark/>
          </w:tcPr>
          <w:p w14:paraId="6FC7E736" w14:textId="77777777" w:rsidR="003E161F" w:rsidRPr="00036A46" w:rsidRDefault="003E161F" w:rsidP="00B04E50">
            <w:pP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p>
        </w:tc>
        <w:tc>
          <w:tcPr>
            <w:tcW w:w="1243" w:type="dxa"/>
            <w:shd w:val="clear" w:color="auto" w:fill="000000" w:themeFill="text1"/>
            <w:noWrap/>
            <w:hideMark/>
          </w:tcPr>
          <w:p w14:paraId="62FDF960" w14:textId="77777777" w:rsidR="003E161F" w:rsidRDefault="003E161F" w:rsidP="00B04E5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FFFFFF" w:themeColor="background1"/>
              </w:rPr>
            </w:pPr>
            <w:r w:rsidRPr="00504F41">
              <w:rPr>
                <w:rFonts w:ascii="Calibri" w:hAnsi="Calibri" w:cs="Calibri"/>
                <w:color w:val="FFFFFF" w:themeColor="background1"/>
              </w:rPr>
              <w:t>Not MPA</w:t>
            </w:r>
          </w:p>
          <w:p w14:paraId="4454D455" w14:textId="77777777" w:rsidR="003E161F" w:rsidRPr="00504F41" w:rsidRDefault="003E161F" w:rsidP="00B04E5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rFonts w:ascii="Calibri" w:hAnsi="Calibri" w:cs="Calibri"/>
                <w:color w:val="FFFFFF" w:themeColor="background1"/>
              </w:rPr>
              <w:t>(ref)</w:t>
            </w:r>
          </w:p>
        </w:tc>
        <w:tc>
          <w:tcPr>
            <w:tcW w:w="1243" w:type="dxa"/>
            <w:shd w:val="clear" w:color="auto" w:fill="000000" w:themeFill="text1"/>
            <w:noWrap/>
            <w:hideMark/>
          </w:tcPr>
          <w:p w14:paraId="05628F68" w14:textId="77777777" w:rsidR="003E161F" w:rsidRPr="00504F41" w:rsidRDefault="003E161F" w:rsidP="00B04E50">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04F41">
              <w:rPr>
                <w:rFonts w:ascii="Calibri" w:hAnsi="Calibri" w:cs="Calibri"/>
                <w:color w:val="FFFFFF" w:themeColor="background1"/>
              </w:rPr>
              <w:t>MPA</w:t>
            </w:r>
          </w:p>
        </w:tc>
        <w:tc>
          <w:tcPr>
            <w:tcW w:w="1847" w:type="dxa"/>
            <w:shd w:val="clear" w:color="auto" w:fill="000000" w:themeFill="text1"/>
            <w:noWrap/>
            <w:hideMark/>
          </w:tcPr>
          <w:p w14:paraId="31244A0C" w14:textId="77777777" w:rsidR="003E161F" w:rsidRPr="00504F41" w:rsidRDefault="003E161F" w:rsidP="00B04E5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Pr>
                <w:rFonts w:ascii="Calibri" w:hAnsi="Calibri" w:cs="Calibri"/>
                <w:color w:val="FFFFFF" w:themeColor="background1"/>
              </w:rPr>
              <w:t>Unadjusted</w:t>
            </w:r>
          </w:p>
        </w:tc>
        <w:tc>
          <w:tcPr>
            <w:tcW w:w="1848" w:type="dxa"/>
            <w:shd w:val="clear" w:color="auto" w:fill="000000" w:themeFill="text1"/>
          </w:tcPr>
          <w:p w14:paraId="7268FA73" w14:textId="77777777" w:rsidR="003E161F" w:rsidRPr="00036A46" w:rsidRDefault="003E161F" w:rsidP="00B04E5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p>
        </w:tc>
        <w:tc>
          <w:tcPr>
            <w:tcW w:w="2675" w:type="dxa"/>
            <w:gridSpan w:val="2"/>
            <w:shd w:val="clear" w:color="auto" w:fill="000000" w:themeFill="text1"/>
            <w:noWrap/>
            <w:hideMark/>
          </w:tcPr>
          <w:p w14:paraId="583969DA" w14:textId="032C1639" w:rsidR="003E161F" w:rsidRPr="00036A46" w:rsidRDefault="00AF53FC" w:rsidP="00AF53FC">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Pr>
                <w:rFonts w:ascii="Calibri" w:hAnsi="Calibri" w:cs="Calibri"/>
                <w:color w:val="FFFFFF" w:themeColor="background1"/>
              </w:rPr>
              <w:t>Adjusted</w:t>
            </w:r>
          </w:p>
        </w:tc>
        <w:tc>
          <w:tcPr>
            <w:tcW w:w="1021" w:type="dxa"/>
            <w:shd w:val="clear" w:color="auto" w:fill="000000" w:themeFill="text1"/>
          </w:tcPr>
          <w:p w14:paraId="29962D46" w14:textId="3E8EB114" w:rsidR="003E161F" w:rsidRPr="00036A46" w:rsidRDefault="003E161F" w:rsidP="00B04E5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p>
        </w:tc>
        <w:tc>
          <w:tcPr>
            <w:tcW w:w="1848" w:type="dxa"/>
            <w:shd w:val="clear" w:color="auto" w:fill="000000" w:themeFill="text1"/>
            <w:noWrap/>
            <w:hideMark/>
          </w:tcPr>
          <w:p w14:paraId="2D9EB294" w14:textId="2081AB52" w:rsidR="003E161F" w:rsidRPr="00036A46" w:rsidRDefault="003E161F" w:rsidP="00B04E50">
            <w:pP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p>
        </w:tc>
      </w:tr>
      <w:tr w:rsidR="00C56E21" w14:paraId="3170947B" w14:textId="77777777" w:rsidTr="00FC1D1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55" w:type="dxa"/>
          </w:tcPr>
          <w:p w14:paraId="18BF7991" w14:textId="77777777" w:rsidR="00C56E21" w:rsidRPr="00036A46" w:rsidRDefault="00C56E21" w:rsidP="00C56E21">
            <w:pPr>
              <w:rPr>
                <w:sz w:val="20"/>
                <w:szCs w:val="20"/>
              </w:rPr>
            </w:pPr>
          </w:p>
        </w:tc>
        <w:tc>
          <w:tcPr>
            <w:tcW w:w="1243" w:type="dxa"/>
          </w:tcPr>
          <w:p w14:paraId="04A76C86" w14:textId="77777777" w:rsidR="00C56E21" w:rsidRDefault="00C56E21" w:rsidP="00C56E21">
            <w:pPr>
              <w:cnfStyle w:val="000000100000" w:firstRow="0" w:lastRow="0" w:firstColumn="0" w:lastColumn="0" w:oddVBand="0" w:evenVBand="0" w:oddHBand="1" w:evenHBand="0" w:firstRowFirstColumn="0" w:firstRowLastColumn="0" w:lastRowFirstColumn="0" w:lastRowLastColumn="0"/>
              <w:rPr>
                <w:sz w:val="20"/>
                <w:szCs w:val="20"/>
              </w:rPr>
            </w:pPr>
          </w:p>
        </w:tc>
        <w:tc>
          <w:tcPr>
            <w:tcW w:w="1243" w:type="dxa"/>
          </w:tcPr>
          <w:p w14:paraId="25FAFC2D" w14:textId="77777777" w:rsidR="00C56E21" w:rsidRDefault="00C56E21" w:rsidP="00C56E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243" w:type="dxa"/>
          </w:tcPr>
          <w:p w14:paraId="28A921FA" w14:textId="77777777" w:rsidR="00C56E21" w:rsidRDefault="00C56E21" w:rsidP="00C56E21">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847" w:type="dxa"/>
          </w:tcPr>
          <w:p w14:paraId="7B894AEC" w14:textId="77777777" w:rsidR="00C56E21" w:rsidRDefault="00C56E21" w:rsidP="00C56E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p>
        </w:tc>
        <w:tc>
          <w:tcPr>
            <w:tcW w:w="1848" w:type="dxa"/>
            <w:vAlign w:val="bottom"/>
          </w:tcPr>
          <w:p w14:paraId="5D0C32C9" w14:textId="29BF90B2" w:rsidR="00C56E21" w:rsidRDefault="00C56E21" w:rsidP="00C56E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9A16BC">
              <w:rPr>
                <w:rFonts w:cstheme="minorHAnsi"/>
                <w:b/>
                <w:bCs/>
                <w:color w:val="000000"/>
                <w:sz w:val="22"/>
                <w:szCs w:val="22"/>
              </w:rPr>
              <w:t>Latitude</w:t>
            </w:r>
            <w:r w:rsidRPr="009A16BC">
              <w:rPr>
                <w:rFonts w:cstheme="minorHAnsi"/>
                <w:b/>
                <w:bCs/>
                <w:color w:val="000000"/>
                <w:sz w:val="22"/>
                <w:szCs w:val="22"/>
              </w:rPr>
              <w:br/>
            </w:r>
          </w:p>
        </w:tc>
        <w:tc>
          <w:tcPr>
            <w:tcW w:w="1848" w:type="dxa"/>
          </w:tcPr>
          <w:p w14:paraId="38053298" w14:textId="351EC7D1" w:rsidR="00C56E21" w:rsidRDefault="00C56E21" w:rsidP="00C56E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9A16BC">
              <w:rPr>
                <w:rFonts w:cstheme="minorHAnsi"/>
                <w:b/>
                <w:bCs/>
                <w:color w:val="000000"/>
                <w:sz w:val="22"/>
                <w:szCs w:val="22"/>
              </w:rPr>
              <w:t>Average annual vitD-UVB</w:t>
            </w:r>
          </w:p>
        </w:tc>
        <w:tc>
          <w:tcPr>
            <w:tcW w:w="1848" w:type="dxa"/>
            <w:gridSpan w:val="2"/>
          </w:tcPr>
          <w:p w14:paraId="3A72C870" w14:textId="78E47DE1" w:rsidR="00C56E21" w:rsidRDefault="00C56E21" w:rsidP="00C56E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9A16BC">
              <w:rPr>
                <w:rFonts w:cstheme="minorHAnsi"/>
                <w:b/>
                <w:bCs/>
                <w:color w:val="000000"/>
                <w:sz w:val="22"/>
                <w:szCs w:val="22"/>
              </w:rPr>
              <w:t>Average winter vitD-UVB</w:t>
            </w:r>
          </w:p>
        </w:tc>
        <w:tc>
          <w:tcPr>
            <w:tcW w:w="1848" w:type="dxa"/>
          </w:tcPr>
          <w:p w14:paraId="608034A5" w14:textId="70BE2296" w:rsidR="00C56E21" w:rsidRDefault="00C56E21" w:rsidP="00C56E2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9A16BC">
              <w:rPr>
                <w:rFonts w:cstheme="minorHAnsi"/>
                <w:b/>
                <w:bCs/>
                <w:color w:val="000000"/>
                <w:sz w:val="22"/>
                <w:szCs w:val="22"/>
              </w:rPr>
              <w:t>CW-D-UVB at symptom onset</w:t>
            </w:r>
          </w:p>
        </w:tc>
      </w:tr>
      <w:tr w:rsidR="00C91CBA" w:rsidRPr="00C91CBA" w14:paraId="085D4729" w14:textId="77777777" w:rsidTr="00C91CBA">
        <w:trPr>
          <w:trHeight w:val="212"/>
        </w:trPr>
        <w:tc>
          <w:tcPr>
            <w:cnfStyle w:val="001000000000" w:firstRow="0" w:lastRow="0" w:firstColumn="1" w:lastColumn="0" w:oddVBand="0" w:evenVBand="0" w:oddHBand="0" w:evenHBand="0" w:firstRowFirstColumn="0" w:firstRowLastColumn="0" w:lastRowFirstColumn="0" w:lastRowLastColumn="0"/>
            <w:tcW w:w="2155" w:type="dxa"/>
            <w:shd w:val="clear" w:color="auto" w:fill="000000" w:themeFill="text1"/>
            <w:hideMark/>
          </w:tcPr>
          <w:p w14:paraId="7002DA79" w14:textId="77777777" w:rsidR="003E161F" w:rsidRPr="00C91CBA" w:rsidRDefault="003E161F" w:rsidP="003E161F">
            <w:pPr>
              <w:rPr>
                <w:color w:val="FFFFFF" w:themeColor="background1"/>
                <w:sz w:val="20"/>
                <w:szCs w:val="20"/>
              </w:rPr>
            </w:pPr>
          </w:p>
        </w:tc>
        <w:tc>
          <w:tcPr>
            <w:tcW w:w="1243" w:type="dxa"/>
            <w:shd w:val="clear" w:color="auto" w:fill="000000" w:themeFill="text1"/>
            <w:hideMark/>
          </w:tcPr>
          <w:p w14:paraId="38844CE4" w14:textId="77777777" w:rsidR="003E161F" w:rsidRPr="00C91CBA" w:rsidRDefault="003E161F" w:rsidP="003E161F">
            <w:pP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p>
        </w:tc>
        <w:tc>
          <w:tcPr>
            <w:tcW w:w="1243" w:type="dxa"/>
            <w:shd w:val="clear" w:color="auto" w:fill="000000" w:themeFill="text1"/>
          </w:tcPr>
          <w:p w14:paraId="4686A743" w14:textId="77777777" w:rsidR="003E161F" w:rsidRPr="00C91CBA" w:rsidRDefault="003E161F" w:rsidP="003E16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p>
        </w:tc>
        <w:tc>
          <w:tcPr>
            <w:tcW w:w="1243" w:type="dxa"/>
            <w:shd w:val="clear" w:color="auto" w:fill="000000" w:themeFill="text1"/>
          </w:tcPr>
          <w:p w14:paraId="36CB866A" w14:textId="77777777" w:rsidR="003E161F" w:rsidRPr="00C91CBA" w:rsidRDefault="003E161F" w:rsidP="003E16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p>
        </w:tc>
        <w:tc>
          <w:tcPr>
            <w:tcW w:w="1847" w:type="dxa"/>
            <w:shd w:val="clear" w:color="auto" w:fill="000000" w:themeFill="text1"/>
            <w:hideMark/>
          </w:tcPr>
          <w:p w14:paraId="38F05884" w14:textId="77777777" w:rsidR="003E161F" w:rsidRPr="00C91CBA"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p>
        </w:tc>
        <w:tc>
          <w:tcPr>
            <w:tcW w:w="1848" w:type="dxa"/>
            <w:shd w:val="clear" w:color="auto" w:fill="000000" w:themeFill="text1"/>
          </w:tcPr>
          <w:p w14:paraId="21C51510" w14:textId="0B07C2A6" w:rsidR="003E161F" w:rsidRPr="00C91CBA"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C91CBA">
              <w:rPr>
                <w:rFonts w:ascii="Calibri" w:hAnsi="Calibri" w:cs="Calibri"/>
                <w:b/>
                <w:bCs/>
                <w:color w:val="FFFFFF" w:themeColor="background1"/>
              </w:rPr>
              <w:t>Model 1</w:t>
            </w:r>
          </w:p>
        </w:tc>
        <w:tc>
          <w:tcPr>
            <w:tcW w:w="1848" w:type="dxa"/>
            <w:shd w:val="clear" w:color="auto" w:fill="000000" w:themeFill="text1"/>
          </w:tcPr>
          <w:p w14:paraId="778088C8" w14:textId="199459FB" w:rsidR="003E161F" w:rsidRPr="00C91CBA"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C91CBA">
              <w:rPr>
                <w:rFonts w:ascii="Calibri" w:hAnsi="Calibri" w:cs="Calibri"/>
                <w:b/>
                <w:bCs/>
                <w:color w:val="FFFFFF" w:themeColor="background1"/>
              </w:rPr>
              <w:t>Model 2</w:t>
            </w:r>
          </w:p>
        </w:tc>
        <w:tc>
          <w:tcPr>
            <w:tcW w:w="1848" w:type="dxa"/>
            <w:gridSpan w:val="2"/>
            <w:shd w:val="clear" w:color="auto" w:fill="000000" w:themeFill="text1"/>
          </w:tcPr>
          <w:p w14:paraId="0767DDDE" w14:textId="5FCC91EE" w:rsidR="003E161F" w:rsidRPr="00C91CBA"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C91CBA">
              <w:rPr>
                <w:rFonts w:ascii="Calibri" w:hAnsi="Calibri" w:cs="Calibri"/>
                <w:b/>
                <w:bCs/>
                <w:color w:val="FFFFFF" w:themeColor="background1"/>
              </w:rPr>
              <w:t>Model 3</w:t>
            </w:r>
          </w:p>
        </w:tc>
        <w:tc>
          <w:tcPr>
            <w:tcW w:w="1848" w:type="dxa"/>
            <w:shd w:val="clear" w:color="auto" w:fill="000000" w:themeFill="text1"/>
          </w:tcPr>
          <w:p w14:paraId="190C4FC7" w14:textId="67ED792C" w:rsidR="003E161F" w:rsidRPr="00C91CBA"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FFFFFF" w:themeColor="background1"/>
              </w:rPr>
            </w:pPr>
            <w:r w:rsidRPr="00C91CBA">
              <w:rPr>
                <w:rFonts w:ascii="Calibri" w:hAnsi="Calibri" w:cs="Calibri"/>
                <w:b/>
                <w:bCs/>
                <w:color w:val="FFFFFF" w:themeColor="background1"/>
              </w:rPr>
              <w:t>Model 4</w:t>
            </w:r>
          </w:p>
        </w:tc>
      </w:tr>
      <w:tr w:rsidR="003E161F" w14:paraId="7E214C68" w14:textId="77777777" w:rsidTr="008F758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55" w:type="dxa"/>
            <w:hideMark/>
          </w:tcPr>
          <w:p w14:paraId="7D7F9667" w14:textId="77777777" w:rsidR="003E161F" w:rsidRPr="00036A46" w:rsidRDefault="003E161F" w:rsidP="003E161F">
            <w:pPr>
              <w:rPr>
                <w:rFonts w:ascii="Calibri" w:hAnsi="Calibri" w:cs="Calibri"/>
                <w:color w:val="000000"/>
              </w:rPr>
            </w:pPr>
            <w:r w:rsidRPr="00036A46">
              <w:rPr>
                <w:rFonts w:ascii="Calibri" w:hAnsi="Calibri" w:cs="Calibri"/>
                <w:color w:val="000000"/>
              </w:rPr>
              <w:t>Age at diagnosis (years)</w:t>
            </w:r>
          </w:p>
        </w:tc>
        <w:tc>
          <w:tcPr>
            <w:tcW w:w="1243" w:type="dxa"/>
            <w:hideMark/>
          </w:tcPr>
          <w:p w14:paraId="22B9FB8F" w14:textId="77777777" w:rsidR="003E161F" w:rsidRDefault="003E161F" w:rsidP="003E161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Mean (SD)</w:t>
            </w:r>
          </w:p>
        </w:tc>
        <w:tc>
          <w:tcPr>
            <w:tcW w:w="1243" w:type="dxa"/>
            <w:hideMark/>
          </w:tcPr>
          <w:p w14:paraId="53F46674" w14:textId="77777777"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56.2 (14.8)</w:t>
            </w:r>
          </w:p>
        </w:tc>
        <w:tc>
          <w:tcPr>
            <w:tcW w:w="1243" w:type="dxa"/>
            <w:hideMark/>
          </w:tcPr>
          <w:p w14:paraId="620B513F" w14:textId="77777777"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64.4 (13.3)</w:t>
            </w:r>
          </w:p>
        </w:tc>
        <w:tc>
          <w:tcPr>
            <w:tcW w:w="1847" w:type="dxa"/>
            <w:hideMark/>
          </w:tcPr>
          <w:p w14:paraId="6738C74F" w14:textId="7777777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 (1.04-1.05, p&lt;0.001)</w:t>
            </w:r>
          </w:p>
        </w:tc>
        <w:tc>
          <w:tcPr>
            <w:tcW w:w="1848" w:type="dxa"/>
          </w:tcPr>
          <w:p w14:paraId="18CD40E4" w14:textId="388F9FEA"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 (1.04-1.05, p&lt;0.001)</w:t>
            </w:r>
          </w:p>
        </w:tc>
        <w:tc>
          <w:tcPr>
            <w:tcW w:w="1848" w:type="dxa"/>
          </w:tcPr>
          <w:p w14:paraId="08431159" w14:textId="464C71D6"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 (1.04-1.05, p&lt;0.001)</w:t>
            </w:r>
          </w:p>
        </w:tc>
        <w:tc>
          <w:tcPr>
            <w:tcW w:w="1848" w:type="dxa"/>
            <w:gridSpan w:val="2"/>
          </w:tcPr>
          <w:p w14:paraId="04D0163E" w14:textId="4B57698B"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 (1.04-1.05, p&lt;0.001)</w:t>
            </w:r>
          </w:p>
        </w:tc>
        <w:tc>
          <w:tcPr>
            <w:tcW w:w="1848" w:type="dxa"/>
          </w:tcPr>
          <w:p w14:paraId="0FFD292D" w14:textId="2DCF327B"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 (1.04-1.05, p&lt;0.001)</w:t>
            </w:r>
          </w:p>
        </w:tc>
      </w:tr>
      <w:tr w:rsidR="003E161F" w14:paraId="1237B105" w14:textId="77777777" w:rsidTr="008F758B">
        <w:trPr>
          <w:trHeight w:val="212"/>
        </w:trPr>
        <w:tc>
          <w:tcPr>
            <w:cnfStyle w:val="001000000000" w:firstRow="0" w:lastRow="0" w:firstColumn="1" w:lastColumn="0" w:oddVBand="0" w:evenVBand="0" w:oddHBand="0" w:evenHBand="0" w:firstRowFirstColumn="0" w:firstRowLastColumn="0" w:lastRowFirstColumn="0" w:lastRowLastColumn="0"/>
            <w:tcW w:w="2155" w:type="dxa"/>
            <w:hideMark/>
          </w:tcPr>
          <w:p w14:paraId="5E7D204D" w14:textId="45D91400" w:rsidR="003E161F" w:rsidRPr="00036A46" w:rsidRDefault="003E161F" w:rsidP="003E161F">
            <w:pPr>
              <w:rPr>
                <w:rFonts w:ascii="Calibri" w:hAnsi="Calibri" w:cs="Calibri"/>
                <w:color w:val="000000"/>
              </w:rPr>
            </w:pPr>
            <w:r w:rsidRPr="00036A46">
              <w:rPr>
                <w:rFonts w:ascii="Calibri" w:hAnsi="Calibri" w:cs="Calibri"/>
                <w:color w:val="000000"/>
              </w:rPr>
              <w:t>Gender</w:t>
            </w:r>
          </w:p>
        </w:tc>
        <w:tc>
          <w:tcPr>
            <w:tcW w:w="1243" w:type="dxa"/>
            <w:hideMark/>
          </w:tcPr>
          <w:p w14:paraId="014D00D2" w14:textId="77777777" w:rsidR="003E161F" w:rsidRDefault="003E161F" w:rsidP="003E161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Female</w:t>
            </w:r>
          </w:p>
        </w:tc>
        <w:tc>
          <w:tcPr>
            <w:tcW w:w="1243" w:type="dxa"/>
            <w:hideMark/>
          </w:tcPr>
          <w:p w14:paraId="02251969" w14:textId="77777777" w:rsidR="003E161F" w:rsidRDefault="003E161F" w:rsidP="003E16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639 (64.4)</w:t>
            </w:r>
          </w:p>
        </w:tc>
        <w:tc>
          <w:tcPr>
            <w:tcW w:w="1243" w:type="dxa"/>
            <w:hideMark/>
          </w:tcPr>
          <w:p w14:paraId="644C8F8F" w14:textId="77777777" w:rsidR="003E161F" w:rsidRDefault="003E161F" w:rsidP="003E16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354 (35.6)</w:t>
            </w:r>
          </w:p>
        </w:tc>
        <w:tc>
          <w:tcPr>
            <w:tcW w:w="1847" w:type="dxa"/>
            <w:hideMark/>
          </w:tcPr>
          <w:p w14:paraId="682C520D" w14:textId="77777777"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5B08BCB5" w14:textId="78F693C5"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075499F0" w14:textId="330EBBFB"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848" w:type="dxa"/>
            <w:gridSpan w:val="2"/>
          </w:tcPr>
          <w:p w14:paraId="6B163155" w14:textId="0A4D7702"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53A23E2A" w14:textId="00D05BD3"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r>
      <w:tr w:rsidR="003E161F" w14:paraId="62C66140" w14:textId="77777777" w:rsidTr="008F758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55" w:type="dxa"/>
            <w:hideMark/>
          </w:tcPr>
          <w:p w14:paraId="7D8EC589" w14:textId="77777777" w:rsidR="003E161F" w:rsidRPr="00036A46" w:rsidRDefault="003E161F" w:rsidP="003E161F">
            <w:pPr>
              <w:jc w:val="center"/>
              <w:rPr>
                <w:rFonts w:ascii="Calibri" w:hAnsi="Calibri" w:cs="Calibri"/>
                <w:color w:val="000000"/>
              </w:rPr>
            </w:pPr>
          </w:p>
        </w:tc>
        <w:tc>
          <w:tcPr>
            <w:tcW w:w="1243" w:type="dxa"/>
            <w:hideMark/>
          </w:tcPr>
          <w:p w14:paraId="693D05DD" w14:textId="77777777" w:rsidR="003E161F" w:rsidRDefault="003E161F" w:rsidP="003E161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Male</w:t>
            </w:r>
          </w:p>
        </w:tc>
        <w:tc>
          <w:tcPr>
            <w:tcW w:w="1243" w:type="dxa"/>
            <w:hideMark/>
          </w:tcPr>
          <w:p w14:paraId="6516DB1B" w14:textId="77777777"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776 (67.5)</w:t>
            </w:r>
          </w:p>
        </w:tc>
        <w:tc>
          <w:tcPr>
            <w:tcW w:w="1243" w:type="dxa"/>
            <w:hideMark/>
          </w:tcPr>
          <w:p w14:paraId="38E08342" w14:textId="77777777"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374 (32.5)</w:t>
            </w:r>
          </w:p>
        </w:tc>
        <w:tc>
          <w:tcPr>
            <w:tcW w:w="1847" w:type="dxa"/>
            <w:hideMark/>
          </w:tcPr>
          <w:p w14:paraId="18185CC3" w14:textId="7777777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0.87 (0.73-1.04, p=0.127)</w:t>
            </w:r>
          </w:p>
        </w:tc>
        <w:tc>
          <w:tcPr>
            <w:tcW w:w="1848" w:type="dxa"/>
          </w:tcPr>
          <w:p w14:paraId="7CE151B4" w14:textId="268FDC83"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 (0.74-1.08, p=0.246)</w:t>
            </w:r>
          </w:p>
        </w:tc>
        <w:tc>
          <w:tcPr>
            <w:tcW w:w="1848" w:type="dxa"/>
          </w:tcPr>
          <w:p w14:paraId="79AB59E3" w14:textId="7DB8075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 (0.74-1.08, p=0.243)</w:t>
            </w:r>
          </w:p>
        </w:tc>
        <w:tc>
          <w:tcPr>
            <w:tcW w:w="1848" w:type="dxa"/>
            <w:gridSpan w:val="2"/>
          </w:tcPr>
          <w:p w14:paraId="1CC4AF9C" w14:textId="249EA69E"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 (0.74-1.08, p=0.246)</w:t>
            </w:r>
          </w:p>
        </w:tc>
        <w:tc>
          <w:tcPr>
            <w:tcW w:w="1848" w:type="dxa"/>
          </w:tcPr>
          <w:p w14:paraId="3DA44A62" w14:textId="545F5789"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0.89 (0.74-1.08, p=0.241)</w:t>
            </w:r>
          </w:p>
        </w:tc>
      </w:tr>
      <w:tr w:rsidR="003E161F" w14:paraId="57D0DCE4" w14:textId="77777777" w:rsidTr="008F758B">
        <w:trPr>
          <w:trHeight w:val="212"/>
        </w:trPr>
        <w:tc>
          <w:tcPr>
            <w:cnfStyle w:val="001000000000" w:firstRow="0" w:lastRow="0" w:firstColumn="1" w:lastColumn="0" w:oddVBand="0" w:evenVBand="0" w:oddHBand="0" w:evenHBand="0" w:firstRowFirstColumn="0" w:firstRowLastColumn="0" w:lastRowFirstColumn="0" w:lastRowLastColumn="0"/>
            <w:tcW w:w="2155" w:type="dxa"/>
            <w:hideMark/>
          </w:tcPr>
          <w:p w14:paraId="6F8DB14F" w14:textId="77777777" w:rsidR="003E161F" w:rsidRPr="00036A46" w:rsidRDefault="003E161F" w:rsidP="003E161F">
            <w:pPr>
              <w:rPr>
                <w:rFonts w:ascii="Calibri" w:hAnsi="Calibri" w:cs="Calibri"/>
                <w:color w:val="000000"/>
              </w:rPr>
            </w:pPr>
            <w:r w:rsidRPr="00036A46">
              <w:rPr>
                <w:rFonts w:ascii="Calibri" w:hAnsi="Calibri" w:cs="Calibri"/>
                <w:color w:val="000000"/>
              </w:rPr>
              <w:t>Latitude (degrees)</w:t>
            </w:r>
          </w:p>
        </w:tc>
        <w:tc>
          <w:tcPr>
            <w:tcW w:w="1243" w:type="dxa"/>
            <w:hideMark/>
          </w:tcPr>
          <w:p w14:paraId="29D81478" w14:textId="77777777" w:rsidR="003E161F" w:rsidRDefault="003E161F" w:rsidP="003E161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Mean (SD)</w:t>
            </w:r>
          </w:p>
        </w:tc>
        <w:tc>
          <w:tcPr>
            <w:tcW w:w="1243" w:type="dxa"/>
            <w:hideMark/>
          </w:tcPr>
          <w:p w14:paraId="6196014E" w14:textId="77777777" w:rsidR="003E161F" w:rsidRDefault="003E161F" w:rsidP="003E16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52.8 (1.6)</w:t>
            </w:r>
          </w:p>
        </w:tc>
        <w:tc>
          <w:tcPr>
            <w:tcW w:w="1243" w:type="dxa"/>
            <w:hideMark/>
          </w:tcPr>
          <w:p w14:paraId="52BCF2A3" w14:textId="77777777" w:rsidR="003E161F" w:rsidRDefault="003E161F" w:rsidP="003E16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52.7 (1.5)</w:t>
            </w:r>
          </w:p>
        </w:tc>
        <w:tc>
          <w:tcPr>
            <w:tcW w:w="1847" w:type="dxa"/>
            <w:hideMark/>
          </w:tcPr>
          <w:p w14:paraId="35B5473C" w14:textId="77777777"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0.97 (0.92-1.03, p=0.297)</w:t>
            </w:r>
          </w:p>
        </w:tc>
        <w:tc>
          <w:tcPr>
            <w:tcW w:w="1848" w:type="dxa"/>
          </w:tcPr>
          <w:p w14:paraId="00ACC4B6" w14:textId="780B4F73"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0.98 (0.93-1.04, p=0.587)</w:t>
            </w:r>
          </w:p>
        </w:tc>
        <w:tc>
          <w:tcPr>
            <w:tcW w:w="1848" w:type="dxa"/>
          </w:tcPr>
          <w:p w14:paraId="067A917B" w14:textId="74D80F6B"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848" w:type="dxa"/>
            <w:gridSpan w:val="2"/>
          </w:tcPr>
          <w:p w14:paraId="66083EBB" w14:textId="2524B39B"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272BD681" w14:textId="68AE1136"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r>
      <w:tr w:rsidR="003E161F" w14:paraId="3C6178D6" w14:textId="77777777" w:rsidTr="008F758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55" w:type="dxa"/>
          </w:tcPr>
          <w:p w14:paraId="21DD0C43" w14:textId="2DB30DF3" w:rsidR="003E161F" w:rsidRPr="00036A46" w:rsidRDefault="003E161F" w:rsidP="003E161F">
            <w:pPr>
              <w:rPr>
                <w:rFonts w:ascii="Calibri" w:hAnsi="Calibri" w:cs="Calibri"/>
                <w:color w:val="000000"/>
              </w:rPr>
            </w:pPr>
            <w:r>
              <w:rPr>
                <w:rFonts w:ascii="Calibri" w:hAnsi="Calibri" w:cs="Calibri"/>
                <w:color w:val="000000"/>
              </w:rPr>
              <w:t>Average annual vitD-UVB (kJ/m2)</w:t>
            </w:r>
          </w:p>
        </w:tc>
        <w:tc>
          <w:tcPr>
            <w:tcW w:w="1243" w:type="dxa"/>
          </w:tcPr>
          <w:p w14:paraId="382C39BC" w14:textId="0FECE8B4" w:rsidR="003E161F" w:rsidRDefault="003E161F" w:rsidP="003E161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Mean (SD)</w:t>
            </w:r>
          </w:p>
        </w:tc>
        <w:tc>
          <w:tcPr>
            <w:tcW w:w="1243" w:type="dxa"/>
            <w:vAlign w:val="bottom"/>
          </w:tcPr>
          <w:p w14:paraId="13AFC182" w14:textId="69D9CC19"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 (0.2)</w:t>
            </w:r>
          </w:p>
        </w:tc>
        <w:tc>
          <w:tcPr>
            <w:tcW w:w="1243" w:type="dxa"/>
            <w:vAlign w:val="bottom"/>
          </w:tcPr>
          <w:p w14:paraId="589F5465" w14:textId="5712CA23"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 (0.2)</w:t>
            </w:r>
          </w:p>
        </w:tc>
        <w:tc>
          <w:tcPr>
            <w:tcW w:w="1847" w:type="dxa"/>
          </w:tcPr>
          <w:p w14:paraId="73757B0F" w14:textId="15E76E95"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1.16 (0.78-1.72, p0.470)</w:t>
            </w:r>
          </w:p>
        </w:tc>
        <w:tc>
          <w:tcPr>
            <w:tcW w:w="1848" w:type="dxa"/>
          </w:tcPr>
          <w:p w14:paraId="4A01C7A2" w14:textId="7777777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848" w:type="dxa"/>
          </w:tcPr>
          <w:p w14:paraId="7CFEDC84" w14:textId="17FE8454"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1.05 (0.70-1.59, p=0.801)</w:t>
            </w:r>
          </w:p>
        </w:tc>
        <w:tc>
          <w:tcPr>
            <w:tcW w:w="1848" w:type="dxa"/>
            <w:gridSpan w:val="2"/>
          </w:tcPr>
          <w:p w14:paraId="433AFF66" w14:textId="7777777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848" w:type="dxa"/>
          </w:tcPr>
          <w:p w14:paraId="4964D58E" w14:textId="4AB47A5E"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3E161F" w14:paraId="2FB6BF3D" w14:textId="77777777" w:rsidTr="008F758B">
        <w:trPr>
          <w:trHeight w:val="212"/>
        </w:trPr>
        <w:tc>
          <w:tcPr>
            <w:cnfStyle w:val="001000000000" w:firstRow="0" w:lastRow="0" w:firstColumn="1" w:lastColumn="0" w:oddVBand="0" w:evenVBand="0" w:oddHBand="0" w:evenHBand="0" w:firstRowFirstColumn="0" w:firstRowLastColumn="0" w:lastRowFirstColumn="0" w:lastRowLastColumn="0"/>
            <w:tcW w:w="2155" w:type="dxa"/>
          </w:tcPr>
          <w:p w14:paraId="74D92B5B" w14:textId="64A57C0C" w:rsidR="003E161F" w:rsidRPr="00036A46" w:rsidRDefault="003E161F" w:rsidP="003E161F">
            <w:pPr>
              <w:rPr>
                <w:rFonts w:ascii="Calibri" w:hAnsi="Calibri" w:cs="Calibri"/>
                <w:color w:val="000000"/>
              </w:rPr>
            </w:pPr>
            <w:r>
              <w:rPr>
                <w:rFonts w:ascii="Calibri" w:hAnsi="Calibri" w:cs="Calibri"/>
                <w:color w:val="000000"/>
              </w:rPr>
              <w:t>Average winter vitD-UVB (10kJ/m2)</w:t>
            </w:r>
          </w:p>
        </w:tc>
        <w:tc>
          <w:tcPr>
            <w:tcW w:w="1243" w:type="dxa"/>
          </w:tcPr>
          <w:p w14:paraId="4A613081" w14:textId="4010BEF4" w:rsidR="003E161F" w:rsidRDefault="003E161F" w:rsidP="003E161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Mean (SD)</w:t>
            </w:r>
          </w:p>
        </w:tc>
        <w:tc>
          <w:tcPr>
            <w:tcW w:w="1243" w:type="dxa"/>
            <w:vAlign w:val="bottom"/>
          </w:tcPr>
          <w:p w14:paraId="0D8EABBE" w14:textId="4C81B2E9" w:rsidR="003E161F" w:rsidRDefault="003E161F" w:rsidP="003E161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1.8 (0.4)</w:t>
            </w:r>
            <w:r>
              <w:rPr>
                <w:rFonts w:cstheme="minorHAnsi"/>
                <w:color w:val="000000"/>
              </w:rPr>
              <w:br/>
            </w:r>
          </w:p>
        </w:tc>
        <w:tc>
          <w:tcPr>
            <w:tcW w:w="1243" w:type="dxa"/>
            <w:vAlign w:val="bottom"/>
          </w:tcPr>
          <w:p w14:paraId="355F5A90" w14:textId="26B9789A" w:rsidR="003E161F" w:rsidRDefault="003E161F" w:rsidP="003E161F">
            <w:pPr>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1.9 (0.3)</w:t>
            </w:r>
            <w:r>
              <w:rPr>
                <w:rFonts w:cstheme="minorHAnsi"/>
                <w:color w:val="000000"/>
              </w:rPr>
              <w:br/>
            </w:r>
          </w:p>
        </w:tc>
        <w:tc>
          <w:tcPr>
            <w:tcW w:w="1847" w:type="dxa"/>
          </w:tcPr>
          <w:p w14:paraId="2622052E" w14:textId="7914674D"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1.14 (0.89-1.47, p=0.312)</w:t>
            </w:r>
          </w:p>
        </w:tc>
        <w:tc>
          <w:tcPr>
            <w:tcW w:w="1848" w:type="dxa"/>
          </w:tcPr>
          <w:p w14:paraId="683C49DA" w14:textId="64F3E204"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022D7867" w14:textId="1FD479AE"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848" w:type="dxa"/>
            <w:gridSpan w:val="2"/>
          </w:tcPr>
          <w:p w14:paraId="6ECA8B5E" w14:textId="65723DE5"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1.07 (0.82-1.39, p=0.624)</w:t>
            </w:r>
          </w:p>
        </w:tc>
        <w:tc>
          <w:tcPr>
            <w:tcW w:w="1848" w:type="dxa"/>
          </w:tcPr>
          <w:p w14:paraId="6B5179B3" w14:textId="78D7463D"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t>
            </w:r>
          </w:p>
        </w:tc>
      </w:tr>
      <w:tr w:rsidR="003E161F" w14:paraId="5D3DA62A" w14:textId="77777777" w:rsidTr="008F758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55" w:type="dxa"/>
          </w:tcPr>
          <w:p w14:paraId="4E5D23FB" w14:textId="77777777" w:rsidR="003E161F" w:rsidRPr="00036A46" w:rsidRDefault="003E161F" w:rsidP="003E161F">
            <w:pPr>
              <w:rPr>
                <w:rFonts w:ascii="Calibri" w:hAnsi="Calibri" w:cs="Calibri"/>
                <w:color w:val="000000"/>
              </w:rPr>
            </w:pPr>
            <w:r w:rsidRPr="00036A46">
              <w:rPr>
                <w:rFonts w:ascii="Calibri" w:hAnsi="Calibri" w:cs="Calibri"/>
                <w:color w:val="000000"/>
              </w:rPr>
              <w:t>C</w:t>
            </w:r>
            <w:r>
              <w:rPr>
                <w:rFonts w:ascii="Calibri" w:hAnsi="Calibri" w:cs="Calibri"/>
                <w:color w:val="000000"/>
              </w:rPr>
              <w:t>W</w:t>
            </w:r>
            <w:r w:rsidRPr="00036A46">
              <w:rPr>
                <w:rFonts w:ascii="Calibri" w:hAnsi="Calibri" w:cs="Calibri"/>
                <w:color w:val="000000"/>
              </w:rPr>
              <w:t>-D-UVB (J/m2)</w:t>
            </w:r>
          </w:p>
        </w:tc>
        <w:tc>
          <w:tcPr>
            <w:tcW w:w="1243" w:type="dxa"/>
          </w:tcPr>
          <w:p w14:paraId="663A37C3" w14:textId="77777777" w:rsidR="003E161F" w:rsidRDefault="003E161F" w:rsidP="003E161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color w:val="000000"/>
              </w:rPr>
              <w:t>Mean (SD)</w:t>
            </w:r>
          </w:p>
        </w:tc>
        <w:tc>
          <w:tcPr>
            <w:tcW w:w="1243" w:type="dxa"/>
            <w:vAlign w:val="bottom"/>
          </w:tcPr>
          <w:p w14:paraId="627A1D0A" w14:textId="77777777"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color w:val="000000"/>
              </w:rPr>
              <w:t>0.1 (0.1)</w:t>
            </w:r>
            <w:r>
              <w:rPr>
                <w:rFonts w:cstheme="minorHAnsi"/>
                <w:color w:val="000000"/>
              </w:rPr>
              <w:br/>
            </w:r>
          </w:p>
        </w:tc>
        <w:tc>
          <w:tcPr>
            <w:tcW w:w="1243" w:type="dxa"/>
            <w:vAlign w:val="bottom"/>
          </w:tcPr>
          <w:p w14:paraId="01B8E360" w14:textId="77777777" w:rsidR="003E161F" w:rsidRDefault="003E161F" w:rsidP="003E161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cstheme="minorHAnsi"/>
                <w:color w:val="000000"/>
              </w:rPr>
              <w:t>0.1 (0.1)</w:t>
            </w:r>
            <w:r>
              <w:rPr>
                <w:rFonts w:cstheme="minorHAnsi"/>
                <w:color w:val="000000"/>
              </w:rPr>
              <w:br/>
            </w:r>
          </w:p>
        </w:tc>
        <w:tc>
          <w:tcPr>
            <w:tcW w:w="1847" w:type="dxa"/>
          </w:tcPr>
          <w:p w14:paraId="2CF78C14" w14:textId="7777777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0.52 (0.16-1.70, p=0.279)</w:t>
            </w:r>
          </w:p>
        </w:tc>
        <w:tc>
          <w:tcPr>
            <w:tcW w:w="1848" w:type="dxa"/>
          </w:tcPr>
          <w:p w14:paraId="49D8490F" w14:textId="7B329B60"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2FC5A992" w14:textId="354CBACA"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c>
          <w:tcPr>
            <w:tcW w:w="1848" w:type="dxa"/>
            <w:gridSpan w:val="2"/>
          </w:tcPr>
          <w:p w14:paraId="22007336" w14:textId="77777777"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p>
        </w:tc>
        <w:tc>
          <w:tcPr>
            <w:tcW w:w="1848" w:type="dxa"/>
          </w:tcPr>
          <w:p w14:paraId="06509A57" w14:textId="75AE9B80" w:rsidR="003E161F" w:rsidRDefault="003E161F" w:rsidP="003E161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0.61 (0.18-2.10, p=0.438)</w:t>
            </w:r>
          </w:p>
        </w:tc>
      </w:tr>
      <w:tr w:rsidR="003E161F" w14:paraId="1DC9F7F6" w14:textId="77777777" w:rsidTr="008F758B">
        <w:trPr>
          <w:trHeight w:val="212"/>
        </w:trPr>
        <w:tc>
          <w:tcPr>
            <w:cnfStyle w:val="001000000000" w:firstRow="0" w:lastRow="0" w:firstColumn="1" w:lastColumn="0" w:oddVBand="0" w:evenVBand="0" w:oddHBand="0" w:evenHBand="0" w:firstRowFirstColumn="0" w:firstRowLastColumn="0" w:lastRowFirstColumn="0" w:lastRowLastColumn="0"/>
            <w:tcW w:w="2155" w:type="dxa"/>
            <w:tcBorders>
              <w:bottom w:val="single" w:sz="4" w:space="0" w:color="auto"/>
            </w:tcBorders>
            <w:hideMark/>
          </w:tcPr>
          <w:p w14:paraId="41D81854" w14:textId="77777777" w:rsidR="003E161F" w:rsidRPr="00036A46" w:rsidRDefault="003E161F" w:rsidP="003E161F">
            <w:pPr>
              <w:rPr>
                <w:rFonts w:ascii="Calibri" w:hAnsi="Calibri" w:cs="Calibri"/>
                <w:color w:val="000000"/>
              </w:rPr>
            </w:pPr>
            <w:r w:rsidRPr="00036A46">
              <w:rPr>
                <w:rFonts w:ascii="Calibri" w:hAnsi="Calibri" w:cs="Calibri"/>
                <w:color w:val="000000"/>
              </w:rPr>
              <w:t>AIC</w:t>
            </w:r>
          </w:p>
        </w:tc>
        <w:tc>
          <w:tcPr>
            <w:tcW w:w="1243" w:type="dxa"/>
            <w:tcBorders>
              <w:bottom w:val="single" w:sz="4" w:space="0" w:color="auto"/>
            </w:tcBorders>
            <w:noWrap/>
            <w:hideMark/>
          </w:tcPr>
          <w:p w14:paraId="1A2A2F8D" w14:textId="77777777" w:rsidR="003E161F" w:rsidRDefault="003E161F" w:rsidP="003E161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w:t>
            </w:r>
          </w:p>
        </w:tc>
        <w:tc>
          <w:tcPr>
            <w:tcW w:w="1243" w:type="dxa"/>
            <w:tcBorders>
              <w:bottom w:val="single" w:sz="4" w:space="0" w:color="auto"/>
            </w:tcBorders>
            <w:noWrap/>
            <w:hideMark/>
          </w:tcPr>
          <w:p w14:paraId="5F6EF050" w14:textId="77777777" w:rsidR="003E161F" w:rsidRDefault="003E161F" w:rsidP="003E161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w:t>
            </w:r>
          </w:p>
        </w:tc>
        <w:tc>
          <w:tcPr>
            <w:tcW w:w="1243" w:type="dxa"/>
            <w:tcBorders>
              <w:bottom w:val="single" w:sz="4" w:space="0" w:color="auto"/>
            </w:tcBorders>
            <w:noWrap/>
            <w:hideMark/>
          </w:tcPr>
          <w:p w14:paraId="3E0620D4" w14:textId="77777777" w:rsidR="003E161F" w:rsidRDefault="003E161F" w:rsidP="003E161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w:t>
            </w:r>
          </w:p>
        </w:tc>
        <w:tc>
          <w:tcPr>
            <w:tcW w:w="1847" w:type="dxa"/>
            <w:tcBorders>
              <w:bottom w:val="single" w:sz="4" w:space="0" w:color="auto"/>
            </w:tcBorders>
            <w:noWrap/>
            <w:hideMark/>
          </w:tcPr>
          <w:p w14:paraId="0C2630D9" w14:textId="77777777"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848" w:type="dxa"/>
            <w:tcBorders>
              <w:bottom w:val="single" w:sz="4" w:space="0" w:color="auto"/>
            </w:tcBorders>
          </w:tcPr>
          <w:p w14:paraId="4F83C553" w14:textId="216E3BEE"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2589.7</w:t>
            </w:r>
          </w:p>
        </w:tc>
        <w:tc>
          <w:tcPr>
            <w:tcW w:w="1848" w:type="dxa"/>
            <w:tcBorders>
              <w:bottom w:val="single" w:sz="4" w:space="0" w:color="auto"/>
            </w:tcBorders>
            <w:noWrap/>
          </w:tcPr>
          <w:p w14:paraId="302CA16A" w14:textId="25B658ED"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2590</w:t>
            </w:r>
          </w:p>
        </w:tc>
        <w:tc>
          <w:tcPr>
            <w:tcW w:w="1848" w:type="dxa"/>
            <w:gridSpan w:val="2"/>
            <w:tcBorders>
              <w:bottom w:val="single" w:sz="4" w:space="0" w:color="auto"/>
            </w:tcBorders>
          </w:tcPr>
          <w:p w14:paraId="58DF9F1A" w14:textId="285D26A9" w:rsidR="003E161F" w:rsidRDefault="003704F3"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2590</w:t>
            </w:r>
          </w:p>
        </w:tc>
        <w:tc>
          <w:tcPr>
            <w:tcW w:w="1848" w:type="dxa"/>
            <w:tcBorders>
              <w:bottom w:val="single" w:sz="4" w:space="0" w:color="auto"/>
            </w:tcBorders>
            <w:noWrap/>
          </w:tcPr>
          <w:p w14:paraId="3B393C45" w14:textId="043D41EB" w:rsidR="003E161F" w:rsidRDefault="003E161F" w:rsidP="003E16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2591.4</w:t>
            </w:r>
          </w:p>
        </w:tc>
      </w:tr>
    </w:tbl>
    <w:p w14:paraId="24141A40" w14:textId="76E5548E" w:rsidR="003B48F4" w:rsidRDefault="003B48F4" w:rsidP="003B48F4">
      <w:pPr>
        <w:rPr>
          <w:rFonts w:ascii="Calibri" w:hAnsi="Calibri" w:cs="Calibri"/>
          <w:color w:val="000000"/>
          <w:sz w:val="20"/>
          <w:szCs w:val="20"/>
        </w:rPr>
      </w:pPr>
      <w:r w:rsidRPr="0070219F">
        <w:rPr>
          <w:rFonts w:ascii="Calibri" w:hAnsi="Calibri" w:cs="Calibri"/>
          <w:color w:val="000000"/>
          <w:sz w:val="20"/>
          <w:szCs w:val="20"/>
        </w:rPr>
        <w:t>Note: OR (95% CI, p)</w:t>
      </w:r>
      <w:r w:rsidR="008F758B">
        <w:rPr>
          <w:rFonts w:ascii="Calibri" w:hAnsi="Calibri" w:cs="Calibri"/>
          <w:color w:val="000000"/>
          <w:sz w:val="20"/>
          <w:szCs w:val="20"/>
        </w:rPr>
        <w:t>. Observations = 2142 (1 missing age).</w:t>
      </w:r>
      <w:r w:rsidR="003A70AD">
        <w:rPr>
          <w:rFonts w:ascii="Calibri" w:hAnsi="Calibri" w:cs="Calibri"/>
          <w:color w:val="000000"/>
          <w:sz w:val="20"/>
          <w:szCs w:val="20"/>
        </w:rPr>
        <w:t xml:space="preserve"> </w:t>
      </w:r>
      <w:r w:rsidRPr="0070219F">
        <w:rPr>
          <w:rFonts w:ascii="Calibri" w:hAnsi="Calibri" w:cs="Calibri"/>
          <w:color w:val="000000"/>
          <w:sz w:val="20"/>
          <w:szCs w:val="20"/>
        </w:rPr>
        <w:t>The OR refers to the probability of having MPA-AAV (ref: not MPA) at diagnosis</w:t>
      </w:r>
      <w:r w:rsidR="003A70AD">
        <w:rPr>
          <w:rFonts w:ascii="Calibri" w:hAnsi="Calibri" w:cs="Calibri"/>
          <w:color w:val="000000"/>
          <w:sz w:val="20"/>
          <w:szCs w:val="20"/>
        </w:rPr>
        <w:t>.</w:t>
      </w:r>
    </w:p>
    <w:p w14:paraId="61336207" w14:textId="6F8C1905" w:rsidR="003A70AD" w:rsidRDefault="003A70AD" w:rsidP="003A70AD">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1</w:t>
      </w:r>
      <w:r w:rsidRPr="79D24161">
        <w:rPr>
          <w:rFonts w:ascii="Calibri" w:hAnsi="Calibri" w:cs="Calibri"/>
          <w:color w:val="000000" w:themeColor="text1"/>
          <w:sz w:val="20"/>
          <w:szCs w:val="20"/>
        </w:rPr>
        <w:t xml:space="preserve"> investigates the effect of </w:t>
      </w:r>
      <w:r w:rsidRPr="79D24161">
        <w:rPr>
          <w:rFonts w:ascii="Calibri" w:hAnsi="Calibri" w:cs="Calibri"/>
          <w:b/>
          <w:color w:val="000000" w:themeColor="text1"/>
          <w:sz w:val="20"/>
          <w:szCs w:val="20"/>
        </w:rPr>
        <w:t>latitude</w:t>
      </w:r>
      <w:r w:rsidRPr="79D24161">
        <w:rPr>
          <w:rFonts w:ascii="Calibri" w:hAnsi="Calibri" w:cs="Calibri"/>
          <w:color w:val="000000" w:themeColor="text1"/>
          <w:sz w:val="20"/>
          <w:szCs w:val="20"/>
        </w:rPr>
        <w:t>, adjusted for age at diagnosis</w:t>
      </w:r>
      <w:r w:rsidR="00201872">
        <w:rPr>
          <w:rFonts w:ascii="Calibri" w:hAnsi="Calibri" w:cs="Calibri"/>
          <w:color w:val="000000" w:themeColor="text1"/>
          <w:sz w:val="20"/>
          <w:szCs w:val="20"/>
        </w:rPr>
        <w:t xml:space="preserve"> and </w:t>
      </w:r>
      <w:r>
        <w:rPr>
          <w:rFonts w:ascii="Calibri" w:hAnsi="Calibri" w:cs="Calibri"/>
          <w:color w:val="000000" w:themeColor="text1"/>
          <w:sz w:val="20"/>
          <w:szCs w:val="20"/>
        </w:rPr>
        <w:t>gender</w:t>
      </w:r>
      <w:r w:rsidR="00201872">
        <w:rPr>
          <w:rFonts w:ascii="Calibri" w:hAnsi="Calibri" w:cs="Calibri"/>
          <w:color w:val="000000" w:themeColor="text1"/>
          <w:sz w:val="20"/>
          <w:szCs w:val="20"/>
        </w:rPr>
        <w:t>.</w:t>
      </w:r>
    </w:p>
    <w:p w14:paraId="0B448269" w14:textId="2207CB6B" w:rsidR="003A70AD" w:rsidRDefault="003A70AD" w:rsidP="003A70AD">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2</w:t>
      </w:r>
      <w:r w:rsidRPr="79D24161">
        <w:rPr>
          <w:rFonts w:ascii="Calibri" w:hAnsi="Calibri" w:cs="Calibri"/>
          <w:color w:val="000000" w:themeColor="text1"/>
          <w:sz w:val="20"/>
          <w:szCs w:val="20"/>
        </w:rPr>
        <w:t xml:space="preserve"> investigates the effect of </w:t>
      </w:r>
      <w:r>
        <w:rPr>
          <w:rFonts w:ascii="Calibri" w:hAnsi="Calibri" w:cs="Calibri"/>
          <w:b/>
          <w:color w:val="000000" w:themeColor="text1"/>
          <w:sz w:val="20"/>
          <w:szCs w:val="20"/>
        </w:rPr>
        <w:t>average annual vitD-UVB,</w:t>
      </w:r>
      <w:r w:rsidRPr="79D24161">
        <w:rPr>
          <w:rFonts w:ascii="Calibri" w:hAnsi="Calibri" w:cs="Calibri"/>
          <w:color w:val="000000" w:themeColor="text1"/>
          <w:sz w:val="20"/>
          <w:szCs w:val="20"/>
        </w:rPr>
        <w:t xml:space="preserve"> adjusted for age at diagnosis</w:t>
      </w:r>
      <w:r w:rsidR="00201872">
        <w:rPr>
          <w:rFonts w:ascii="Calibri" w:hAnsi="Calibri" w:cs="Calibri"/>
          <w:color w:val="000000" w:themeColor="text1"/>
          <w:sz w:val="20"/>
          <w:szCs w:val="20"/>
        </w:rPr>
        <w:t xml:space="preserve"> and </w:t>
      </w:r>
      <w:r>
        <w:rPr>
          <w:rFonts w:ascii="Calibri" w:hAnsi="Calibri" w:cs="Calibri"/>
          <w:color w:val="000000" w:themeColor="text1"/>
          <w:sz w:val="20"/>
          <w:szCs w:val="20"/>
        </w:rPr>
        <w:t>gender</w:t>
      </w:r>
      <w:r w:rsidR="00201872">
        <w:rPr>
          <w:rFonts w:ascii="Calibri" w:hAnsi="Calibri" w:cs="Calibri"/>
          <w:color w:val="000000" w:themeColor="text1"/>
          <w:sz w:val="20"/>
          <w:szCs w:val="20"/>
        </w:rPr>
        <w:t>.</w:t>
      </w:r>
    </w:p>
    <w:p w14:paraId="5E4B9DC8" w14:textId="478BF3D9" w:rsidR="003A70AD" w:rsidRDefault="003A70AD" w:rsidP="003A70AD">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3</w:t>
      </w:r>
      <w:r w:rsidRPr="79D24161">
        <w:rPr>
          <w:rFonts w:ascii="Calibri" w:hAnsi="Calibri" w:cs="Calibri"/>
          <w:color w:val="000000" w:themeColor="text1"/>
          <w:sz w:val="20"/>
          <w:szCs w:val="20"/>
        </w:rPr>
        <w:t xml:space="preserve"> investigates the effect of </w:t>
      </w:r>
      <w:r>
        <w:rPr>
          <w:rFonts w:ascii="Calibri" w:hAnsi="Calibri" w:cs="Calibri"/>
          <w:b/>
          <w:color w:val="000000" w:themeColor="text1"/>
          <w:sz w:val="20"/>
          <w:szCs w:val="20"/>
        </w:rPr>
        <w:t>average winter (Dec-Feb) vitD-UVB (2004-2019),</w:t>
      </w:r>
      <w:r w:rsidRPr="79D24161">
        <w:rPr>
          <w:rFonts w:ascii="Calibri" w:hAnsi="Calibri" w:cs="Calibri"/>
          <w:color w:val="000000" w:themeColor="text1"/>
          <w:sz w:val="20"/>
          <w:szCs w:val="20"/>
        </w:rPr>
        <w:t xml:space="preserve"> adjusted for age at diagnosis</w:t>
      </w:r>
      <w:r w:rsidR="00201872">
        <w:rPr>
          <w:rFonts w:ascii="Calibri" w:hAnsi="Calibri" w:cs="Calibri"/>
          <w:color w:val="000000" w:themeColor="text1"/>
          <w:sz w:val="20"/>
          <w:szCs w:val="20"/>
        </w:rPr>
        <w:t xml:space="preserve"> and </w:t>
      </w:r>
      <w:r>
        <w:rPr>
          <w:rFonts w:ascii="Calibri" w:hAnsi="Calibri" w:cs="Calibri"/>
          <w:color w:val="000000" w:themeColor="text1"/>
          <w:sz w:val="20"/>
          <w:szCs w:val="20"/>
        </w:rPr>
        <w:t>gender</w:t>
      </w:r>
      <w:r w:rsidR="00201872">
        <w:rPr>
          <w:rFonts w:ascii="Calibri" w:hAnsi="Calibri" w:cs="Calibri"/>
          <w:color w:val="000000" w:themeColor="text1"/>
          <w:sz w:val="20"/>
          <w:szCs w:val="20"/>
        </w:rPr>
        <w:t>.</w:t>
      </w:r>
    </w:p>
    <w:p w14:paraId="15F0DEDF" w14:textId="28D54FD8" w:rsidR="003A70AD" w:rsidRDefault="003A70AD" w:rsidP="003A70AD">
      <w:pPr>
        <w:rPr>
          <w:rFonts w:ascii="Calibri" w:hAnsi="Calibri" w:cs="Calibri"/>
          <w:color w:val="000000"/>
          <w:sz w:val="20"/>
          <w:szCs w:val="20"/>
        </w:rPr>
      </w:pPr>
      <w:r w:rsidRPr="79D24161">
        <w:rPr>
          <w:rFonts w:ascii="Calibri" w:hAnsi="Calibri" w:cs="Calibri"/>
          <w:color w:val="000000" w:themeColor="text1"/>
          <w:sz w:val="20"/>
          <w:szCs w:val="20"/>
        </w:rPr>
        <w:t xml:space="preserve">Model </w:t>
      </w:r>
      <w:r>
        <w:rPr>
          <w:rFonts w:ascii="Calibri" w:hAnsi="Calibri" w:cs="Calibri"/>
          <w:color w:val="000000" w:themeColor="text1"/>
          <w:sz w:val="20"/>
          <w:szCs w:val="20"/>
        </w:rPr>
        <w:t>4</w:t>
      </w:r>
      <w:r w:rsidRPr="79D24161">
        <w:rPr>
          <w:rFonts w:ascii="Calibri" w:hAnsi="Calibri" w:cs="Calibri"/>
          <w:color w:val="000000" w:themeColor="text1"/>
          <w:sz w:val="20"/>
          <w:szCs w:val="20"/>
        </w:rPr>
        <w:t xml:space="preserve"> investigates the effect of </w:t>
      </w:r>
      <w:r w:rsidRPr="79D24161">
        <w:rPr>
          <w:rFonts w:ascii="Calibri" w:hAnsi="Calibri" w:cs="Calibri"/>
          <w:b/>
          <w:color w:val="000000" w:themeColor="text1"/>
          <w:sz w:val="20"/>
          <w:szCs w:val="20"/>
        </w:rPr>
        <w:t>CW-D-UVB</w:t>
      </w:r>
      <w:r>
        <w:rPr>
          <w:rFonts w:ascii="Calibri" w:hAnsi="Calibri" w:cs="Calibri"/>
          <w:bCs/>
          <w:color w:val="000000" w:themeColor="text1"/>
          <w:sz w:val="20"/>
          <w:szCs w:val="20"/>
        </w:rPr>
        <w:t xml:space="preserve"> at symptom onset</w:t>
      </w:r>
      <w:r w:rsidRPr="79D24161">
        <w:rPr>
          <w:rFonts w:ascii="Calibri" w:hAnsi="Calibri" w:cs="Calibri"/>
          <w:color w:val="000000" w:themeColor="text1"/>
          <w:sz w:val="20"/>
          <w:szCs w:val="20"/>
        </w:rPr>
        <w:t>, adjusted for age at diagnosis</w:t>
      </w:r>
      <w:r w:rsidR="00201872">
        <w:rPr>
          <w:rFonts w:ascii="Calibri" w:hAnsi="Calibri" w:cs="Calibri"/>
          <w:color w:val="000000" w:themeColor="text1"/>
          <w:sz w:val="20"/>
          <w:szCs w:val="20"/>
        </w:rPr>
        <w:t xml:space="preserve"> and </w:t>
      </w:r>
      <w:r>
        <w:rPr>
          <w:rFonts w:ascii="Calibri" w:hAnsi="Calibri" w:cs="Calibri"/>
          <w:color w:val="000000" w:themeColor="text1"/>
          <w:sz w:val="20"/>
          <w:szCs w:val="20"/>
        </w:rPr>
        <w:t>gender</w:t>
      </w:r>
      <w:r w:rsidR="00201872">
        <w:rPr>
          <w:rFonts w:ascii="Calibri" w:hAnsi="Calibri" w:cs="Calibri"/>
          <w:color w:val="000000" w:themeColor="text1"/>
          <w:sz w:val="20"/>
          <w:szCs w:val="20"/>
        </w:rPr>
        <w:t>.</w:t>
      </w:r>
    </w:p>
    <w:p w14:paraId="528599C0" w14:textId="5B52D425" w:rsidR="003B48F4" w:rsidRDefault="003B48F4" w:rsidP="003B48F4">
      <w:pPr>
        <w:rPr>
          <w:rFonts w:cstheme="minorHAnsi"/>
          <w:sz w:val="20"/>
          <w:szCs w:val="20"/>
          <w:shd w:val="clear" w:color="auto" w:fill="FFFFFF"/>
        </w:rPr>
      </w:pPr>
      <w:r>
        <w:rPr>
          <w:rFonts w:cstheme="minorHAnsi"/>
          <w:sz w:val="20"/>
          <w:szCs w:val="20"/>
          <w:shd w:val="clear" w:color="auto" w:fill="FFFFFF"/>
        </w:rPr>
        <w:t>Cumulative-weighted UVB dose (CW-D-UVB), Standard deviation (SD), Microscopic polyangiitis (MPA), ANCA-associated vasculitis (AAV), Akaike information criterion (AIC), Odds ratio (OR), 95% Confidence interval (95% CI)</w:t>
      </w:r>
    </w:p>
    <w:p w14:paraId="3AE4358E" w14:textId="2DD8E79F" w:rsidR="00E61BE2" w:rsidRPr="00EA011A" w:rsidRDefault="00E61BE2" w:rsidP="00E61BE2">
      <w:pPr>
        <w:rPr>
          <w:rFonts w:asciiTheme="majorHAnsi" w:eastAsiaTheme="majorEastAsia" w:hAnsiTheme="majorHAnsi" w:cstheme="majorBidi"/>
          <w:color w:val="2F5496" w:themeColor="accent1" w:themeShade="BF"/>
          <w:sz w:val="26"/>
          <w:szCs w:val="26"/>
        </w:rPr>
      </w:pPr>
      <w:r>
        <w:br w:type="page"/>
      </w:r>
    </w:p>
    <w:p w14:paraId="321E3624" w14:textId="77777777" w:rsidR="00845126" w:rsidRDefault="00845126" w:rsidP="0096217F">
      <w:pPr>
        <w:pStyle w:val="Heading1"/>
        <w:sectPr w:rsidR="00845126" w:rsidSect="004E6837">
          <w:pgSz w:w="16840" w:h="11900" w:orient="landscape"/>
          <w:pgMar w:top="1440" w:right="1440" w:bottom="1440" w:left="1440" w:header="708" w:footer="708" w:gutter="0"/>
          <w:cols w:space="708"/>
          <w:docGrid w:linePitch="360"/>
        </w:sectPr>
      </w:pPr>
      <w:bookmarkStart w:id="45" w:name="_Toc77595260"/>
      <w:bookmarkStart w:id="46" w:name="_Toc77595480"/>
      <w:bookmarkStart w:id="47" w:name="_Toc77595729"/>
      <w:bookmarkEnd w:id="39"/>
      <w:bookmarkEnd w:id="40"/>
      <w:bookmarkEnd w:id="41"/>
    </w:p>
    <w:p w14:paraId="21086F78" w14:textId="63724717" w:rsidR="00E3030F" w:rsidRPr="00E3030F" w:rsidRDefault="00626997" w:rsidP="00E4455B">
      <w:pPr>
        <w:pStyle w:val="Heading1"/>
        <w:spacing w:line="276" w:lineRule="auto"/>
      </w:pPr>
      <w:bookmarkStart w:id="48" w:name="_Toc80281887"/>
      <w:r>
        <w:lastRenderedPageBreak/>
        <w:t xml:space="preserve">Supplementary </w:t>
      </w:r>
      <w:r w:rsidR="00E3030F">
        <w:t>Methods</w:t>
      </w:r>
      <w:bookmarkEnd w:id="45"/>
      <w:bookmarkEnd w:id="46"/>
      <w:bookmarkEnd w:id="47"/>
      <w:bookmarkEnd w:id="48"/>
    </w:p>
    <w:p w14:paraId="792FBB8F" w14:textId="373B65EB" w:rsidR="004176C7" w:rsidRDefault="004176C7" w:rsidP="00E4455B">
      <w:pPr>
        <w:pStyle w:val="Heading2"/>
        <w:spacing w:line="276" w:lineRule="auto"/>
      </w:pPr>
      <w:bookmarkStart w:id="49" w:name="_Toc77595261"/>
      <w:bookmarkStart w:id="50" w:name="_Toc77595481"/>
      <w:bookmarkStart w:id="51" w:name="_Toc77595730"/>
      <w:bookmarkStart w:id="52" w:name="_Toc80281888"/>
      <w:r>
        <w:t>Ultraviolet B (UVB) data resource: TEMIS</w:t>
      </w:r>
      <w:bookmarkEnd w:id="49"/>
      <w:bookmarkEnd w:id="50"/>
      <w:bookmarkEnd w:id="51"/>
      <w:bookmarkEnd w:id="52"/>
    </w:p>
    <w:p w14:paraId="44CAF905" w14:textId="25C3436B" w:rsidR="000F7C9F" w:rsidRDefault="002E4284" w:rsidP="00E4455B">
      <w:pPr>
        <w:spacing w:line="276" w:lineRule="auto"/>
        <w:rPr>
          <w:lang w:eastAsia="en-GB"/>
        </w:rPr>
      </w:pPr>
      <w:r>
        <w:t>UV data</w:t>
      </w:r>
      <w:r w:rsidR="00FE29C5">
        <w:t>, obtained from TEMIS,</w:t>
      </w:r>
      <w:r>
        <w:t xml:space="preserve"> </w:t>
      </w:r>
      <w:r w:rsidRPr="45DD449C">
        <w:t xml:space="preserve">is computed daily using satellite data relating to the intensity of solar radiation, global ozone columns and weather data. </w:t>
      </w:r>
      <w:r w:rsidRPr="45DD449C">
        <w:rPr>
          <w:rFonts w:eastAsia="Calibri"/>
        </w:rPr>
        <w:t xml:space="preserve">The UV dose data is provided on a rectangular longitude x latitude grid of 0.25 x 0.25 degrees. </w:t>
      </w:r>
      <w:r w:rsidRPr="45DD449C">
        <w:rPr>
          <w:lang w:eastAsia="en-GB"/>
        </w:rPr>
        <w:t xml:space="preserve">The cloud data is compiled from geostationary Meteosat Second Generation (MSG) observations. </w:t>
      </w:r>
      <w:r w:rsidRPr="45DD449C">
        <w:t>On days when cloud data is missing</w:t>
      </w:r>
      <w:r>
        <w:t>,</w:t>
      </w:r>
      <w:r w:rsidRPr="45DD449C">
        <w:t xml:space="preserve"> the cloud-modified UV dose is replaced by the </w:t>
      </w:r>
      <w:r w:rsidRPr="45DD449C">
        <w:rPr>
          <w:color w:val="000000" w:themeColor="text1"/>
        </w:rPr>
        <w:t xml:space="preserve">climatological value (average over 2004-2019, requiring &gt;10 year of data being available). If that climatological value is not available, then 0.7 times the clear-sky UV dose of the day in question is used as a first order estimate. </w:t>
      </w:r>
      <w:r w:rsidRPr="45DD449C">
        <w:rPr>
          <w:lang w:eastAsia="en-GB"/>
        </w:rPr>
        <w:t>UVB is a very narrow band within the total UV radiation spectrum, with the action spectrum for vitD synthesis between 280-315 nm, and peak conversion between at 295-298 nm</w:t>
      </w:r>
      <w:r w:rsidR="003C4AAD">
        <w:rPr>
          <w:lang w:eastAsia="en-GB"/>
        </w:rPr>
        <w:fldChar w:fldCharType="begin"/>
      </w:r>
      <w:r w:rsidR="003C4AAD">
        <w:rPr>
          <w:lang w:eastAsia="en-GB"/>
        </w:rPr>
        <w:instrText xml:space="preserve"> ADDIN EN.CITE &lt;EndNote&gt;&lt;Cite&gt;&lt;Author&gt;Bouillon R&lt;/Author&gt;&lt;Year&gt;2006&lt;/Year&gt;&lt;RecNum&gt;2225&lt;/RecNum&gt;&lt;DisplayText&gt;[1]&lt;/DisplayText&gt;&lt;record&gt;&lt;rec-number&gt;2225&lt;/rec-number&gt;&lt;foreign-keys&gt;&lt;key app="EN" db-id="w592da5tv2wzz4ewrfppdwexsd0a0rvf2wxz" timestamp="1594121366"&gt;2225&lt;/key&gt;&lt;/foreign-keys&gt;&lt;ref-type name="Report"&gt;27&lt;/ref-type&gt;&lt;contributors&gt;&lt;authors&gt;&lt;author&gt;Bouillon R, Eisman J, GarabedianM, Holick MF, Kleinschmidt J, Suda T,&lt;/author&gt;&lt;author&gt;Terenetskaya I, Webb AR.&lt;/author&gt;&lt;/authors&gt;&lt;/contributors&gt;&lt;titles&gt;&lt;title&gt;Action spectrum for the production of previtamin D3 in human skin.&lt;/title&gt;&lt;/titles&gt;&lt;dates&gt;&lt;year&gt;2006&lt;/year&gt;&lt;/dates&gt;&lt;pub-location&gt;Vienna (Austria): International Commission on Illumination&lt;/pub-location&gt;&lt;isbn&gt;ISBN: 978 3 901906 50 3&lt;/isbn&gt;&lt;urls&gt;&lt;related-urls&gt;&lt;url&gt;http://cie.co.at/publications/action-spectrum-production-previtamin-d3-human-skin&lt;/url&gt;&lt;/related-urls&gt;&lt;/urls&gt;&lt;/record&gt;&lt;/Cite&gt;&lt;/EndNote&gt;</w:instrText>
      </w:r>
      <w:r w:rsidR="003C4AAD">
        <w:rPr>
          <w:lang w:eastAsia="en-GB"/>
        </w:rPr>
        <w:fldChar w:fldCharType="separate"/>
      </w:r>
      <w:r w:rsidR="003C4AAD">
        <w:rPr>
          <w:noProof/>
          <w:lang w:eastAsia="en-GB"/>
        </w:rPr>
        <w:t>[1]</w:t>
      </w:r>
      <w:r w:rsidR="003C4AAD">
        <w:rPr>
          <w:lang w:eastAsia="en-GB"/>
        </w:rPr>
        <w:fldChar w:fldCharType="end"/>
      </w:r>
      <w:r w:rsidRPr="45DD449C">
        <w:rPr>
          <w:lang w:eastAsia="en-GB"/>
        </w:rPr>
        <w:t xml:space="preserve">. The daily cloud-adjusted ambient UV dose was then computed for vitD-effective wavelengths resulting in the daily ambient dose of UV radiation </w:t>
      </w:r>
      <w:r>
        <w:rPr>
          <w:lang w:eastAsia="en-GB"/>
        </w:rPr>
        <w:t>(</w:t>
      </w:r>
      <w:r w:rsidRPr="45DD449C">
        <w:rPr>
          <w:lang w:eastAsia="en-GB"/>
        </w:rPr>
        <w:t>reaching the earth’s surface</w:t>
      </w:r>
      <w:r>
        <w:rPr>
          <w:lang w:eastAsia="en-GB"/>
        </w:rPr>
        <w:t>)</w:t>
      </w:r>
      <w:r w:rsidRPr="45DD449C">
        <w:rPr>
          <w:lang w:eastAsia="en-GB"/>
        </w:rPr>
        <w:t xml:space="preserve"> that is capable of inducing vitD synthesis in the skin (vitD-UVB). UV data was unavailable prior to</w:t>
      </w:r>
      <w:r>
        <w:rPr>
          <w:lang w:eastAsia="en-GB"/>
        </w:rPr>
        <w:t xml:space="preserve"> 1</w:t>
      </w:r>
      <w:r w:rsidRPr="00361404">
        <w:rPr>
          <w:vertAlign w:val="superscript"/>
          <w:lang w:eastAsia="en-GB"/>
        </w:rPr>
        <w:t>st</w:t>
      </w:r>
      <w:r>
        <w:rPr>
          <w:lang w:eastAsia="en-GB"/>
        </w:rPr>
        <w:t xml:space="preserve"> January</w:t>
      </w:r>
      <w:r w:rsidRPr="45DD449C">
        <w:rPr>
          <w:lang w:eastAsia="en-GB"/>
        </w:rPr>
        <w:t xml:space="preserve"> 2004</w:t>
      </w:r>
      <w:r>
        <w:rPr>
          <w:lang w:eastAsia="en-GB"/>
        </w:rPr>
        <w:t>.</w:t>
      </w:r>
      <w:r w:rsidRPr="45DD449C">
        <w:rPr>
          <w:lang w:eastAsia="en-GB"/>
        </w:rPr>
        <w:t xml:space="preserve"> </w:t>
      </w:r>
      <w:r>
        <w:rPr>
          <w:lang w:eastAsia="en-GB"/>
        </w:rPr>
        <w:t>Given the algorithm cumulates data for a 135-day period,</w:t>
      </w:r>
      <w:r w:rsidRPr="45DD449C">
        <w:rPr>
          <w:lang w:eastAsia="en-GB"/>
        </w:rPr>
        <w:t xml:space="preserve"> event</w:t>
      </w:r>
      <w:r>
        <w:rPr>
          <w:lang w:eastAsia="en-GB"/>
        </w:rPr>
        <w:t xml:space="preserve"> dates</w:t>
      </w:r>
      <w:r w:rsidRPr="45DD449C">
        <w:rPr>
          <w:lang w:eastAsia="en-GB"/>
        </w:rPr>
        <w:t xml:space="preserve"> prior</w:t>
      </w:r>
      <w:r>
        <w:rPr>
          <w:lang w:eastAsia="en-GB"/>
        </w:rPr>
        <w:t xml:space="preserve"> to</w:t>
      </w:r>
      <w:r w:rsidRPr="45DD449C">
        <w:rPr>
          <w:lang w:eastAsia="en-GB"/>
        </w:rPr>
        <w:t xml:space="preserve"> </w:t>
      </w:r>
      <w:r>
        <w:rPr>
          <w:lang w:eastAsia="en-GB"/>
        </w:rPr>
        <w:t>15</w:t>
      </w:r>
      <w:r w:rsidRPr="0004431B">
        <w:rPr>
          <w:vertAlign w:val="superscript"/>
          <w:lang w:eastAsia="en-GB"/>
        </w:rPr>
        <w:t>th</w:t>
      </w:r>
      <w:r>
        <w:rPr>
          <w:lang w:eastAsia="en-GB"/>
        </w:rPr>
        <w:t xml:space="preserve"> May 2004 </w:t>
      </w:r>
      <w:r w:rsidRPr="45DD449C">
        <w:rPr>
          <w:lang w:eastAsia="en-GB"/>
        </w:rPr>
        <w:t xml:space="preserve">were excluded from the analysis. </w:t>
      </w:r>
      <w:r w:rsidR="00605047">
        <w:t>Seasons were defined as: winter (Dec-Feb), spring (Mar- May), summer (Jun-Aug) and autumn (Sep-Nov).</w:t>
      </w:r>
    </w:p>
    <w:p w14:paraId="2B14BCB4" w14:textId="33B6FC04" w:rsidR="00F34060" w:rsidRDefault="004421FF" w:rsidP="00E4455B">
      <w:pPr>
        <w:pStyle w:val="Heading2"/>
        <w:spacing w:line="276" w:lineRule="auto"/>
      </w:pPr>
      <w:r>
        <w:rPr>
          <w:lang w:eastAsia="en-GB"/>
        </w:rPr>
        <w:br/>
      </w:r>
      <w:bookmarkStart w:id="53" w:name="_Toc77595262"/>
      <w:bookmarkStart w:id="54" w:name="_Toc77595482"/>
      <w:bookmarkStart w:id="55" w:name="_Toc77595731"/>
      <w:bookmarkStart w:id="56" w:name="_Toc80281889"/>
      <w:r w:rsidR="00F34060" w:rsidRPr="006549A7">
        <w:t>Cumulative-weighted UV</w:t>
      </w:r>
      <w:r w:rsidR="00F34060" w:rsidRPr="005357C2">
        <w:t>B</w:t>
      </w:r>
      <w:r w:rsidR="00F34060" w:rsidRPr="006549A7">
        <w:t xml:space="preserve"> dose</w:t>
      </w:r>
      <w:r w:rsidR="00F34060" w:rsidRPr="005357C2">
        <w:t xml:space="preserve"> (</w:t>
      </w:r>
      <w:r w:rsidR="00F34060">
        <w:t>CW</w:t>
      </w:r>
      <w:r w:rsidR="00F34060" w:rsidRPr="005357C2">
        <w:t>-D-UVB)</w:t>
      </w:r>
      <w:bookmarkEnd w:id="53"/>
      <w:bookmarkEnd w:id="54"/>
      <w:bookmarkEnd w:id="55"/>
      <w:bookmarkEnd w:id="56"/>
    </w:p>
    <w:p w14:paraId="08A62240" w14:textId="1D0574F3" w:rsidR="00F3378B" w:rsidRPr="00F3378B" w:rsidRDefault="00F3378B" w:rsidP="00F3378B">
      <w:pPr>
        <w:spacing w:line="276" w:lineRule="auto"/>
        <w:rPr>
          <w:rFonts w:ascii="Calibri" w:hAnsi="Calibri" w:cs="Calibri"/>
          <w:lang w:eastAsia="en-GB"/>
        </w:rPr>
      </w:pPr>
      <w:r w:rsidRPr="00F3378B">
        <w:rPr>
          <w:rFonts w:ascii="Calibri" w:hAnsi="Calibri" w:cs="Calibri"/>
          <w:lang w:eastAsia="en-GB"/>
        </w:rPr>
        <w:t>To generate UVB-predicted vitD status</w:t>
      </w:r>
      <w:r w:rsidRPr="00F3378B" w:rsidDel="00226F9B">
        <w:rPr>
          <w:rFonts w:ascii="Calibri" w:hAnsi="Calibri" w:cs="Calibri"/>
          <w:lang w:eastAsia="en-GB"/>
        </w:rPr>
        <w:t xml:space="preserve"> </w:t>
      </w:r>
      <w:r w:rsidRPr="00F3378B">
        <w:rPr>
          <w:rFonts w:ascii="Calibri" w:hAnsi="Calibri" w:cs="Calibri"/>
          <w:lang w:eastAsia="en-GB"/>
        </w:rPr>
        <w:t>a specific cumulative-weighted UVB dose (CW-D-UVB) was calculated for each participant, determined by high-resolution location and date based on an algorithm proposed by Kelly et al</w:t>
      </w:r>
      <w:r w:rsidR="003C4AAD">
        <w:rPr>
          <w:rFonts w:ascii="Calibri" w:hAnsi="Calibri" w:cs="Calibri"/>
          <w:lang w:eastAsia="en-GB"/>
        </w:rPr>
        <w:fldChar w:fldCharType="begin"/>
      </w:r>
      <w:r w:rsidR="003C4AAD">
        <w:rPr>
          <w:rFonts w:ascii="Calibri" w:hAnsi="Calibri" w:cs="Calibri"/>
          <w:lang w:eastAsia="en-GB"/>
        </w:rPr>
        <w:instrText xml:space="preserve"> ADDIN EN.CITE &lt;EndNote&gt;&lt;Cite&gt;&lt;Author&gt;Kelly&lt;/Author&gt;&lt;Year&gt;2016&lt;/Year&gt;&lt;RecNum&gt;2219&lt;/RecNum&gt;&lt;DisplayText&gt;[2]&lt;/DisplayText&gt;&lt;record&gt;&lt;rec-number&gt;2219&lt;/rec-number&gt;&lt;foreign-keys&gt;&lt;key app="EN" db-id="w592da5tv2wzz4ewrfppdwexsd0a0rvf2wxz" timestamp="1594030094"&gt;2219&lt;/key&gt;&lt;/foreign-keys&gt;&lt;ref-type name="Journal Article"&gt;17&lt;/ref-type&gt;&lt;contributors&gt;&lt;authors&gt;&lt;author&gt;Kelly, D.&lt;/author&gt;&lt;author&gt;Theodoratou, E.&lt;/author&gt;&lt;author&gt;Farrington, S. M.&lt;/author&gt;&lt;author&gt;Fraser, R.&lt;/author&gt;&lt;author&gt;Campbell, H.&lt;/author&gt;&lt;author&gt;Dunlop, M. G.&lt;/author&gt;&lt;author&gt;Zgaga, L.&lt;/author&gt;&lt;/authors&gt;&lt;/contributors&gt;&lt;titles&gt;&lt;title&gt;The contributions of adjusted ambient ultraviolet B radiation at place of residence and other determinants to serum 25-hydroxyvitamin D concentrations&lt;/title&gt;&lt;secondary-title&gt;British Journal of Dermatology&lt;/secondary-title&gt;&lt;/titles&gt;&lt;periodical&gt;&lt;full-title&gt;British Journal of Dermatology&lt;/full-title&gt;&lt;/periodical&gt;&lt;pages&gt;1068-1078&lt;/pages&gt;&lt;volume&gt;174&lt;/volume&gt;&lt;number&gt;5&lt;/number&gt;&lt;dates&gt;&lt;year&gt;2016&lt;/year&gt;&lt;pub-dates&gt;&lt;date&gt;2016/05/01&lt;/date&gt;&lt;/pub-dates&gt;&lt;/dates&gt;&lt;publisher&gt;John Wiley &amp;amp; Sons, Ltd&lt;/publisher&gt;&lt;isbn&gt;0007-0963&lt;/isbn&gt;&lt;urls&gt;&lt;related-urls&gt;&lt;url&gt;https://doi.org/10.1111/bjd.14296&lt;/url&gt;&lt;/related-urls&gt;&lt;/urls&gt;&lt;electronic-resource-num&gt;10.1111/bjd.14296&lt;/electronic-resource-num&gt;&lt;access-date&gt;2020/07/06&lt;/access-date&gt;&lt;/record&gt;&lt;/Cite&gt;&lt;/EndNote&gt;</w:instrText>
      </w:r>
      <w:r w:rsidR="003C4AAD">
        <w:rPr>
          <w:rFonts w:ascii="Calibri" w:hAnsi="Calibri" w:cs="Calibri"/>
          <w:lang w:eastAsia="en-GB"/>
        </w:rPr>
        <w:fldChar w:fldCharType="separate"/>
      </w:r>
      <w:r w:rsidR="003C4AAD">
        <w:rPr>
          <w:rFonts w:ascii="Calibri" w:hAnsi="Calibri" w:cs="Calibri"/>
          <w:noProof/>
          <w:lang w:eastAsia="en-GB"/>
        </w:rPr>
        <w:t>[2]</w:t>
      </w:r>
      <w:r w:rsidR="003C4AAD">
        <w:rPr>
          <w:rFonts w:ascii="Calibri" w:hAnsi="Calibri" w:cs="Calibri"/>
          <w:lang w:eastAsia="en-GB"/>
        </w:rPr>
        <w:fldChar w:fldCharType="end"/>
      </w:r>
      <w:r w:rsidRPr="00F3378B">
        <w:rPr>
          <w:rFonts w:ascii="Calibri" w:hAnsi="Calibri" w:cs="Calibri"/>
          <w:lang w:eastAsia="en-GB"/>
        </w:rPr>
        <w:t xml:space="preserve"> and later validated in an older Irish cohort</w:t>
      </w:r>
      <w:r w:rsidR="003C4AAD">
        <w:rPr>
          <w:rFonts w:ascii="Calibri" w:hAnsi="Calibri" w:cs="Calibri"/>
          <w:lang w:eastAsia="en-GB"/>
        </w:rPr>
        <w:fldChar w:fldCharType="begin"/>
      </w:r>
      <w:r w:rsidR="003C4AAD">
        <w:rPr>
          <w:rFonts w:ascii="Calibri" w:hAnsi="Calibri" w:cs="Calibri"/>
          <w:lang w:eastAsia="en-GB"/>
        </w:rPr>
        <w:instrText xml:space="preserve"> ADDIN EN.CITE &lt;EndNote&gt;&lt;Cite&gt;&lt;Author&gt;O&amp;apos;Sullivan&lt;/Author&gt;&lt;Year&gt;2017&lt;/Year&gt;&lt;RecNum&gt;2214&lt;/RecNum&gt;&lt;DisplayText&gt;[3]&lt;/DisplayText&gt;&lt;record&gt;&lt;rec-number&gt;2214&lt;/rec-number&gt;&lt;foreign-keys&gt;&lt;key app="EN" db-id="w592da5tv2wzz4ewrfppdwexsd0a0rvf2wxz" timestamp="1593591994"&gt;2214&lt;/key&gt;&lt;/foreign-keys&gt;&lt;ref-type name="Journal Article"&gt;17&lt;/ref-type&gt;&lt;contributors&gt;&lt;authors&gt;&lt;author&gt;O&amp;apos;Sullivan, Fiona&lt;/author&gt;&lt;author&gt;Laird, Eamon&lt;/author&gt;&lt;author&gt;Kelly, Dervla&lt;/author&gt;&lt;author&gt;van Geffen, Jos&lt;/author&gt;&lt;author&gt;van Weele, Michiel&lt;/author&gt;&lt;author&gt;McNulty, Helene&lt;/author&gt;&lt;author&gt;Hoey, Leane&lt;/author&gt;&lt;author&gt;Healy, Martin&lt;/author&gt;&lt;author&gt;McCarroll, Kevin&lt;/author&gt;&lt;author&gt;Cunningham, Conal&lt;/author&gt;&lt;author&gt;Casey, Miriam&lt;/author&gt;&lt;author&gt;Ward, Mary&lt;/author&gt;&lt;author&gt;Strain, J. J.&lt;/author&gt;&lt;author&gt;Molloy, Anne M.&lt;/author&gt;&lt;author&gt;Zgaga, Lina&lt;/author&gt;&lt;/authors&gt;&lt;/contributors&gt;&lt;titles&gt;&lt;title&gt;Ambient UVB Dose and Sun Enjoyment Are Important Predictors of Vitamin D Status in an Older Population&lt;/title&gt;&lt;secondary-title&gt;The Journal of Nutrition&lt;/secondary-title&gt;&lt;/titles&gt;&lt;periodical&gt;&lt;full-title&gt;The Journal of Nutrition&lt;/full-title&gt;&lt;/periodical&gt;&lt;pages&gt;858-868&lt;/pages&gt;&lt;volume&gt;147&lt;/volume&gt;&lt;number&gt;5&lt;/number&gt;&lt;dates&gt;&lt;year&gt;2017&lt;/year&gt;&lt;/dates&gt;&lt;isbn&gt;0022-3166&lt;/isbn&gt;&lt;urls&gt;&lt;related-urls&gt;&lt;url&gt;https://doi.org/10.3945/jn.116.244079&lt;/url&gt;&lt;/related-urls&gt;&lt;/urls&gt;&lt;electronic-resource-num&gt;10.3945/jn.116.244079&lt;/electronic-resource-num&gt;&lt;access-date&gt;7/1/2020&lt;/access-date&gt;&lt;/record&gt;&lt;/Cite&gt;&lt;/EndNote&gt;</w:instrText>
      </w:r>
      <w:r w:rsidR="003C4AAD">
        <w:rPr>
          <w:rFonts w:ascii="Calibri" w:hAnsi="Calibri" w:cs="Calibri"/>
          <w:lang w:eastAsia="en-GB"/>
        </w:rPr>
        <w:fldChar w:fldCharType="separate"/>
      </w:r>
      <w:r w:rsidR="003C4AAD">
        <w:rPr>
          <w:rFonts w:ascii="Calibri" w:hAnsi="Calibri" w:cs="Calibri"/>
          <w:noProof/>
          <w:lang w:eastAsia="en-GB"/>
        </w:rPr>
        <w:t>[3]</w:t>
      </w:r>
      <w:r w:rsidR="003C4AAD">
        <w:rPr>
          <w:rFonts w:ascii="Calibri" w:hAnsi="Calibri" w:cs="Calibri"/>
          <w:lang w:eastAsia="en-GB"/>
        </w:rPr>
        <w:fldChar w:fldCharType="end"/>
      </w:r>
      <w:r w:rsidRPr="00F3378B">
        <w:rPr>
          <w:rFonts w:ascii="Calibri" w:hAnsi="Calibri" w:cs="Calibri"/>
          <w:lang w:eastAsia="en-GB"/>
        </w:rPr>
        <w:t>, a vitD Randomised Controlled Trial (RCT) setting</w:t>
      </w:r>
      <w:r w:rsidR="003C4AAD">
        <w:rPr>
          <w:rFonts w:ascii="Calibri" w:hAnsi="Calibri" w:cs="Calibri"/>
          <w:lang w:eastAsia="en-GB"/>
        </w:rPr>
        <w:fldChar w:fldCharType="begin"/>
      </w:r>
      <w:r w:rsidR="003C4AAD">
        <w:rPr>
          <w:rFonts w:ascii="Calibri" w:hAnsi="Calibri" w:cs="Calibri"/>
          <w:lang w:eastAsia="en-GB"/>
        </w:rPr>
        <w:instrText xml:space="preserve"> ADDIN EN.CITE &lt;EndNote&gt;&lt;Cite&gt;&lt;Author&gt;O&amp;apos;Sullivan&lt;/Author&gt;&lt;Year&gt;2019&lt;/Year&gt;&lt;RecNum&gt;2216&lt;/RecNum&gt;&lt;DisplayText&gt;[4]&lt;/DisplayText&gt;&lt;record&gt;&lt;rec-number&gt;2216&lt;/rec-number&gt;&lt;foreign-keys&gt;&lt;key app="EN" db-id="w592da5tv2wzz4ewrfppdwexsd0a0rvf2wxz" timestamp="1594026979"&gt;2216&lt;/key&gt;&lt;/foreign-keys&gt;&lt;ref-type name="Journal Article"&gt;17&lt;/ref-type&gt;&lt;contributors&gt;&lt;authors&gt;&lt;author&gt;O&amp;apos;Sullivan, Fiona&lt;/author&gt;&lt;author&gt;Raftery, Tara&lt;/author&gt;&lt;author&gt;van Weele, Michiel&lt;/author&gt;&lt;author&gt;van Geffen, Jos&lt;/author&gt;&lt;author&gt;McNamara, Deirdre&lt;/author&gt;&lt;author&gt;O&amp;apos;Morain, Colm&lt;/author&gt;&lt;author&gt;Mahmud, Nasir&lt;/author&gt;&lt;author&gt;Kelly, Dervla&lt;/author&gt;&lt;author&gt;Healy, Martin&lt;/author&gt;&lt;author&gt;O&amp;apos;Sullivan, Maria&lt;/author&gt;&lt;author&gt;Zgaga, Lina&lt;/author&gt;&lt;/authors&gt;&lt;/contributors&gt;&lt;titles&gt;&lt;title&gt;Sunshine is an Important Determinant of Vitamin D Status Even Among High-dose Supplement Users: Secondary Analysis of a Randomized Controlled Trial in Crohn&amp;apos;s Disease Patients&lt;/title&gt;&lt;secondary-title&gt;Photochemistry and Photobiology&lt;/secondary-title&gt;&lt;/titles&gt;&lt;periodical&gt;&lt;full-title&gt;Photochemistry and Photobiology&lt;/full-title&gt;&lt;/periodical&gt;&lt;pages&gt;1060-1067&lt;/pages&gt;&lt;volume&gt;95&lt;/volume&gt;&lt;number&gt;4&lt;/number&gt;&lt;dates&gt;&lt;year&gt;2019&lt;/year&gt;&lt;pub-dates&gt;&lt;date&gt;2019/07/01&lt;/date&gt;&lt;/pub-dates&gt;&lt;/dates&gt;&lt;publisher&gt;John Wiley &amp;amp; Sons, Ltd&lt;/publisher&gt;&lt;isbn&gt;0031-8655&lt;/isbn&gt;&lt;urls&gt;&lt;related-urls&gt;&lt;url&gt;https://doi.org/10.1111/php.13086&lt;/url&gt;&lt;/related-urls&gt;&lt;/urls&gt;&lt;electronic-resource-num&gt;10.1111/php.13086&lt;/electronic-resource-num&gt;&lt;access-date&gt;2020/07/06&lt;/access-date&gt;&lt;/record&gt;&lt;/Cite&gt;&lt;/EndNote&gt;</w:instrText>
      </w:r>
      <w:r w:rsidR="003C4AAD">
        <w:rPr>
          <w:rFonts w:ascii="Calibri" w:hAnsi="Calibri" w:cs="Calibri"/>
          <w:lang w:eastAsia="en-GB"/>
        </w:rPr>
        <w:fldChar w:fldCharType="separate"/>
      </w:r>
      <w:r w:rsidR="003C4AAD">
        <w:rPr>
          <w:rFonts w:ascii="Calibri" w:hAnsi="Calibri" w:cs="Calibri"/>
          <w:noProof/>
          <w:lang w:eastAsia="en-GB"/>
        </w:rPr>
        <w:t>[4]</w:t>
      </w:r>
      <w:r w:rsidR="003C4AAD">
        <w:rPr>
          <w:rFonts w:ascii="Calibri" w:hAnsi="Calibri" w:cs="Calibri"/>
          <w:lang w:eastAsia="en-GB"/>
        </w:rPr>
        <w:fldChar w:fldCharType="end"/>
      </w:r>
      <w:r w:rsidRPr="00F3378B">
        <w:rPr>
          <w:rFonts w:ascii="Calibri" w:hAnsi="Calibri" w:cs="Calibri"/>
          <w:lang w:eastAsia="en-GB"/>
        </w:rPr>
        <w:t xml:space="preserve"> and UK Biobank</w:t>
      </w:r>
      <w:r w:rsidR="003C4AAD">
        <w:rPr>
          <w:rFonts w:ascii="Calibri" w:hAnsi="Calibri" w:cs="Calibri"/>
          <w:lang w:eastAsia="en-GB"/>
        </w:rPr>
        <w:fldChar w:fldCharType="begin"/>
      </w:r>
      <w:r w:rsidR="003C4AAD">
        <w:rPr>
          <w:rFonts w:ascii="Calibri" w:hAnsi="Calibri" w:cs="Calibri"/>
          <w:lang w:eastAsia="en-GB"/>
        </w:rPr>
        <w:instrText xml:space="preserve"> ADDIN EN.CITE &lt;EndNote&gt;&lt;Cite&gt;&lt;Author&gt;Li&lt;/Author&gt;&lt;Year&gt;2020&lt;/Year&gt;&lt;RecNum&gt;2589&lt;/RecNum&gt;&lt;DisplayText&gt;[5]&lt;/DisplayText&gt;&lt;record&gt;&lt;rec-number&gt;2589&lt;/rec-number&gt;&lt;foreign-keys&gt;&lt;key app="EN" db-id="w592da5tv2wzz4ewrfppdwexsd0a0rvf2wxz" timestamp="1625567516"&gt;2589&lt;/key&gt;&lt;/foreign-keys&gt;&lt;ref-type name="Journal Article"&gt;17&lt;/ref-type&gt;&lt;contributors&gt;&lt;authors&gt;&lt;author&gt;Li, Xue&lt;/author&gt;&lt;author&gt;Geffen, Jos van&lt;/author&gt;&lt;author&gt;Weele, Michiel van&lt;/author&gt;&lt;author&gt;Zhang, Xiaomeng&lt;/author&gt;&lt;author&gt;He, Yazhou&lt;/author&gt;&lt;author&gt;Meng, Xiangrui&lt;/author&gt;&lt;author&gt;Timofeeva, Maria&lt;/author&gt;&lt;author&gt;Campbell, Harry&lt;/author&gt;&lt;author&gt;Dunlop, Malcolm&lt;/author&gt;&lt;author&gt;Zgaga, Lina&lt;/author&gt;&lt;author&gt;Theodoratou, Evropi&lt;/author&gt;&lt;/authors&gt;&lt;/contributors&gt;&lt;titles&gt;&lt;title&gt;Genetically-predicted vitamin D status, ambient UVB during the pandemic and COVID-19 risk in UK Biobank: Mendelian Randomisation study&lt;/title&gt;&lt;secondary-title&gt;medRxiv&lt;/secondary-title&gt;&lt;/titles&gt;&lt;periodical&gt;&lt;full-title&gt;medRxiv&lt;/full-title&gt;&lt;/periodical&gt;&lt;pages&gt;2020.08.18.20177691&lt;/pages&gt;&lt;dates&gt;&lt;year&gt;2020&lt;/year&gt;&lt;/dates&gt;&lt;urls&gt;&lt;related-urls&gt;&lt;url&gt;http://medrxiv.org/content/early/2020/08/22/2020.08.18.20177691.abstract&lt;/url&gt;&lt;/related-urls&gt;&lt;/urls&gt;&lt;electronic-resource-num&gt;10.1101/2020.08.18.20177691&lt;/electronic-resource-num&gt;&lt;/record&gt;&lt;/Cite&gt;&lt;/EndNote&gt;</w:instrText>
      </w:r>
      <w:r w:rsidR="003C4AAD">
        <w:rPr>
          <w:rFonts w:ascii="Calibri" w:hAnsi="Calibri" w:cs="Calibri"/>
          <w:lang w:eastAsia="en-GB"/>
        </w:rPr>
        <w:fldChar w:fldCharType="separate"/>
      </w:r>
      <w:r w:rsidR="003C4AAD">
        <w:rPr>
          <w:rFonts w:ascii="Calibri" w:hAnsi="Calibri" w:cs="Calibri"/>
          <w:noProof/>
          <w:lang w:eastAsia="en-GB"/>
        </w:rPr>
        <w:t>[5]</w:t>
      </w:r>
      <w:r w:rsidR="003C4AAD">
        <w:rPr>
          <w:rFonts w:ascii="Calibri" w:hAnsi="Calibri" w:cs="Calibri"/>
          <w:lang w:eastAsia="en-GB"/>
        </w:rPr>
        <w:fldChar w:fldCharType="end"/>
      </w:r>
      <w:r w:rsidRPr="00F3378B">
        <w:rPr>
          <w:rFonts w:ascii="Calibri" w:hAnsi="Calibri" w:cs="Calibri"/>
          <w:lang w:eastAsia="en-GB"/>
        </w:rPr>
        <w:t>. Specifically, this function accumulates the cloud-modified UVB dose at wavelengths specific for vitD synthesis (vitD-UVB) over a period of 135 days prior to a given date, with a decay function assuming a half-life of vitD of 35 days. The decay function (</w:t>
      </w:r>
      <w:r w:rsidRPr="00F3378B">
        <w:rPr>
          <w:rFonts w:ascii="Calibri" w:hAnsi="Calibri" w:cs="Calibri"/>
          <w:b/>
          <w:bCs/>
          <w:lang w:eastAsia="en-GB"/>
        </w:rPr>
        <w:t xml:space="preserve">Figure </w:t>
      </w:r>
      <w:r>
        <w:rPr>
          <w:rFonts w:ascii="Calibri" w:hAnsi="Calibri" w:cs="Calibri"/>
          <w:b/>
          <w:bCs/>
          <w:lang w:eastAsia="en-GB"/>
        </w:rPr>
        <w:t>1</w:t>
      </w:r>
      <w:r w:rsidRPr="00F3378B">
        <w:rPr>
          <w:rFonts w:ascii="Calibri" w:hAnsi="Calibri" w:cs="Calibri"/>
          <w:lang w:eastAsia="en-GB"/>
        </w:rPr>
        <w:t>) mimics the physiological accumulation (summer months) and depletion (winter) of vitD: body stores increase at times of UVB abundance (i.e. summer) and diminish during periods of low UVB radiation. The CW-D-UVB dose estimate is unique for each participant and for each disease state as the estimates are determined by time and location. The time and location precision of these estimates incorporates the substantial geotemporal variations (seasonal and latitudinal) observed in vitD-UVB, despite the small latitudinal differences across Ireland (51°30’N - 55°24’N)</w:t>
      </w:r>
      <w:r w:rsidR="003C4AAD">
        <w:rPr>
          <w:rFonts w:ascii="Calibri" w:hAnsi="Calibri" w:cs="Calibri"/>
          <w:lang w:eastAsia="en-GB"/>
        </w:rPr>
        <w:fldChar w:fldCharType="begin">
          <w:fldData xml:space="preserve">PEVuZE5vdGU+PENpdGU+PEF1dGhvcj5LZWxseTwvQXV0aG9yPjxZZWFyPjIwMTY8L1llYXI+PFJl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</w:fldData>
        </w:fldChar>
      </w:r>
      <w:r w:rsidR="003C4AAD">
        <w:rPr>
          <w:rFonts w:ascii="Calibri" w:hAnsi="Calibri" w:cs="Calibri"/>
          <w:lang w:eastAsia="en-GB"/>
        </w:rPr>
        <w:instrText xml:space="preserve"> ADDIN EN.CITE </w:instrText>
      </w:r>
      <w:r w:rsidR="003C4AAD">
        <w:rPr>
          <w:rFonts w:ascii="Calibri" w:hAnsi="Calibri" w:cs="Calibri"/>
          <w:lang w:eastAsia="en-GB"/>
        </w:rPr>
        <w:fldChar w:fldCharType="begin">
          <w:fldData xml:space="preserve">PEVuZE5vdGU+PENpdGU+PEF1dGhvcj5LZWxseTwvQXV0aG9yPjxZZWFyPjIwMTY8L1llYXI+PFJl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</w:fldData>
        </w:fldChar>
      </w:r>
      <w:r w:rsidR="003C4AAD">
        <w:rPr>
          <w:rFonts w:ascii="Calibri" w:hAnsi="Calibri" w:cs="Calibri"/>
          <w:lang w:eastAsia="en-GB"/>
        </w:rPr>
        <w:instrText xml:space="preserve"> ADDIN EN.CITE.DATA </w:instrText>
      </w:r>
      <w:r w:rsidR="003C4AAD">
        <w:rPr>
          <w:rFonts w:ascii="Calibri" w:hAnsi="Calibri" w:cs="Calibri"/>
          <w:lang w:eastAsia="en-GB"/>
        </w:rPr>
      </w:r>
      <w:r w:rsidR="003C4AAD">
        <w:rPr>
          <w:rFonts w:ascii="Calibri" w:hAnsi="Calibri" w:cs="Calibri"/>
          <w:lang w:eastAsia="en-GB"/>
        </w:rPr>
        <w:fldChar w:fldCharType="end"/>
      </w:r>
      <w:r w:rsidR="003C4AAD">
        <w:rPr>
          <w:rFonts w:ascii="Calibri" w:hAnsi="Calibri" w:cs="Calibri"/>
          <w:lang w:eastAsia="en-GB"/>
        </w:rPr>
        <w:fldChar w:fldCharType="separate"/>
      </w:r>
      <w:r w:rsidR="003C4AAD">
        <w:rPr>
          <w:rFonts w:ascii="Calibri" w:hAnsi="Calibri" w:cs="Calibri"/>
          <w:noProof/>
          <w:lang w:eastAsia="en-GB"/>
        </w:rPr>
        <w:t>[2, 3]</w:t>
      </w:r>
      <w:r w:rsidR="003C4AAD">
        <w:rPr>
          <w:rFonts w:ascii="Calibri" w:hAnsi="Calibri" w:cs="Calibri"/>
          <w:lang w:eastAsia="en-GB"/>
        </w:rPr>
        <w:fldChar w:fldCharType="end"/>
      </w:r>
      <w:r w:rsidRPr="00F3378B">
        <w:rPr>
          <w:rFonts w:ascii="Calibri" w:hAnsi="Calibri" w:cs="Calibri"/>
          <w:lang w:eastAsia="en-GB"/>
        </w:rPr>
        <w:t xml:space="preserve"> and the UK (49°42’N - 60°31’N). CW-D-UVB at symptom onset and at discrete times of relapse and remission were calculated for each participant. The average (2004-2019) and preceding winter CW-D-UVB were also derived as for vitD-UVB. </w:t>
      </w:r>
    </w:p>
    <w:p w14:paraId="1D0D6314" w14:textId="259EA94B" w:rsidR="00BB2773" w:rsidRDefault="00BB2773" w:rsidP="00E4455B">
      <w:pPr>
        <w:spacing w:line="276" w:lineRule="auto"/>
        <w:rPr>
          <w:rFonts w:ascii="Calibri" w:hAnsi="Calibri" w:cs="Calibri"/>
        </w:rPr>
      </w:pPr>
    </w:p>
    <w:p w14:paraId="0079AB02" w14:textId="65B4011E" w:rsidR="00D231DC" w:rsidRDefault="00B036A0" w:rsidP="006E76E7">
      <w:pPr>
        <w:pStyle w:val="Heading2"/>
        <w:spacing w:line="276" w:lineRule="auto"/>
      </w:pPr>
      <w:bookmarkStart w:id="57" w:name="_Toc80281890"/>
      <w:r>
        <w:lastRenderedPageBreak/>
        <w:t xml:space="preserve">Study design: </w:t>
      </w:r>
      <w:r w:rsidR="00E1681B">
        <w:t>AAV relapse</w:t>
      </w:r>
      <w:bookmarkEnd w:id="57"/>
    </w:p>
    <w:p w14:paraId="49DDBACF" w14:textId="1C3C4737" w:rsidR="00684BF4" w:rsidRDefault="00687334" w:rsidP="00E4455B">
      <w:pPr>
        <w:spacing w:line="276" w:lineRule="auto"/>
      </w:pPr>
      <w:r>
        <w:t>The design of our stud</w:t>
      </w:r>
      <w:r w:rsidR="00E1681B">
        <w:t>y</w:t>
      </w:r>
      <w:r>
        <w:t xml:space="preserve"> is dependent on an accurate assessment of the </w:t>
      </w:r>
      <w:r w:rsidR="00356830">
        <w:t xml:space="preserve">date of relapse onset. </w:t>
      </w:r>
      <w:r w:rsidR="00D231DC">
        <w:t>T</w:t>
      </w:r>
      <w:r w:rsidR="00D231DC" w:rsidRPr="00684BF4">
        <w:t xml:space="preserve">o estimate the </w:t>
      </w:r>
      <w:r w:rsidR="008507BE" w:rsidRPr="00684BF4">
        <w:t>delay between relapse symptom onset and diagnosis</w:t>
      </w:r>
      <w:r w:rsidR="00D231DC">
        <w:t>, a</w:t>
      </w:r>
      <w:r w:rsidR="00684BF4" w:rsidRPr="00684BF4">
        <w:t xml:space="preserve"> patient focus group was established through Vasculitis Ireland Awareness</w:t>
      </w:r>
      <w:r w:rsidR="00684BF4">
        <w:rPr>
          <w:rStyle w:val="FootnoteReference"/>
        </w:rPr>
        <w:footnoteReference w:id="2"/>
      </w:r>
      <w:r w:rsidR="00356830">
        <w:t xml:space="preserve">. </w:t>
      </w:r>
      <w:r w:rsidR="004918AB">
        <w:t>Based on these discussions, a</w:t>
      </w:r>
      <w:r w:rsidR="00B816C6">
        <w:t>n</w:t>
      </w:r>
      <w:r w:rsidR="004918AB">
        <w:t xml:space="preserve"> interval of 30 days was used </w:t>
      </w:r>
      <w:r w:rsidR="006C3950">
        <w:t>in our model development</w:t>
      </w:r>
      <w:r w:rsidR="00B816C6">
        <w:t xml:space="preserve"> (Figure 2)</w:t>
      </w:r>
      <w:r w:rsidR="006C3950">
        <w:t xml:space="preserve">. </w:t>
      </w:r>
    </w:p>
    <w:p w14:paraId="2C685AC3" w14:textId="7AB22DAA" w:rsidR="00AE38E4" w:rsidRDefault="00AE38E4" w:rsidP="00E4455B">
      <w:pPr>
        <w:spacing w:line="276" w:lineRule="auto"/>
      </w:pPr>
      <w:r>
        <w:rPr>
          <w:rFonts w:ascii="Calibri" w:hAnsi="Calibri" w:cs="Calibri"/>
        </w:rPr>
        <w:t>The 135-day period after relapse was selected to avoid the</w:t>
      </w:r>
      <w:r w:rsidRPr="007B729D">
        <w:rPr>
          <w:rFonts w:ascii="Calibri" w:hAnsi="Calibri" w:cs="Calibri"/>
        </w:rPr>
        <w:t xml:space="preserve"> </w:t>
      </w:r>
      <w:r w:rsidRPr="45DD449C">
        <w:rPr>
          <w:rFonts w:ascii="Calibri" w:hAnsi="Calibri" w:cs="Calibri"/>
        </w:rPr>
        <w:t xml:space="preserve">influence of residual </w:t>
      </w:r>
      <w:r>
        <w:rPr>
          <w:rFonts w:ascii="Calibri" w:hAnsi="Calibri" w:cs="Calibri"/>
        </w:rPr>
        <w:t xml:space="preserve">disease </w:t>
      </w:r>
      <w:r w:rsidRPr="45DD449C">
        <w:rPr>
          <w:rFonts w:ascii="Calibri" w:hAnsi="Calibri" w:cs="Calibri"/>
        </w:rPr>
        <w:t>activity</w:t>
      </w:r>
      <w:r>
        <w:rPr>
          <w:rFonts w:ascii="Calibri" w:hAnsi="Calibri" w:cs="Calibri"/>
        </w:rPr>
        <w:t xml:space="preserve"> on CW</w:t>
      </w:r>
      <w:r w:rsidRPr="45DD449C">
        <w:rPr>
          <w:rFonts w:ascii="Calibri" w:hAnsi="Calibri" w:cs="Calibri"/>
        </w:rPr>
        <w:t>-D-UVB</w:t>
      </w:r>
      <w:r>
        <w:rPr>
          <w:rFonts w:ascii="Calibri" w:hAnsi="Calibri" w:cs="Calibri"/>
        </w:rPr>
        <w:t xml:space="preserve"> exposure estimate (which is based on the </w:t>
      </w:r>
      <w:r w:rsidRPr="45DD449C">
        <w:rPr>
          <w:rFonts w:ascii="Calibri" w:hAnsi="Calibri" w:cs="Calibri"/>
        </w:rPr>
        <w:t>preceding 135 days</w:t>
      </w:r>
      <w:r>
        <w:rPr>
          <w:rFonts w:ascii="Calibri" w:hAnsi="Calibri" w:cs="Calibri"/>
        </w:rPr>
        <w:t xml:space="preserve">). </w:t>
      </w:r>
      <w:r w:rsidRPr="45DD449C">
        <w:rPr>
          <w:rFonts w:ascii="Calibri" w:hAnsi="Calibri" w:cs="Calibri"/>
        </w:rPr>
        <w:t>The control</w:t>
      </w:r>
      <w:r w:rsidRPr="45DD449C" w:rsidDel="008514B2">
        <w:rPr>
          <w:rFonts w:ascii="Calibri" w:hAnsi="Calibri" w:cs="Calibri"/>
        </w:rPr>
        <w:t xml:space="preserve"> </w:t>
      </w:r>
      <w:r>
        <w:rPr>
          <w:rFonts w:ascii="Calibri" w:hAnsi="Calibri" w:cs="Calibri"/>
        </w:rPr>
        <w:t>date</w:t>
      </w:r>
      <w:r w:rsidRPr="45DD449C">
        <w:rPr>
          <w:rFonts w:ascii="Calibri" w:hAnsi="Calibri" w:cs="Calibri"/>
        </w:rPr>
        <w:t xml:space="preserve"> was defined as a randomly selected date within a period of definite remission, ensuring no relapse event </w:t>
      </w:r>
      <w:r>
        <w:rPr>
          <w:rFonts w:ascii="Calibri" w:hAnsi="Calibri" w:cs="Calibri"/>
        </w:rPr>
        <w:t xml:space="preserve">occurred </w:t>
      </w:r>
      <w:r w:rsidRPr="45DD449C">
        <w:rPr>
          <w:rFonts w:ascii="Calibri" w:hAnsi="Calibri" w:cs="Calibri"/>
        </w:rPr>
        <w:t xml:space="preserve">in the 135 days prior or 90 days after this date. 90 days post </w:t>
      </w:r>
      <w:r>
        <w:rPr>
          <w:rFonts w:ascii="Calibri" w:hAnsi="Calibri" w:cs="Calibri"/>
        </w:rPr>
        <w:t xml:space="preserve">was chosen </w:t>
      </w:r>
      <w:r w:rsidRPr="45DD449C">
        <w:rPr>
          <w:rFonts w:ascii="Calibri" w:hAnsi="Calibri" w:cs="Calibri"/>
        </w:rPr>
        <w:t>as a</w:t>
      </w:r>
      <w:r w:rsidRPr="45DD449C" w:rsidDel="00B71490">
        <w:rPr>
          <w:rFonts w:ascii="Calibri" w:hAnsi="Calibri" w:cs="Calibri"/>
        </w:rPr>
        <w:t xml:space="preserve"> </w:t>
      </w:r>
      <w:r w:rsidRPr="45DD449C">
        <w:rPr>
          <w:rFonts w:ascii="Calibri" w:hAnsi="Calibri" w:cs="Calibri"/>
        </w:rPr>
        <w:t xml:space="preserve">washout period, </w:t>
      </w:r>
      <w:r w:rsidRPr="45DD449C">
        <w:rPr>
          <w:rFonts w:ascii="Calibri" w:hAnsi="Calibri" w:cs="Calibri"/>
          <w:color w:val="000000" w:themeColor="text1"/>
        </w:rPr>
        <w:t>as we envisage</w:t>
      </w:r>
      <w:r>
        <w:rPr>
          <w:rFonts w:ascii="Calibri" w:hAnsi="Calibri" w:cs="Calibri"/>
          <w:color w:val="000000" w:themeColor="text1"/>
        </w:rPr>
        <w:t>d</w:t>
      </w:r>
      <w:r w:rsidRPr="45DD449C">
        <w:rPr>
          <w:rFonts w:ascii="Calibri" w:hAnsi="Calibri" w:cs="Calibri"/>
          <w:color w:val="000000" w:themeColor="text1"/>
        </w:rPr>
        <w:t xml:space="preserve"> any potential relapse would have been identified at the standard interval 3-monthly </w:t>
      </w:r>
      <w:r>
        <w:rPr>
          <w:rFonts w:ascii="Calibri" w:hAnsi="Calibri" w:cs="Calibri"/>
          <w:color w:val="000000" w:themeColor="text1"/>
        </w:rPr>
        <w:t>visits</w:t>
      </w:r>
      <w:r w:rsidRPr="45DD449C">
        <w:rPr>
          <w:rFonts w:ascii="Calibri" w:hAnsi="Calibri" w:cs="Calibri"/>
          <w:color w:val="000000" w:themeColor="text1"/>
        </w:rPr>
        <w:t>.</w:t>
      </w:r>
    </w:p>
    <w:p w14:paraId="338CE833" w14:textId="66B2DBE6" w:rsidR="000923EA" w:rsidRDefault="000923EA" w:rsidP="00E4455B">
      <w:pPr>
        <w:spacing w:line="276" w:lineRule="auto"/>
      </w:pPr>
    </w:p>
    <w:p w14:paraId="14C8705B" w14:textId="063C584C" w:rsidR="000923EA" w:rsidRPr="00F473D7" w:rsidRDefault="000923EA" w:rsidP="00E4455B">
      <w:pPr>
        <w:pStyle w:val="Heading2"/>
        <w:spacing w:line="276" w:lineRule="auto"/>
      </w:pPr>
      <w:bookmarkStart w:id="58" w:name="_Toc77595263"/>
      <w:bookmarkStart w:id="59" w:name="_Toc77595483"/>
      <w:bookmarkStart w:id="60" w:name="_Toc77595732"/>
      <w:bookmarkStart w:id="61" w:name="_Toc80281891"/>
      <w:r>
        <w:t xml:space="preserve">Study Design: </w:t>
      </w:r>
      <w:r w:rsidR="00E1681B">
        <w:t xml:space="preserve">AAV diagnosis: </w:t>
      </w:r>
      <w:r>
        <w:t>77-day prodrome between date of symptom onset and diagnosis</w:t>
      </w:r>
      <w:bookmarkEnd w:id="58"/>
      <w:bookmarkEnd w:id="59"/>
      <w:bookmarkEnd w:id="60"/>
      <w:bookmarkEnd w:id="61"/>
    </w:p>
    <w:p w14:paraId="76AAE2B7" w14:textId="27AC48D0" w:rsidR="000923EA" w:rsidRPr="000923EA" w:rsidRDefault="000923EA" w:rsidP="00E4455B">
      <w:pPr>
        <w:spacing w:line="276" w:lineRule="auto"/>
        <w:rPr>
          <w:rFonts w:ascii="Calibri" w:hAnsi="Calibri" w:cs="Calibri"/>
        </w:rPr>
      </w:pPr>
      <w:r>
        <w:rPr>
          <w:rFonts w:ascii="Calibri" w:hAnsi="Calibri" w:cs="Calibri"/>
        </w:rPr>
        <w:t>Of 600 definite AAV cases in the RKD registry, date of both symptom onset and diagnosis were available for 370 participants. The median prodrome was 77 days (IQR 31-216). The prodrome was longest for those whom symptoms began in winter (104 days, IQR 42-290) and shortest for those commencing in spring (57 days, IQR 28-188). Prodromal duration also varied by AAV phenotype: EGPA 188 days (IQR 75.5-1200), GPA 92 days (37.2-253) and MPA 62 days (IQR 26-181).</w:t>
      </w:r>
    </w:p>
    <w:p w14:paraId="52D17078" w14:textId="77777777" w:rsidR="00794668" w:rsidRDefault="00794668" w:rsidP="00E4455B">
      <w:pPr>
        <w:spacing w:line="276" w:lineRule="auto"/>
        <w:rPr>
          <w:rFonts w:ascii="Calibri" w:hAnsi="Calibri" w:cs="Calibri"/>
        </w:rPr>
      </w:pPr>
    </w:p>
    <w:p w14:paraId="77C744FA" w14:textId="28F956E8" w:rsidR="00E40E5E" w:rsidRDefault="00E40E5E" w:rsidP="00E40E5E">
      <w:pPr>
        <w:pStyle w:val="Heading2"/>
        <w:spacing w:line="276" w:lineRule="auto"/>
      </w:pPr>
      <w:bookmarkStart w:id="62" w:name="_Toc80281892"/>
      <w:bookmarkStart w:id="63" w:name="_Toc77595264"/>
      <w:bookmarkStart w:id="64" w:name="_Toc77595484"/>
      <w:bookmarkStart w:id="65" w:name="_Toc77595733"/>
      <w:r>
        <w:t>Patient and public involvement</w:t>
      </w:r>
      <w:bookmarkEnd w:id="62"/>
    </w:p>
    <w:p w14:paraId="0087C186" w14:textId="06CE548E" w:rsidR="00E40E5E" w:rsidRPr="00E40E5E" w:rsidRDefault="00417232" w:rsidP="00E40E5E">
      <w:r>
        <w:t xml:space="preserve">Patient involvement was </w:t>
      </w:r>
      <w:r w:rsidR="00564AF0">
        <w:t>primarily through the national patient group, ‘Vasculitis Ireland Awareness’</w:t>
      </w:r>
      <w:r w:rsidR="000627B1">
        <w:t xml:space="preserve">, through </w:t>
      </w:r>
      <w:r w:rsidR="00846FA7">
        <w:t>focus groups and ‘question and answer’ sessions at their national annual meeting</w:t>
      </w:r>
      <w:r w:rsidR="00564AF0">
        <w:t xml:space="preserve">. </w:t>
      </w:r>
      <w:r w:rsidR="007347A4">
        <w:t xml:space="preserve">Patients </w:t>
      </w:r>
      <w:r w:rsidR="00CD0A22">
        <w:t xml:space="preserve">were instrumental </w:t>
      </w:r>
      <w:r w:rsidR="00564AF0">
        <w:t>in</w:t>
      </w:r>
      <w:r w:rsidR="00CD0A22">
        <w:t xml:space="preserve"> prioritising the research question</w:t>
      </w:r>
      <w:r>
        <w:t xml:space="preserve"> </w:t>
      </w:r>
      <w:r w:rsidR="00564AF0">
        <w:t xml:space="preserve">which led to this study. </w:t>
      </w:r>
      <w:r w:rsidR="00126CD9">
        <w:t xml:space="preserve">AAV relapse is </w:t>
      </w:r>
      <w:r w:rsidR="00CF2914">
        <w:t>a recognised target of research for the wider vasculitis community also. Patients</w:t>
      </w:r>
      <w:r w:rsidR="00564AF0">
        <w:t xml:space="preserve"> </w:t>
      </w:r>
      <w:r>
        <w:t xml:space="preserve">were involved in the design and conduct of this research. </w:t>
      </w:r>
      <w:r w:rsidR="00A63368">
        <w:t>Julie Power, a patient re</w:t>
      </w:r>
      <w:r w:rsidR="00C859C0">
        <w:t xml:space="preserve">presentative, joined the study steering committee. </w:t>
      </w:r>
      <w:r w:rsidR="00B74ABD">
        <w:t xml:space="preserve">We developed a study newsletter </w:t>
      </w:r>
      <w:r w:rsidR="005F273C">
        <w:t xml:space="preserve">in conjunction with VIA </w:t>
      </w:r>
      <w:r w:rsidR="00C50E53">
        <w:t xml:space="preserve">(hosted on </w:t>
      </w:r>
      <w:r w:rsidR="005F273C">
        <w:t>their</w:t>
      </w:r>
      <w:r w:rsidR="00C50E53">
        <w:t xml:space="preserve"> website: </w:t>
      </w:r>
      <w:hyperlink r:id="rId16" w:history="1">
        <w:r w:rsidR="00C50E53" w:rsidRPr="006D2196">
          <w:rPr>
            <w:rStyle w:val="Hyperlink"/>
          </w:rPr>
          <w:t>https://vasculitis-ia.org/</w:t>
        </w:r>
      </w:hyperlink>
      <w:r w:rsidR="00C50E53">
        <w:t xml:space="preserve">) </w:t>
      </w:r>
      <w:r w:rsidR="00B74ABD">
        <w:t xml:space="preserve">to inform </w:t>
      </w:r>
      <w:r w:rsidR="005A6EF0">
        <w:t xml:space="preserve">participants and the wider vasculitis community about study updates. </w:t>
      </w:r>
      <w:r w:rsidR="00933F46">
        <w:t xml:space="preserve">We will disseminate study findings through this website, social media channels and </w:t>
      </w:r>
      <w:r w:rsidR="00CC5CF7">
        <w:t xml:space="preserve">at a patient session at the </w:t>
      </w:r>
      <w:r w:rsidR="00C140C3">
        <w:t xml:space="preserve">International Vasculitis and ANCA Workshop (April 2022). </w:t>
      </w:r>
    </w:p>
    <w:p w14:paraId="14A0CC38" w14:textId="77777777" w:rsidR="00E40E5E" w:rsidRDefault="00E40E5E" w:rsidP="00E4455B">
      <w:pPr>
        <w:pStyle w:val="Heading2"/>
        <w:spacing w:line="276" w:lineRule="auto"/>
      </w:pPr>
    </w:p>
    <w:p w14:paraId="40513D90" w14:textId="2693F167" w:rsidR="00F05407" w:rsidRDefault="00F05407" w:rsidP="00E4455B">
      <w:pPr>
        <w:pStyle w:val="Heading2"/>
        <w:spacing w:line="276" w:lineRule="auto"/>
      </w:pPr>
      <w:bookmarkStart w:id="66" w:name="_Toc80281893"/>
      <w:r>
        <w:t>Statistical analysis</w:t>
      </w:r>
      <w:bookmarkEnd w:id="63"/>
      <w:bookmarkEnd w:id="64"/>
      <w:bookmarkEnd w:id="65"/>
      <w:bookmarkEnd w:id="66"/>
    </w:p>
    <w:p w14:paraId="72ED49D1" w14:textId="54628C53" w:rsidR="00685522" w:rsidRDefault="00581E8C" w:rsidP="00E4455B">
      <w:pPr>
        <w:spacing w:line="276" w:lineRule="auto"/>
        <w:rPr>
          <w:rStyle w:val="normaltextrun"/>
          <w:rFonts w:ascii="Calibri" w:eastAsiaTheme="majorEastAsia" w:hAnsi="Calibri" w:cs="Calibri"/>
          <w:color w:val="000000" w:themeColor="text1"/>
          <w:shd w:val="clear" w:color="auto" w:fill="FFFFFF"/>
        </w:rPr>
      </w:pPr>
      <w:r w:rsidRPr="00064E4D">
        <w:rPr>
          <w:rFonts w:ascii="Calibri" w:hAnsi="Calibri" w:cs="Calibri"/>
          <w:b/>
          <w:bCs/>
          <w:lang w:eastAsia="en-GB"/>
        </w:rPr>
        <w:t>AAV relapse</w:t>
      </w:r>
      <w:r w:rsidR="002E3862">
        <w:rPr>
          <w:rFonts w:ascii="Calibri" w:hAnsi="Calibri" w:cs="Calibri"/>
          <w:b/>
          <w:bCs/>
          <w:lang w:eastAsia="en-GB"/>
        </w:rPr>
        <w:t xml:space="preserve"> power calculation</w:t>
      </w:r>
      <w:r w:rsidRPr="00064E4D">
        <w:rPr>
          <w:rFonts w:ascii="Calibri" w:hAnsi="Calibri" w:cs="Calibri"/>
          <w:b/>
          <w:bCs/>
          <w:lang w:eastAsia="en-GB"/>
        </w:rPr>
        <w:t>.</w:t>
      </w:r>
      <w:r>
        <w:rPr>
          <w:rFonts w:ascii="Calibri" w:hAnsi="Calibri" w:cs="Calibri"/>
          <w:b/>
          <w:bCs/>
          <w:lang w:eastAsia="en-GB"/>
        </w:rPr>
        <w:t xml:space="preserve"> </w:t>
      </w:r>
      <w:r w:rsidR="002E3862" w:rsidRPr="002E3862">
        <w:rPr>
          <w:rFonts w:ascii="Calibri" w:hAnsi="Calibri" w:cs="Calibri"/>
          <w:lang w:eastAsia="en-GB"/>
        </w:rPr>
        <w:t>This</w:t>
      </w:r>
      <w:r w:rsidRPr="00205DBE">
        <w:t xml:space="preserve"> was performed using simulatio</w:t>
      </w:r>
      <w:r>
        <w:t xml:space="preserve">n </w:t>
      </w:r>
      <w:r w:rsidRPr="00870844">
        <w:rPr>
          <w:rStyle w:val="normaltextrun"/>
          <w:rFonts w:ascii="Calibri" w:hAnsi="Calibri" w:cs="Calibri"/>
          <w:color w:val="000000" w:themeColor="text1"/>
          <w:shd w:val="clear" w:color="auto" w:fill="FFFFFF"/>
        </w:rPr>
        <w:t>which characterised a remitting relapsing pattern dependent on a seasonal CW-D-UVB component mimicking the n-of-1 sampling design used. Similar approaches for </w:t>
      </w:r>
      <w:r w:rsidR="009614B4">
        <w:rPr>
          <w:rStyle w:val="normaltextrun"/>
          <w:rFonts w:ascii="Calibri" w:hAnsi="Calibri" w:cs="Calibri"/>
          <w:color w:val="000000" w:themeColor="text1"/>
          <w:shd w:val="clear" w:color="auto" w:fill="FFFFFF"/>
        </w:rPr>
        <w:t xml:space="preserve">the </w:t>
      </w:r>
      <w:r w:rsidRPr="00870844">
        <w:rPr>
          <w:rStyle w:val="normaltextrun"/>
          <w:rFonts w:ascii="Calibri" w:hAnsi="Calibri" w:cs="Calibri"/>
          <w:color w:val="000000" w:themeColor="text1"/>
          <w:shd w:val="clear" w:color="auto" w:fill="FFFFFF"/>
        </w:rPr>
        <w:t>vitD trial design are described in</w:t>
      </w:r>
      <w:r w:rsidR="003C4AAD">
        <w:rPr>
          <w:rStyle w:val="normaltextrun"/>
          <w:rFonts w:ascii="Calibri" w:eastAsiaTheme="majorEastAsia" w:hAnsi="Calibri" w:cs="Calibri"/>
          <w:color w:val="000000" w:themeColor="text1"/>
          <w:shd w:val="clear" w:color="auto" w:fill="FFFFFF"/>
        </w:rPr>
        <w:fldChar w:fldCharType="begin"/>
      </w:r>
      <w:r w:rsidR="003C4AAD">
        <w:rPr>
          <w:rStyle w:val="normaltextrun"/>
          <w:rFonts w:ascii="Calibri" w:eastAsiaTheme="majorEastAsia" w:hAnsi="Calibri" w:cs="Calibri"/>
          <w:color w:val="000000" w:themeColor="text1"/>
          <w:shd w:val="clear" w:color="auto" w:fill="FFFFFF"/>
        </w:rPr>
        <w:instrText xml:space="preserve"> ADDIN EN.CITE &lt;EndNote&gt;&lt;Cite&gt;&lt;Author&gt;Wyse&lt;/Author&gt;&lt;Year&gt;2021&lt;/Year&gt;&lt;RecNum&gt;2592&lt;/RecNum&gt;&lt;DisplayText&gt;[6]&lt;/DisplayText&gt;&lt;record&gt;&lt;rec-number&gt;2592&lt;/rec-number&gt;&lt;foreign-keys&gt;&lt;key app="EN" db-id="w592da5tv2wzz4ewrfppdwexsd0a0rvf2wxz" timestamp="1625586613"&gt;2592&lt;/key&gt;&lt;/foreign-keys&gt;&lt;ref-type name="Journal Article"&gt;17&lt;/ref-type&gt;&lt;contributors&gt;&lt;authors&gt;&lt;author&gt;Wyse, Jason&lt;/author&gt;&lt;author&gt;Mangan, Rebecca&lt;/author&gt;&lt;author&gt;Zgaga, Lina&lt;/author&gt;&lt;/authors&gt;&lt;/contributors&gt;&lt;titles&gt;&lt;title&gt;Power determination in vitamin D randomised control trials and characterising factors affecting it through a novel simulation-based tool&lt;/title&gt;&lt;secondary-title&gt;Scientific Reports&lt;/secondary-title&gt;&lt;/titles&gt;&lt;periodical&gt;&lt;full-title&gt;Scientific reports&lt;/full-title&gt;&lt;/periodical&gt;&lt;pages&gt;10804&lt;/pages&gt;&lt;volume&gt;11&lt;/volume&gt;&lt;number&gt;1&lt;/number&gt;&lt;dates&gt;&lt;year&gt;2021&lt;/year&gt;&lt;pub-dates&gt;&lt;date&gt;2021/05/24&lt;/date&gt;&lt;/pub-dates&gt;&lt;/dates&gt;&lt;isbn&gt;2045-2322&lt;/isbn&gt;&lt;urls&gt;&lt;related-urls&gt;&lt;url&gt;https://doi.org/10.1038/s41598-021-90019-7&lt;/url&gt;&lt;/related-urls&gt;&lt;/urls&gt;&lt;electronic-resource-num&gt;10.1038/s41598-021-90019-7&lt;/electronic-resource-num&gt;&lt;/record&gt;&lt;/Cite&gt;&lt;/EndNote&gt;</w:instrText>
      </w:r>
      <w:r w:rsidR="003C4AAD">
        <w:rPr>
          <w:rStyle w:val="normaltextrun"/>
          <w:rFonts w:ascii="Calibri" w:eastAsiaTheme="majorEastAsia" w:hAnsi="Calibri" w:cs="Calibri"/>
          <w:color w:val="000000" w:themeColor="text1"/>
          <w:shd w:val="clear" w:color="auto" w:fill="FFFFFF"/>
        </w:rPr>
        <w:fldChar w:fldCharType="separate"/>
      </w:r>
      <w:r w:rsidR="003C4AAD">
        <w:rPr>
          <w:rStyle w:val="normaltextrun"/>
          <w:rFonts w:ascii="Calibri" w:eastAsiaTheme="majorEastAsia" w:hAnsi="Calibri" w:cs="Calibri"/>
          <w:noProof/>
          <w:color w:val="000000" w:themeColor="text1"/>
          <w:shd w:val="clear" w:color="auto" w:fill="FFFFFF"/>
        </w:rPr>
        <w:t>[6]</w:t>
      </w:r>
      <w:r w:rsidR="003C4AAD">
        <w:rPr>
          <w:rStyle w:val="normaltextrun"/>
          <w:rFonts w:ascii="Calibri" w:eastAsiaTheme="majorEastAsia" w:hAnsi="Calibri" w:cs="Calibri"/>
          <w:color w:val="000000" w:themeColor="text1"/>
          <w:shd w:val="clear" w:color="auto" w:fill="FFFFFF"/>
        </w:rPr>
        <w:fldChar w:fldCharType="end"/>
      </w:r>
      <w:r w:rsidRPr="00870844">
        <w:rPr>
          <w:rStyle w:val="normaltextrun"/>
          <w:rFonts w:ascii="Calibri" w:hAnsi="Calibri" w:cs="Calibri"/>
          <w:color w:val="000000" w:themeColor="text1"/>
          <w:shd w:val="clear" w:color="auto" w:fill="FFFFFF"/>
        </w:rPr>
        <w:t>. With </w:t>
      </w:r>
      <w:r w:rsidRPr="00870844">
        <w:rPr>
          <w:rStyle w:val="normaltextrun"/>
          <w:rFonts w:ascii="Calibri" w:hAnsi="Calibri" w:cs="Calibri"/>
          <w:i/>
          <w:iCs/>
          <w:color w:val="000000" w:themeColor="text1"/>
          <w:shd w:val="clear" w:color="auto" w:fill="FFFFFF"/>
        </w:rPr>
        <w:t>n</w:t>
      </w:r>
      <w:r w:rsidRPr="00870844">
        <w:rPr>
          <w:rStyle w:val="normaltextrun"/>
          <w:rFonts w:ascii="Calibri" w:hAnsi="Calibri" w:cs="Calibri"/>
          <w:color w:val="000000" w:themeColor="text1"/>
          <w:shd w:val="clear" w:color="auto" w:fill="FFFFFF"/>
        </w:rPr>
        <w:t>=439 we have an 85% power to detect an effect when a 10 unit increase CW-D</w:t>
      </w:r>
      <w:r w:rsidRPr="00870844">
        <w:rPr>
          <w:rStyle w:val="normaltextrun"/>
          <w:rFonts w:ascii="Calibri" w:eastAsiaTheme="majorEastAsia" w:hAnsi="Calibri" w:cs="Calibri"/>
          <w:color w:val="000000" w:themeColor="text1"/>
          <w:shd w:val="clear" w:color="auto" w:fill="FFFFFF"/>
        </w:rPr>
        <w:t>-</w:t>
      </w:r>
      <w:r w:rsidRPr="00870844">
        <w:rPr>
          <w:rStyle w:val="normaltextrun"/>
          <w:rFonts w:ascii="Calibri" w:hAnsi="Calibri" w:cs="Calibri"/>
          <w:color w:val="000000" w:themeColor="text1"/>
          <w:shd w:val="clear" w:color="auto" w:fill="FFFFFF"/>
        </w:rPr>
        <w:t>UVB results in a</w:t>
      </w:r>
      <w:r w:rsidR="00137FB1">
        <w:rPr>
          <w:rStyle w:val="normaltextrun"/>
          <w:rFonts w:ascii="Calibri" w:hAnsi="Calibri" w:cs="Calibri"/>
          <w:color w:val="000000" w:themeColor="text1"/>
          <w:shd w:val="clear" w:color="auto" w:fill="FFFFFF"/>
        </w:rPr>
        <w:t xml:space="preserve">n </w:t>
      </w:r>
      <w:r w:rsidR="00137FB1" w:rsidRPr="00870844">
        <w:rPr>
          <w:rStyle w:val="normaltextrun"/>
          <w:rFonts w:ascii="Calibri" w:hAnsi="Calibri" w:cs="Calibri"/>
          <w:color w:val="000000" w:themeColor="text1"/>
          <w:shd w:val="clear" w:color="auto" w:fill="FFFFFF"/>
        </w:rPr>
        <w:t>odds</w:t>
      </w:r>
      <w:r w:rsidR="00137FB1" w:rsidRPr="00870844">
        <w:rPr>
          <w:rStyle w:val="normaltextrun"/>
          <w:rFonts w:ascii="Calibri" w:eastAsiaTheme="majorEastAsia" w:hAnsi="Calibri" w:cs="Calibri"/>
          <w:color w:val="000000" w:themeColor="text1"/>
          <w:shd w:val="clear" w:color="auto" w:fill="FFFFFF"/>
        </w:rPr>
        <w:t xml:space="preserve"> </w:t>
      </w:r>
      <w:r w:rsidR="00137FB1" w:rsidRPr="00870844">
        <w:rPr>
          <w:rStyle w:val="normaltextrun"/>
          <w:rFonts w:ascii="Calibri" w:hAnsi="Calibri" w:cs="Calibri"/>
          <w:color w:val="000000" w:themeColor="text1"/>
          <w:shd w:val="clear" w:color="auto" w:fill="FFFFFF"/>
        </w:rPr>
        <w:t>ratio </w:t>
      </w:r>
      <w:r w:rsidR="00137FB1">
        <w:rPr>
          <w:rStyle w:val="normaltextrun"/>
          <w:rFonts w:ascii="Calibri" w:hAnsi="Calibri" w:cs="Calibri"/>
          <w:color w:val="000000" w:themeColor="text1"/>
          <w:shd w:val="clear" w:color="auto" w:fill="FFFFFF"/>
        </w:rPr>
        <w:t>of</w:t>
      </w:r>
      <w:r w:rsidRPr="00870844">
        <w:rPr>
          <w:rStyle w:val="normaltextrun"/>
          <w:rFonts w:ascii="Calibri" w:hAnsi="Calibri" w:cs="Calibri"/>
          <w:color w:val="000000" w:themeColor="text1"/>
          <w:shd w:val="clear" w:color="auto" w:fill="FFFFFF"/>
        </w:rPr>
        <w:t> </w:t>
      </w:r>
      <w:r w:rsidRPr="00870844">
        <w:rPr>
          <w:rStyle w:val="normaltextrun"/>
          <w:rFonts w:ascii="Calibri" w:eastAsiaTheme="majorEastAsia" w:hAnsi="Calibri" w:cs="Calibri"/>
          <w:color w:val="000000" w:themeColor="text1"/>
          <w:shd w:val="clear" w:color="auto" w:fill="FFFFFF"/>
        </w:rPr>
        <w:t>relapse</w:t>
      </w:r>
      <w:r w:rsidRPr="00870844">
        <w:rPr>
          <w:rStyle w:val="normaltextrun"/>
          <w:rFonts w:ascii="Calibri" w:hAnsi="Calibri" w:cs="Calibri"/>
          <w:color w:val="000000" w:themeColor="text1"/>
          <w:shd w:val="clear" w:color="auto" w:fill="FFFFFF"/>
        </w:rPr>
        <w:t xml:space="preserve"> of 0.55</w:t>
      </w:r>
      <w:r w:rsidRPr="00870844">
        <w:rPr>
          <w:rStyle w:val="normaltextrun"/>
          <w:rFonts w:ascii="Calibri" w:eastAsiaTheme="majorEastAsia" w:hAnsi="Calibri" w:cs="Calibri"/>
          <w:color w:val="000000" w:themeColor="text1"/>
          <w:shd w:val="clear" w:color="auto" w:fill="FFFFFF"/>
        </w:rPr>
        <w:t>.</w:t>
      </w:r>
    </w:p>
    <w:p w14:paraId="5B584700" w14:textId="6779E34E" w:rsidR="008E06B7" w:rsidRPr="006C0817" w:rsidRDefault="008E06B7" w:rsidP="00E4455B">
      <w:pPr>
        <w:spacing w:line="276" w:lineRule="auto"/>
        <w:rPr>
          <w:rStyle w:val="normaltextrun"/>
          <w:rFonts w:ascii="Calibri" w:eastAsiaTheme="majorEastAsia" w:hAnsi="Calibri" w:cs="Calibri"/>
          <w:color w:val="000000" w:themeColor="text1"/>
          <w:shd w:val="clear" w:color="auto" w:fill="FFFFFF"/>
        </w:rPr>
      </w:pPr>
      <w:r>
        <w:rPr>
          <w:rStyle w:val="normaltextrun"/>
          <w:rFonts w:ascii="Calibri" w:eastAsiaTheme="majorEastAsia" w:hAnsi="Calibri" w:cs="Calibri"/>
          <w:color w:val="000000" w:themeColor="text1"/>
          <w:shd w:val="clear" w:color="auto" w:fill="FFFFFF"/>
        </w:rPr>
        <w:lastRenderedPageBreak/>
        <w:t xml:space="preserve">Of note, </w:t>
      </w:r>
      <w:r w:rsidR="006C0817">
        <w:rPr>
          <w:rStyle w:val="normaltextrun"/>
          <w:rFonts w:ascii="Calibri" w:eastAsiaTheme="majorEastAsia" w:hAnsi="Calibri" w:cs="Calibri"/>
          <w:color w:val="000000" w:themeColor="text1"/>
          <w:shd w:val="clear" w:color="auto" w:fill="FFFFFF"/>
        </w:rPr>
        <w:t>continuous variables were scaled (</w:t>
      </w:r>
      <w:r w:rsidR="006C0817">
        <w:rPr>
          <w:rStyle w:val="normaltextrun"/>
          <w:rFonts w:ascii="Calibri" w:eastAsiaTheme="majorEastAsia" w:hAnsi="Calibri" w:cs="Calibri"/>
          <w:i/>
          <w:iCs/>
          <w:color w:val="000000" w:themeColor="text1"/>
          <w:shd w:val="clear" w:color="auto" w:fill="FFFFFF"/>
        </w:rPr>
        <w:t xml:space="preserve">scale </w:t>
      </w:r>
      <w:r w:rsidR="006C0817">
        <w:rPr>
          <w:rStyle w:val="normaltextrun"/>
          <w:rFonts w:ascii="Calibri" w:eastAsiaTheme="majorEastAsia" w:hAnsi="Calibri" w:cs="Calibri"/>
          <w:color w:val="000000" w:themeColor="text1"/>
          <w:shd w:val="clear" w:color="auto" w:fill="FFFFFF"/>
        </w:rPr>
        <w:t xml:space="preserve">function in R: subtract mean and divide by standard deviation for each value) prior to </w:t>
      </w:r>
      <w:r w:rsidR="000A58AC">
        <w:rPr>
          <w:rStyle w:val="normaltextrun"/>
          <w:rFonts w:ascii="Calibri" w:eastAsiaTheme="majorEastAsia" w:hAnsi="Calibri" w:cs="Calibri"/>
          <w:color w:val="000000" w:themeColor="text1"/>
          <w:shd w:val="clear" w:color="auto" w:fill="FFFFFF"/>
        </w:rPr>
        <w:t>inclusion in the multi-level models.</w:t>
      </w:r>
    </w:p>
    <w:p w14:paraId="5D5C7DC1" w14:textId="2ECE7D6C" w:rsidR="00F05407" w:rsidRPr="00064E4D" w:rsidRDefault="00581E8C" w:rsidP="00E4455B">
      <w:pPr>
        <w:spacing w:line="276" w:lineRule="auto"/>
        <w:rPr>
          <w:rFonts w:ascii="Calibri" w:hAnsi="Calibri" w:cs="Calibri"/>
          <w:b/>
          <w:bCs/>
        </w:rPr>
      </w:pPr>
      <w:r w:rsidRPr="00064E4D">
        <w:rPr>
          <w:rFonts w:ascii="Calibri" w:hAnsi="Calibri" w:cs="Calibri"/>
          <w:b/>
          <w:bCs/>
          <w:lang w:eastAsia="en-GB"/>
        </w:rPr>
        <w:br/>
      </w:r>
      <w:r w:rsidR="00064E4D">
        <w:rPr>
          <w:rFonts w:ascii="Calibri" w:hAnsi="Calibri" w:cs="Calibri"/>
          <w:b/>
          <w:bCs/>
        </w:rPr>
        <w:t>AAV diagnosis</w:t>
      </w:r>
      <w:r w:rsidR="00441306">
        <w:rPr>
          <w:rFonts w:ascii="Calibri" w:hAnsi="Calibri" w:cs="Calibri"/>
          <w:b/>
          <w:bCs/>
        </w:rPr>
        <w:t xml:space="preserve">. </w:t>
      </w:r>
    </w:p>
    <w:p w14:paraId="68D020A4" w14:textId="0805F422" w:rsidR="00A41032" w:rsidRDefault="0056391C" w:rsidP="00E4455B">
      <w:pPr>
        <w:spacing w:line="276" w:lineRule="auto"/>
        <w:rPr>
          <w:rFonts w:ascii="Calibri" w:hAnsi="Calibri" w:cs="Calibri"/>
        </w:rPr>
      </w:pPr>
      <w:r w:rsidRPr="0056391C">
        <w:rPr>
          <w:rFonts w:ascii="Calibri" w:hAnsi="Calibri" w:cs="Calibri"/>
          <w:lang w:eastAsia="en-GB"/>
        </w:rPr>
        <w:t xml:space="preserve">i). </w:t>
      </w:r>
      <w:r w:rsidR="00346C66" w:rsidRPr="00CC5DA3">
        <w:rPr>
          <w:rFonts w:ascii="Calibri" w:hAnsi="Calibri" w:cs="Calibri"/>
          <w:i/>
          <w:iCs/>
        </w:rPr>
        <w:t xml:space="preserve">CW-D-UVB </w:t>
      </w:r>
      <w:r w:rsidR="00550F52" w:rsidRPr="00CC5DA3">
        <w:rPr>
          <w:rFonts w:ascii="Calibri" w:hAnsi="Calibri" w:cs="Calibri"/>
          <w:i/>
          <w:iCs/>
        </w:rPr>
        <w:t>at diagnosis</w:t>
      </w:r>
      <w:r w:rsidR="00346C66" w:rsidRPr="00CC5DA3">
        <w:rPr>
          <w:rFonts w:ascii="Calibri" w:hAnsi="Calibri" w:cs="Calibri"/>
          <w:i/>
          <w:iCs/>
        </w:rPr>
        <w:t xml:space="preserve"> was normalised to the average annual CW-D-UVB at that location</w:t>
      </w:r>
      <w:r w:rsidR="00346C66" w:rsidRPr="45DD449C">
        <w:rPr>
          <w:rFonts w:ascii="Calibri" w:hAnsi="Calibri" w:cs="Calibri"/>
        </w:rPr>
        <w:t xml:space="preserve">, thereby accounting for latitudinal differences in </w:t>
      </w:r>
      <w:r w:rsidR="00346C66">
        <w:rPr>
          <w:rFonts w:ascii="Calibri" w:hAnsi="Calibri" w:cs="Calibri"/>
        </w:rPr>
        <w:t>CW-D-UVB</w:t>
      </w:r>
      <w:r w:rsidR="00346C66" w:rsidRPr="45DD449C">
        <w:rPr>
          <w:rFonts w:ascii="Calibri" w:hAnsi="Calibri" w:cs="Calibri"/>
        </w:rPr>
        <w:t xml:space="preserve"> . </w:t>
      </w:r>
      <w:r w:rsidR="000D2DED">
        <w:rPr>
          <w:rFonts w:ascii="Calibri" w:hAnsi="Calibri" w:cs="Calibri"/>
        </w:rPr>
        <w:t xml:space="preserve">Both the ratio and delta were </w:t>
      </w:r>
      <w:r w:rsidR="00A41032">
        <w:rPr>
          <w:rFonts w:ascii="Calibri" w:hAnsi="Calibri" w:cs="Calibri"/>
        </w:rPr>
        <w:t>calculated,</w:t>
      </w:r>
      <w:r w:rsidR="00F965FF">
        <w:rPr>
          <w:rFonts w:ascii="Calibri" w:hAnsi="Calibri" w:cs="Calibri"/>
        </w:rPr>
        <w:t xml:space="preserve"> and one-sided Wilcoxon rank sum test</w:t>
      </w:r>
      <w:r w:rsidR="00370C07">
        <w:rPr>
          <w:rFonts w:ascii="Calibri" w:hAnsi="Calibri" w:cs="Calibri"/>
        </w:rPr>
        <w:t>s</w:t>
      </w:r>
      <w:r w:rsidR="00F965FF">
        <w:rPr>
          <w:rFonts w:ascii="Calibri" w:hAnsi="Calibri" w:cs="Calibri"/>
        </w:rPr>
        <w:t xml:space="preserve"> w</w:t>
      </w:r>
      <w:r w:rsidR="00CC1BF2">
        <w:rPr>
          <w:rFonts w:ascii="Calibri" w:hAnsi="Calibri" w:cs="Calibri"/>
        </w:rPr>
        <w:t>ere</w:t>
      </w:r>
      <w:r w:rsidR="00F965FF">
        <w:rPr>
          <w:rFonts w:ascii="Calibri" w:hAnsi="Calibri" w:cs="Calibri"/>
        </w:rPr>
        <w:t xml:space="preserve"> performed </w:t>
      </w:r>
      <w:r w:rsidR="00CC1BF2">
        <w:rPr>
          <w:rFonts w:ascii="Calibri" w:hAnsi="Calibri" w:cs="Calibri"/>
        </w:rPr>
        <w:t xml:space="preserve">to determine </w:t>
      </w:r>
      <w:r w:rsidR="00820AAA">
        <w:rPr>
          <w:rFonts w:ascii="Calibri" w:hAnsi="Calibri" w:cs="Calibri"/>
        </w:rPr>
        <w:t>if the median was significantly different from 1 and 0, respectively.</w:t>
      </w:r>
    </w:p>
    <w:p w14:paraId="48CF5A91" w14:textId="0DF0C36B" w:rsidR="00064E4D" w:rsidRDefault="00064E4D" w:rsidP="00E4455B">
      <w:pPr>
        <w:spacing w:line="276" w:lineRule="auto"/>
        <w:rPr>
          <w:rFonts w:ascii="Calibri" w:hAnsi="Calibri" w:cs="Calibri"/>
        </w:rPr>
      </w:pPr>
    </w:p>
    <w:p w14:paraId="688587F5" w14:textId="77777777" w:rsidR="00CB3FE9" w:rsidRDefault="00CB3FE9" w:rsidP="00E4455B">
      <w:pPr>
        <w:spacing w:line="276" w:lineRule="auto"/>
        <w:rPr>
          <w:rFonts w:ascii="Calibri" w:hAnsi="Calibri" w:cs="Calibri"/>
          <w:lang w:eastAsia="en-GB"/>
        </w:rPr>
      </w:pPr>
    </w:p>
    <w:p w14:paraId="73DC6BBD" w14:textId="77777777" w:rsidR="0056391C" w:rsidRPr="00346C66" w:rsidRDefault="0056391C" w:rsidP="00233604">
      <w:pPr>
        <w:rPr>
          <w:rFonts w:ascii="Calibri" w:hAnsi="Calibri" w:cs="Calibri"/>
          <w:lang w:eastAsia="en-GB"/>
        </w:rPr>
      </w:pPr>
    </w:p>
    <w:p w14:paraId="6605F584" w14:textId="0DA8BA8C" w:rsidR="00617782" w:rsidRDefault="00617782" w:rsidP="00BB3B17"/>
    <w:p w14:paraId="19DC7B80" w14:textId="3A7A9E9D" w:rsidR="00A20B33" w:rsidRDefault="00A20B33" w:rsidP="00A20B33"/>
    <w:p w14:paraId="2AA9964F" w14:textId="77777777" w:rsidR="003C4AAD" w:rsidRDefault="0035790E" w:rsidP="00C55FA6">
      <w:pPr>
        <w:pStyle w:val="Heading2"/>
      </w:pPr>
      <w:bookmarkStart w:id="67" w:name="_Toc80281894"/>
      <w:r>
        <w:t xml:space="preserve">Additional </w:t>
      </w:r>
      <w:r w:rsidR="00C55FA6">
        <w:t>References</w:t>
      </w:r>
      <w:bookmarkEnd w:id="67"/>
    </w:p>
    <w:p w14:paraId="38DC444A" w14:textId="77777777" w:rsidR="003C4AAD" w:rsidRDefault="003C4AAD" w:rsidP="00C55FA6">
      <w:pPr>
        <w:pStyle w:val="Heading2"/>
      </w:pPr>
    </w:p>
    <w:p w14:paraId="08D76BCD" w14:textId="77777777" w:rsidR="003C4AAD" w:rsidRPr="003C4AAD" w:rsidRDefault="003C4AAD" w:rsidP="003C4AAD">
      <w:pPr>
        <w:pStyle w:val="EndNoteBibliography"/>
        <w:ind w:left="720" w:hanging="720"/>
        <w:rPr>
          <w:noProof/>
        </w:rPr>
      </w:pPr>
      <w:r>
        <w:fldChar w:fldCharType="begin"/>
      </w:r>
      <w:r>
        <w:instrText xml:space="preserve"> ADDIN EN.REFLIST </w:instrText>
      </w:r>
      <w:r>
        <w:fldChar w:fldCharType="separate"/>
      </w:r>
      <w:r w:rsidRPr="003C4AAD">
        <w:rPr>
          <w:noProof/>
        </w:rPr>
        <w:t>1.</w:t>
      </w:r>
      <w:r w:rsidRPr="003C4AAD">
        <w:rPr>
          <w:noProof/>
        </w:rPr>
        <w:tab/>
        <w:t xml:space="preserve">Bouillon R EJ, GarabedianM, Holick MF, Kleinschmidt J, Suda T,, Terenetskaya I WA: </w:t>
      </w:r>
      <w:r w:rsidRPr="003C4AAD">
        <w:rPr>
          <w:b/>
          <w:noProof/>
        </w:rPr>
        <w:t>Action spectrum for the production of previtamin D3 in human skin.</w:t>
      </w:r>
      <w:r w:rsidRPr="003C4AAD">
        <w:rPr>
          <w:noProof/>
        </w:rPr>
        <w:t xml:space="preserve"> In</w:t>
      </w:r>
      <w:r w:rsidRPr="003C4AAD">
        <w:rPr>
          <w:i/>
          <w:noProof/>
        </w:rPr>
        <w:t>.</w:t>
      </w:r>
      <w:r w:rsidRPr="003C4AAD">
        <w:rPr>
          <w:noProof/>
        </w:rPr>
        <w:t xml:space="preserve"> Vienna (Austria): International Commission on Illumination; 2006.</w:t>
      </w:r>
    </w:p>
    <w:p w14:paraId="589219B3" w14:textId="77777777" w:rsidR="003C4AAD" w:rsidRPr="003C4AAD" w:rsidRDefault="003C4AAD" w:rsidP="003C4AAD">
      <w:pPr>
        <w:pStyle w:val="EndNoteBibliography"/>
        <w:ind w:left="720" w:hanging="720"/>
        <w:rPr>
          <w:noProof/>
        </w:rPr>
      </w:pPr>
      <w:r w:rsidRPr="003C4AAD">
        <w:rPr>
          <w:noProof/>
        </w:rPr>
        <w:t>2.</w:t>
      </w:r>
      <w:r w:rsidRPr="003C4AAD">
        <w:rPr>
          <w:noProof/>
        </w:rPr>
        <w:tab/>
        <w:t xml:space="preserve">Kelly D, Theodoratou E, Farrington SM, Fraser R, Campbell H, Dunlop MG, Zgaga L: </w:t>
      </w:r>
      <w:r w:rsidRPr="003C4AAD">
        <w:rPr>
          <w:b/>
          <w:noProof/>
        </w:rPr>
        <w:t>The contributions of adjusted ambient ultraviolet B radiation at place of residence and other determinants to serum 25-hydroxyvitamin D concentrations</w:t>
      </w:r>
      <w:r w:rsidRPr="003C4AAD">
        <w:rPr>
          <w:noProof/>
        </w:rPr>
        <w:t xml:space="preserve">. </w:t>
      </w:r>
      <w:r w:rsidRPr="003C4AAD">
        <w:rPr>
          <w:i/>
          <w:noProof/>
        </w:rPr>
        <w:t xml:space="preserve">British Journal of Dermatology </w:t>
      </w:r>
      <w:r w:rsidRPr="003C4AAD">
        <w:rPr>
          <w:noProof/>
        </w:rPr>
        <w:t xml:space="preserve">2016, </w:t>
      </w:r>
      <w:r w:rsidRPr="003C4AAD">
        <w:rPr>
          <w:b/>
          <w:noProof/>
        </w:rPr>
        <w:t>174</w:t>
      </w:r>
      <w:r w:rsidRPr="003C4AAD">
        <w:rPr>
          <w:noProof/>
        </w:rPr>
        <w:t>(5):1068-1078.</w:t>
      </w:r>
    </w:p>
    <w:p w14:paraId="1FA8F130" w14:textId="77777777" w:rsidR="003C4AAD" w:rsidRPr="003C4AAD" w:rsidRDefault="003C4AAD" w:rsidP="003C4AAD">
      <w:pPr>
        <w:pStyle w:val="EndNoteBibliography"/>
        <w:ind w:left="720" w:hanging="720"/>
        <w:rPr>
          <w:noProof/>
        </w:rPr>
      </w:pPr>
      <w:r w:rsidRPr="003C4AAD">
        <w:rPr>
          <w:noProof/>
        </w:rPr>
        <w:t>3.</w:t>
      </w:r>
      <w:r w:rsidRPr="003C4AAD">
        <w:rPr>
          <w:noProof/>
        </w:rPr>
        <w:tab/>
        <w:t>O'Sullivan F, Laird E, Kelly D, van Geffen J, van Weele M, McNulty H, Hoey L, Healy M, McCarroll K, Cunningham C</w:t>
      </w:r>
      <w:r w:rsidRPr="003C4AAD">
        <w:rPr>
          <w:i/>
          <w:noProof/>
        </w:rPr>
        <w:t xml:space="preserve"> et al</w:t>
      </w:r>
      <w:r w:rsidRPr="003C4AAD">
        <w:rPr>
          <w:noProof/>
        </w:rPr>
        <w:t xml:space="preserve">: </w:t>
      </w:r>
      <w:r w:rsidRPr="003C4AAD">
        <w:rPr>
          <w:b/>
          <w:noProof/>
        </w:rPr>
        <w:t>Ambient UVB Dose and Sun Enjoyment Are Important Predictors of Vitamin D Status in an Older Population</w:t>
      </w:r>
      <w:r w:rsidRPr="003C4AAD">
        <w:rPr>
          <w:noProof/>
        </w:rPr>
        <w:t xml:space="preserve">. </w:t>
      </w:r>
      <w:r w:rsidRPr="003C4AAD">
        <w:rPr>
          <w:i/>
          <w:noProof/>
        </w:rPr>
        <w:t xml:space="preserve">The Journal of Nutrition </w:t>
      </w:r>
      <w:r w:rsidRPr="003C4AAD">
        <w:rPr>
          <w:noProof/>
        </w:rPr>
        <w:t xml:space="preserve">2017, </w:t>
      </w:r>
      <w:r w:rsidRPr="003C4AAD">
        <w:rPr>
          <w:b/>
          <w:noProof/>
        </w:rPr>
        <w:t>147</w:t>
      </w:r>
      <w:r w:rsidRPr="003C4AAD">
        <w:rPr>
          <w:noProof/>
        </w:rPr>
        <w:t>(5):858-868.</w:t>
      </w:r>
    </w:p>
    <w:p w14:paraId="765E56E1" w14:textId="77777777" w:rsidR="003C4AAD" w:rsidRPr="003C4AAD" w:rsidRDefault="003C4AAD" w:rsidP="003C4AAD">
      <w:pPr>
        <w:pStyle w:val="EndNoteBibliography"/>
        <w:ind w:left="720" w:hanging="720"/>
        <w:rPr>
          <w:noProof/>
        </w:rPr>
      </w:pPr>
      <w:r w:rsidRPr="003C4AAD">
        <w:rPr>
          <w:noProof/>
        </w:rPr>
        <w:t>4.</w:t>
      </w:r>
      <w:r w:rsidRPr="003C4AAD">
        <w:rPr>
          <w:noProof/>
        </w:rPr>
        <w:tab/>
        <w:t>O'Sullivan F, Raftery T, van Weele M, van Geffen J, McNamara D, O'Morain C, Mahmud N, Kelly D, Healy M, O'Sullivan M</w:t>
      </w:r>
      <w:r w:rsidRPr="003C4AAD">
        <w:rPr>
          <w:i/>
          <w:noProof/>
        </w:rPr>
        <w:t xml:space="preserve"> et al</w:t>
      </w:r>
      <w:r w:rsidRPr="003C4AAD">
        <w:rPr>
          <w:noProof/>
        </w:rPr>
        <w:t xml:space="preserve">: </w:t>
      </w:r>
      <w:r w:rsidRPr="003C4AAD">
        <w:rPr>
          <w:b/>
          <w:noProof/>
        </w:rPr>
        <w:t>Sunshine is an Important Determinant of Vitamin D Status Even Among High-dose Supplement Users: Secondary Analysis of a Randomized Controlled Trial in Crohn's Disease Patients</w:t>
      </w:r>
      <w:r w:rsidRPr="003C4AAD">
        <w:rPr>
          <w:noProof/>
        </w:rPr>
        <w:t xml:space="preserve">. </w:t>
      </w:r>
      <w:r w:rsidRPr="003C4AAD">
        <w:rPr>
          <w:i/>
          <w:noProof/>
        </w:rPr>
        <w:t xml:space="preserve">Photochemistry and Photobiology </w:t>
      </w:r>
      <w:r w:rsidRPr="003C4AAD">
        <w:rPr>
          <w:noProof/>
        </w:rPr>
        <w:t xml:space="preserve">2019, </w:t>
      </w:r>
      <w:r w:rsidRPr="003C4AAD">
        <w:rPr>
          <w:b/>
          <w:noProof/>
        </w:rPr>
        <w:t>95</w:t>
      </w:r>
      <w:r w:rsidRPr="003C4AAD">
        <w:rPr>
          <w:noProof/>
        </w:rPr>
        <w:t>(4):1060-1067.</w:t>
      </w:r>
    </w:p>
    <w:p w14:paraId="20482B30" w14:textId="77777777" w:rsidR="003C4AAD" w:rsidRPr="003C4AAD" w:rsidRDefault="003C4AAD" w:rsidP="003C4AAD">
      <w:pPr>
        <w:pStyle w:val="EndNoteBibliography"/>
        <w:ind w:left="720" w:hanging="720"/>
        <w:rPr>
          <w:noProof/>
        </w:rPr>
      </w:pPr>
      <w:r w:rsidRPr="003C4AAD">
        <w:rPr>
          <w:noProof/>
        </w:rPr>
        <w:t>5.</w:t>
      </w:r>
      <w:r w:rsidRPr="003C4AAD">
        <w:rPr>
          <w:noProof/>
        </w:rPr>
        <w:tab/>
        <w:t>Li X, Geffen Jv, Weele Mv, Zhang X, He Y, Meng X, Timofeeva M, Campbell H, Dunlop M, Zgaga L</w:t>
      </w:r>
      <w:r w:rsidRPr="003C4AAD">
        <w:rPr>
          <w:i/>
          <w:noProof/>
        </w:rPr>
        <w:t xml:space="preserve"> et al</w:t>
      </w:r>
      <w:r w:rsidRPr="003C4AAD">
        <w:rPr>
          <w:noProof/>
        </w:rPr>
        <w:t xml:space="preserve">: </w:t>
      </w:r>
      <w:r w:rsidRPr="003C4AAD">
        <w:rPr>
          <w:b/>
          <w:noProof/>
        </w:rPr>
        <w:t>Genetically-predicted vitamin D status, ambient UVB during the pandemic and COVID-19 risk in UK Biobank: Mendelian Randomisation study</w:t>
      </w:r>
      <w:r w:rsidRPr="003C4AAD">
        <w:rPr>
          <w:noProof/>
        </w:rPr>
        <w:t xml:space="preserve">. </w:t>
      </w:r>
      <w:r w:rsidRPr="003C4AAD">
        <w:rPr>
          <w:i/>
          <w:noProof/>
        </w:rPr>
        <w:t xml:space="preserve">medRxiv </w:t>
      </w:r>
      <w:r w:rsidRPr="003C4AAD">
        <w:rPr>
          <w:noProof/>
        </w:rPr>
        <w:t>2020:2020.2008.2018.20177691.</w:t>
      </w:r>
    </w:p>
    <w:p w14:paraId="3C019964" w14:textId="77777777" w:rsidR="003C4AAD" w:rsidRPr="003C4AAD" w:rsidRDefault="003C4AAD" w:rsidP="003C4AAD">
      <w:pPr>
        <w:pStyle w:val="EndNoteBibliography"/>
        <w:ind w:left="720" w:hanging="720"/>
        <w:rPr>
          <w:noProof/>
        </w:rPr>
      </w:pPr>
      <w:r w:rsidRPr="003C4AAD">
        <w:rPr>
          <w:noProof/>
        </w:rPr>
        <w:t>6.</w:t>
      </w:r>
      <w:r w:rsidRPr="003C4AAD">
        <w:rPr>
          <w:noProof/>
        </w:rPr>
        <w:tab/>
        <w:t xml:space="preserve">Wyse J, Mangan R, Zgaga L: </w:t>
      </w:r>
      <w:r w:rsidRPr="003C4AAD">
        <w:rPr>
          <w:b/>
          <w:noProof/>
        </w:rPr>
        <w:t>Power determination in vitamin D randomised control trials and characterising factors affecting it through a novel simulation-based tool</w:t>
      </w:r>
      <w:r w:rsidRPr="003C4AAD">
        <w:rPr>
          <w:noProof/>
        </w:rPr>
        <w:t xml:space="preserve">. </w:t>
      </w:r>
      <w:r w:rsidRPr="003C4AAD">
        <w:rPr>
          <w:i/>
          <w:noProof/>
        </w:rPr>
        <w:t xml:space="preserve">Scientific Reports </w:t>
      </w:r>
      <w:r w:rsidRPr="003C4AAD">
        <w:rPr>
          <w:noProof/>
        </w:rPr>
        <w:t xml:space="preserve">2021, </w:t>
      </w:r>
      <w:r w:rsidRPr="003C4AAD">
        <w:rPr>
          <w:b/>
          <w:noProof/>
        </w:rPr>
        <w:t>11</w:t>
      </w:r>
      <w:r w:rsidRPr="003C4AAD">
        <w:rPr>
          <w:noProof/>
        </w:rPr>
        <w:t>(1):10804.</w:t>
      </w:r>
    </w:p>
    <w:p w14:paraId="2A48B69D" w14:textId="1D901851" w:rsidR="00C6025B" w:rsidRDefault="003C4AAD" w:rsidP="00C55FA6">
      <w:pPr>
        <w:pStyle w:val="Heading2"/>
      </w:pPr>
      <w:r>
        <w:fldChar w:fldCharType="end"/>
      </w:r>
    </w:p>
    <w:sectPr w:rsidR="00C6025B" w:rsidSect="008451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CF1E7" w14:textId="77777777" w:rsidR="00BA6A16" w:rsidRDefault="00BA6A16">
      <w:r>
        <w:separator/>
      </w:r>
    </w:p>
  </w:endnote>
  <w:endnote w:type="continuationSeparator" w:id="0">
    <w:p w14:paraId="391CCA03" w14:textId="77777777" w:rsidR="00BA6A16" w:rsidRDefault="00BA6A16">
      <w:r>
        <w:continuationSeparator/>
      </w:r>
    </w:p>
  </w:endnote>
  <w:endnote w:type="continuationNotice" w:id="1">
    <w:p w14:paraId="36F5930A" w14:textId="77777777" w:rsidR="00BA6A16" w:rsidRDefault="00BA6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8EE0F" w14:textId="77777777" w:rsidR="00BA6A16" w:rsidRDefault="00BA6A16">
      <w:r>
        <w:separator/>
      </w:r>
    </w:p>
  </w:footnote>
  <w:footnote w:type="continuationSeparator" w:id="0">
    <w:p w14:paraId="5F43C9E9" w14:textId="77777777" w:rsidR="00BA6A16" w:rsidRDefault="00BA6A16">
      <w:r>
        <w:continuationSeparator/>
      </w:r>
    </w:p>
  </w:footnote>
  <w:footnote w:type="continuationNotice" w:id="1">
    <w:p w14:paraId="60AE1189" w14:textId="77777777" w:rsidR="00BA6A16" w:rsidRDefault="00BA6A16"/>
  </w:footnote>
  <w:footnote w:id="2">
    <w:p w14:paraId="1CBEBFE8" w14:textId="0C45B95C" w:rsidR="00684BF4" w:rsidRDefault="00684BF4">
      <w:pPr>
        <w:pStyle w:val="FootnoteText"/>
      </w:pPr>
      <w:r>
        <w:rPr>
          <w:rStyle w:val="FootnoteReference"/>
        </w:rPr>
        <w:footnoteRef/>
      </w:r>
      <w:r>
        <w:t xml:space="preserve"> </w:t>
      </w:r>
      <w:r w:rsidR="00D231DC" w:rsidRPr="00D231DC">
        <w:t>https://vasculitis-ia.org/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thritis Research Th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92da5tv2wzz4ewrfppdwexsd0a0rvf2wxz&quot;&gt;PhD Endnote Library-Converted (USE)&lt;record-ids&gt;&lt;item&gt;2214&lt;/item&gt;&lt;item&gt;2216&lt;/item&gt;&lt;item&gt;2219&lt;/item&gt;&lt;item&gt;2225&lt;/item&gt;&lt;item&gt;2589&lt;/item&gt;&lt;item&gt;2592&lt;/item&gt;&lt;/record-ids&gt;&lt;/item&gt;&lt;/Libraries&gt;"/>
  </w:docVars>
  <w:rsids>
    <w:rsidRoot w:val="00A20B33"/>
    <w:rsid w:val="00012CBD"/>
    <w:rsid w:val="00020788"/>
    <w:rsid w:val="00023586"/>
    <w:rsid w:val="00033392"/>
    <w:rsid w:val="00040354"/>
    <w:rsid w:val="00052539"/>
    <w:rsid w:val="000534B9"/>
    <w:rsid w:val="00054637"/>
    <w:rsid w:val="00056B74"/>
    <w:rsid w:val="00057D8C"/>
    <w:rsid w:val="000627B1"/>
    <w:rsid w:val="00063C1B"/>
    <w:rsid w:val="00064E4D"/>
    <w:rsid w:val="000670E8"/>
    <w:rsid w:val="00076379"/>
    <w:rsid w:val="00081B66"/>
    <w:rsid w:val="00082B80"/>
    <w:rsid w:val="00085203"/>
    <w:rsid w:val="00090A8B"/>
    <w:rsid w:val="00091957"/>
    <w:rsid w:val="000923EA"/>
    <w:rsid w:val="00095AD0"/>
    <w:rsid w:val="000A1069"/>
    <w:rsid w:val="000A58AC"/>
    <w:rsid w:val="000B11C3"/>
    <w:rsid w:val="000C36E9"/>
    <w:rsid w:val="000D2DED"/>
    <w:rsid w:val="000D3586"/>
    <w:rsid w:val="000D6802"/>
    <w:rsid w:val="000D68EE"/>
    <w:rsid w:val="000E3D87"/>
    <w:rsid w:val="000E4231"/>
    <w:rsid w:val="000F7990"/>
    <w:rsid w:val="000F7C9F"/>
    <w:rsid w:val="001010BF"/>
    <w:rsid w:val="001044CA"/>
    <w:rsid w:val="001255DB"/>
    <w:rsid w:val="00125CAA"/>
    <w:rsid w:val="00126CD9"/>
    <w:rsid w:val="001336BB"/>
    <w:rsid w:val="00133E7F"/>
    <w:rsid w:val="00137FB1"/>
    <w:rsid w:val="00141804"/>
    <w:rsid w:val="0015437B"/>
    <w:rsid w:val="0016220D"/>
    <w:rsid w:val="001664C2"/>
    <w:rsid w:val="00166A20"/>
    <w:rsid w:val="00170739"/>
    <w:rsid w:val="00174A66"/>
    <w:rsid w:val="00191273"/>
    <w:rsid w:val="0019222E"/>
    <w:rsid w:val="0019605B"/>
    <w:rsid w:val="001A72AE"/>
    <w:rsid w:val="001B20B7"/>
    <w:rsid w:val="001D323C"/>
    <w:rsid w:val="001D6C17"/>
    <w:rsid w:val="001E00BB"/>
    <w:rsid w:val="001E3D0B"/>
    <w:rsid w:val="001E4CF8"/>
    <w:rsid w:val="001E6CFF"/>
    <w:rsid w:val="001F1237"/>
    <w:rsid w:val="001F547E"/>
    <w:rsid w:val="001F7D12"/>
    <w:rsid w:val="001F7F80"/>
    <w:rsid w:val="00200049"/>
    <w:rsid w:val="00200C9B"/>
    <w:rsid w:val="00201872"/>
    <w:rsid w:val="00207E1A"/>
    <w:rsid w:val="002116F7"/>
    <w:rsid w:val="00224D2C"/>
    <w:rsid w:val="0023164C"/>
    <w:rsid w:val="00231692"/>
    <w:rsid w:val="00233604"/>
    <w:rsid w:val="00234A5A"/>
    <w:rsid w:val="00236D20"/>
    <w:rsid w:val="002452C1"/>
    <w:rsid w:val="00245A32"/>
    <w:rsid w:val="002554E7"/>
    <w:rsid w:val="00265185"/>
    <w:rsid w:val="002661FD"/>
    <w:rsid w:val="002743FD"/>
    <w:rsid w:val="00276A2F"/>
    <w:rsid w:val="00280B65"/>
    <w:rsid w:val="002828F8"/>
    <w:rsid w:val="00283C9F"/>
    <w:rsid w:val="00284E95"/>
    <w:rsid w:val="00296B3F"/>
    <w:rsid w:val="002A1D35"/>
    <w:rsid w:val="002A7FD9"/>
    <w:rsid w:val="002B3B8B"/>
    <w:rsid w:val="002C6106"/>
    <w:rsid w:val="002E0C23"/>
    <w:rsid w:val="002E2308"/>
    <w:rsid w:val="002E366E"/>
    <w:rsid w:val="002E3862"/>
    <w:rsid w:val="002E4222"/>
    <w:rsid w:val="002E4284"/>
    <w:rsid w:val="002E5008"/>
    <w:rsid w:val="002F0C6D"/>
    <w:rsid w:val="002F0F93"/>
    <w:rsid w:val="002F3E07"/>
    <w:rsid w:val="002F7CEF"/>
    <w:rsid w:val="0030680E"/>
    <w:rsid w:val="00307F3E"/>
    <w:rsid w:val="00321076"/>
    <w:rsid w:val="00326CAC"/>
    <w:rsid w:val="00327D99"/>
    <w:rsid w:val="003453AC"/>
    <w:rsid w:val="00346C66"/>
    <w:rsid w:val="00356830"/>
    <w:rsid w:val="0035790E"/>
    <w:rsid w:val="00364A09"/>
    <w:rsid w:val="0036525B"/>
    <w:rsid w:val="003704F3"/>
    <w:rsid w:val="00370C07"/>
    <w:rsid w:val="003750C0"/>
    <w:rsid w:val="00381633"/>
    <w:rsid w:val="00392074"/>
    <w:rsid w:val="00393169"/>
    <w:rsid w:val="003A01A1"/>
    <w:rsid w:val="003A1D86"/>
    <w:rsid w:val="003A5690"/>
    <w:rsid w:val="003A70AD"/>
    <w:rsid w:val="003B189A"/>
    <w:rsid w:val="003B2019"/>
    <w:rsid w:val="003B48F4"/>
    <w:rsid w:val="003C1A7C"/>
    <w:rsid w:val="003C4AAD"/>
    <w:rsid w:val="003D45EC"/>
    <w:rsid w:val="003D651C"/>
    <w:rsid w:val="003D698D"/>
    <w:rsid w:val="003E161F"/>
    <w:rsid w:val="003E52B7"/>
    <w:rsid w:val="003E6875"/>
    <w:rsid w:val="003E77AA"/>
    <w:rsid w:val="003F04B5"/>
    <w:rsid w:val="00401897"/>
    <w:rsid w:val="00403D55"/>
    <w:rsid w:val="00410C24"/>
    <w:rsid w:val="004129F4"/>
    <w:rsid w:val="00416E75"/>
    <w:rsid w:val="00417232"/>
    <w:rsid w:val="004176C7"/>
    <w:rsid w:val="00421518"/>
    <w:rsid w:val="00434551"/>
    <w:rsid w:val="0044085B"/>
    <w:rsid w:val="00441306"/>
    <w:rsid w:val="004421FF"/>
    <w:rsid w:val="00450FD9"/>
    <w:rsid w:val="00451D4E"/>
    <w:rsid w:val="00461239"/>
    <w:rsid w:val="004619DE"/>
    <w:rsid w:val="0046488A"/>
    <w:rsid w:val="0046544C"/>
    <w:rsid w:val="0047248E"/>
    <w:rsid w:val="004730CF"/>
    <w:rsid w:val="0047329E"/>
    <w:rsid w:val="004779CE"/>
    <w:rsid w:val="00482196"/>
    <w:rsid w:val="00490CBB"/>
    <w:rsid w:val="004918AB"/>
    <w:rsid w:val="004A274F"/>
    <w:rsid w:val="004A48F1"/>
    <w:rsid w:val="004B13AE"/>
    <w:rsid w:val="004B640D"/>
    <w:rsid w:val="004C0AA6"/>
    <w:rsid w:val="004C31BB"/>
    <w:rsid w:val="004C342E"/>
    <w:rsid w:val="004C791D"/>
    <w:rsid w:val="004D00EA"/>
    <w:rsid w:val="004D7690"/>
    <w:rsid w:val="004E33E4"/>
    <w:rsid w:val="004E6837"/>
    <w:rsid w:val="004F0618"/>
    <w:rsid w:val="004F1F39"/>
    <w:rsid w:val="004F690E"/>
    <w:rsid w:val="004F71DC"/>
    <w:rsid w:val="0051247A"/>
    <w:rsid w:val="005134E3"/>
    <w:rsid w:val="0051455C"/>
    <w:rsid w:val="00516B95"/>
    <w:rsid w:val="00517FEA"/>
    <w:rsid w:val="00520A21"/>
    <w:rsid w:val="00521151"/>
    <w:rsid w:val="00526F27"/>
    <w:rsid w:val="005270EE"/>
    <w:rsid w:val="005477AA"/>
    <w:rsid w:val="0055053D"/>
    <w:rsid w:val="00550F52"/>
    <w:rsid w:val="00556329"/>
    <w:rsid w:val="0056391C"/>
    <w:rsid w:val="005645F8"/>
    <w:rsid w:val="00564AF0"/>
    <w:rsid w:val="005701F8"/>
    <w:rsid w:val="00576303"/>
    <w:rsid w:val="00581221"/>
    <w:rsid w:val="0058158F"/>
    <w:rsid w:val="00581E8C"/>
    <w:rsid w:val="00584034"/>
    <w:rsid w:val="00592F07"/>
    <w:rsid w:val="00597DBC"/>
    <w:rsid w:val="005A6EF0"/>
    <w:rsid w:val="005B270A"/>
    <w:rsid w:val="005B2748"/>
    <w:rsid w:val="005C11A8"/>
    <w:rsid w:val="005C2067"/>
    <w:rsid w:val="005C3C8B"/>
    <w:rsid w:val="005C4C2E"/>
    <w:rsid w:val="005E0048"/>
    <w:rsid w:val="005E703E"/>
    <w:rsid w:val="005F1366"/>
    <w:rsid w:val="005F24A1"/>
    <w:rsid w:val="005F273C"/>
    <w:rsid w:val="005F6542"/>
    <w:rsid w:val="00605047"/>
    <w:rsid w:val="0061702C"/>
    <w:rsid w:val="00617782"/>
    <w:rsid w:val="00626997"/>
    <w:rsid w:val="00633CDC"/>
    <w:rsid w:val="00635D7C"/>
    <w:rsid w:val="006404BF"/>
    <w:rsid w:val="00641952"/>
    <w:rsid w:val="00645723"/>
    <w:rsid w:val="00653B74"/>
    <w:rsid w:val="00656548"/>
    <w:rsid w:val="00657448"/>
    <w:rsid w:val="00660B70"/>
    <w:rsid w:val="00664596"/>
    <w:rsid w:val="006649FB"/>
    <w:rsid w:val="00671D49"/>
    <w:rsid w:val="006749E2"/>
    <w:rsid w:val="00680A5D"/>
    <w:rsid w:val="00684BF4"/>
    <w:rsid w:val="00685522"/>
    <w:rsid w:val="00685DC6"/>
    <w:rsid w:val="00687334"/>
    <w:rsid w:val="00690A28"/>
    <w:rsid w:val="00693DCE"/>
    <w:rsid w:val="00696323"/>
    <w:rsid w:val="006B1373"/>
    <w:rsid w:val="006B1F55"/>
    <w:rsid w:val="006B70AA"/>
    <w:rsid w:val="006B7A8F"/>
    <w:rsid w:val="006C0817"/>
    <w:rsid w:val="006C28DC"/>
    <w:rsid w:val="006C3908"/>
    <w:rsid w:val="006C3950"/>
    <w:rsid w:val="006C48B4"/>
    <w:rsid w:val="006E355B"/>
    <w:rsid w:val="006E76E7"/>
    <w:rsid w:val="006F73D2"/>
    <w:rsid w:val="00702C63"/>
    <w:rsid w:val="00721149"/>
    <w:rsid w:val="0072501F"/>
    <w:rsid w:val="00725076"/>
    <w:rsid w:val="00725674"/>
    <w:rsid w:val="00730674"/>
    <w:rsid w:val="00730DFC"/>
    <w:rsid w:val="00731F56"/>
    <w:rsid w:val="007347A4"/>
    <w:rsid w:val="00735034"/>
    <w:rsid w:val="00737C95"/>
    <w:rsid w:val="00745540"/>
    <w:rsid w:val="007544C0"/>
    <w:rsid w:val="00754616"/>
    <w:rsid w:val="00771C16"/>
    <w:rsid w:val="00773ABB"/>
    <w:rsid w:val="00780ABE"/>
    <w:rsid w:val="00785C9C"/>
    <w:rsid w:val="00794668"/>
    <w:rsid w:val="00796735"/>
    <w:rsid w:val="007A513B"/>
    <w:rsid w:val="007B1427"/>
    <w:rsid w:val="007C229A"/>
    <w:rsid w:val="007C350D"/>
    <w:rsid w:val="007C40AD"/>
    <w:rsid w:val="007D1E74"/>
    <w:rsid w:val="007D2A82"/>
    <w:rsid w:val="007D3CA8"/>
    <w:rsid w:val="007E6254"/>
    <w:rsid w:val="007F5F18"/>
    <w:rsid w:val="00803AE5"/>
    <w:rsid w:val="00812DE2"/>
    <w:rsid w:val="008175FB"/>
    <w:rsid w:val="00820AAA"/>
    <w:rsid w:val="008259EC"/>
    <w:rsid w:val="00831258"/>
    <w:rsid w:val="00833C83"/>
    <w:rsid w:val="0083575D"/>
    <w:rsid w:val="00841DF3"/>
    <w:rsid w:val="008425D7"/>
    <w:rsid w:val="00845126"/>
    <w:rsid w:val="008466B9"/>
    <w:rsid w:val="00846F13"/>
    <w:rsid w:val="00846FA7"/>
    <w:rsid w:val="008507BE"/>
    <w:rsid w:val="008527F8"/>
    <w:rsid w:val="008606AE"/>
    <w:rsid w:val="0086714F"/>
    <w:rsid w:val="0088132C"/>
    <w:rsid w:val="00885045"/>
    <w:rsid w:val="00887E46"/>
    <w:rsid w:val="00891138"/>
    <w:rsid w:val="008A3430"/>
    <w:rsid w:val="008B1B44"/>
    <w:rsid w:val="008B6BEB"/>
    <w:rsid w:val="008C2BD2"/>
    <w:rsid w:val="008D71F1"/>
    <w:rsid w:val="008E06B7"/>
    <w:rsid w:val="008E7521"/>
    <w:rsid w:val="008F057C"/>
    <w:rsid w:val="008F0773"/>
    <w:rsid w:val="008F16A0"/>
    <w:rsid w:val="008F2D4A"/>
    <w:rsid w:val="008F4E51"/>
    <w:rsid w:val="008F758B"/>
    <w:rsid w:val="00900400"/>
    <w:rsid w:val="009038F2"/>
    <w:rsid w:val="00916B8B"/>
    <w:rsid w:val="00920146"/>
    <w:rsid w:val="009202BC"/>
    <w:rsid w:val="00933F46"/>
    <w:rsid w:val="00935E5C"/>
    <w:rsid w:val="009614B4"/>
    <w:rsid w:val="00961BEF"/>
    <w:rsid w:val="0096217F"/>
    <w:rsid w:val="0096219C"/>
    <w:rsid w:val="00962A8A"/>
    <w:rsid w:val="00974C6D"/>
    <w:rsid w:val="00975157"/>
    <w:rsid w:val="0097768E"/>
    <w:rsid w:val="009777E7"/>
    <w:rsid w:val="009952D5"/>
    <w:rsid w:val="009975A3"/>
    <w:rsid w:val="009A1D87"/>
    <w:rsid w:val="009A1DE4"/>
    <w:rsid w:val="009A350B"/>
    <w:rsid w:val="009A491D"/>
    <w:rsid w:val="009A4F6F"/>
    <w:rsid w:val="009B21C5"/>
    <w:rsid w:val="009C0A9D"/>
    <w:rsid w:val="009C3777"/>
    <w:rsid w:val="009D305E"/>
    <w:rsid w:val="009D71E2"/>
    <w:rsid w:val="009E5E2E"/>
    <w:rsid w:val="009F092F"/>
    <w:rsid w:val="00A050DA"/>
    <w:rsid w:val="00A16631"/>
    <w:rsid w:val="00A209D4"/>
    <w:rsid w:val="00A20B33"/>
    <w:rsid w:val="00A23F44"/>
    <w:rsid w:val="00A333A6"/>
    <w:rsid w:val="00A40071"/>
    <w:rsid w:val="00A41032"/>
    <w:rsid w:val="00A428E1"/>
    <w:rsid w:val="00A501BB"/>
    <w:rsid w:val="00A54EB3"/>
    <w:rsid w:val="00A55585"/>
    <w:rsid w:val="00A57981"/>
    <w:rsid w:val="00A63368"/>
    <w:rsid w:val="00A763FB"/>
    <w:rsid w:val="00A84A3B"/>
    <w:rsid w:val="00A91229"/>
    <w:rsid w:val="00A91B3A"/>
    <w:rsid w:val="00AA3C33"/>
    <w:rsid w:val="00AC173A"/>
    <w:rsid w:val="00AC3265"/>
    <w:rsid w:val="00AC4B6B"/>
    <w:rsid w:val="00AE15E0"/>
    <w:rsid w:val="00AE38E4"/>
    <w:rsid w:val="00AE4B74"/>
    <w:rsid w:val="00AF53FC"/>
    <w:rsid w:val="00AF67FE"/>
    <w:rsid w:val="00AF6C7E"/>
    <w:rsid w:val="00B036A0"/>
    <w:rsid w:val="00B04E50"/>
    <w:rsid w:val="00B059CA"/>
    <w:rsid w:val="00B1237E"/>
    <w:rsid w:val="00B1328C"/>
    <w:rsid w:val="00B46066"/>
    <w:rsid w:val="00B6281A"/>
    <w:rsid w:val="00B710C4"/>
    <w:rsid w:val="00B74ABD"/>
    <w:rsid w:val="00B816C6"/>
    <w:rsid w:val="00B81AA7"/>
    <w:rsid w:val="00B83397"/>
    <w:rsid w:val="00B85AE7"/>
    <w:rsid w:val="00B95CC1"/>
    <w:rsid w:val="00BA6A16"/>
    <w:rsid w:val="00BB0F59"/>
    <w:rsid w:val="00BB2773"/>
    <w:rsid w:val="00BB3B17"/>
    <w:rsid w:val="00BB488C"/>
    <w:rsid w:val="00BB77FB"/>
    <w:rsid w:val="00BB7A39"/>
    <w:rsid w:val="00BC02D2"/>
    <w:rsid w:val="00BC2F47"/>
    <w:rsid w:val="00BD0BAB"/>
    <w:rsid w:val="00BD4A50"/>
    <w:rsid w:val="00BE7081"/>
    <w:rsid w:val="00BF2CA3"/>
    <w:rsid w:val="00C030C9"/>
    <w:rsid w:val="00C03BD7"/>
    <w:rsid w:val="00C115AD"/>
    <w:rsid w:val="00C140C3"/>
    <w:rsid w:val="00C14891"/>
    <w:rsid w:val="00C31551"/>
    <w:rsid w:val="00C33AAF"/>
    <w:rsid w:val="00C404EC"/>
    <w:rsid w:val="00C409F1"/>
    <w:rsid w:val="00C470DD"/>
    <w:rsid w:val="00C47501"/>
    <w:rsid w:val="00C50E53"/>
    <w:rsid w:val="00C51E97"/>
    <w:rsid w:val="00C535BC"/>
    <w:rsid w:val="00C53920"/>
    <w:rsid w:val="00C55FA6"/>
    <w:rsid w:val="00C56E21"/>
    <w:rsid w:val="00C6025B"/>
    <w:rsid w:val="00C642A0"/>
    <w:rsid w:val="00C649FA"/>
    <w:rsid w:val="00C64ED4"/>
    <w:rsid w:val="00C859C0"/>
    <w:rsid w:val="00C85C51"/>
    <w:rsid w:val="00C85EF9"/>
    <w:rsid w:val="00C8632B"/>
    <w:rsid w:val="00C91CBA"/>
    <w:rsid w:val="00C944DB"/>
    <w:rsid w:val="00C964FA"/>
    <w:rsid w:val="00CA3B1D"/>
    <w:rsid w:val="00CA5D78"/>
    <w:rsid w:val="00CA6422"/>
    <w:rsid w:val="00CA78C4"/>
    <w:rsid w:val="00CB3FE9"/>
    <w:rsid w:val="00CB5DE3"/>
    <w:rsid w:val="00CB702D"/>
    <w:rsid w:val="00CC03F5"/>
    <w:rsid w:val="00CC13A9"/>
    <w:rsid w:val="00CC1BF2"/>
    <w:rsid w:val="00CC5CF7"/>
    <w:rsid w:val="00CC5DA3"/>
    <w:rsid w:val="00CD0A22"/>
    <w:rsid w:val="00CD765A"/>
    <w:rsid w:val="00CE00EA"/>
    <w:rsid w:val="00CF126C"/>
    <w:rsid w:val="00CF2914"/>
    <w:rsid w:val="00D0393C"/>
    <w:rsid w:val="00D130E2"/>
    <w:rsid w:val="00D210DB"/>
    <w:rsid w:val="00D22B0C"/>
    <w:rsid w:val="00D231DC"/>
    <w:rsid w:val="00D24A36"/>
    <w:rsid w:val="00D24C05"/>
    <w:rsid w:val="00D36CFA"/>
    <w:rsid w:val="00D67FC7"/>
    <w:rsid w:val="00D75864"/>
    <w:rsid w:val="00D77339"/>
    <w:rsid w:val="00D81926"/>
    <w:rsid w:val="00D863D2"/>
    <w:rsid w:val="00D877BF"/>
    <w:rsid w:val="00D90013"/>
    <w:rsid w:val="00D9425B"/>
    <w:rsid w:val="00DA2B0A"/>
    <w:rsid w:val="00DC0799"/>
    <w:rsid w:val="00DC26CC"/>
    <w:rsid w:val="00DC5E70"/>
    <w:rsid w:val="00DE1107"/>
    <w:rsid w:val="00DE3CA6"/>
    <w:rsid w:val="00DF0B5B"/>
    <w:rsid w:val="00DF1374"/>
    <w:rsid w:val="00DF1A30"/>
    <w:rsid w:val="00DF57A8"/>
    <w:rsid w:val="00E05927"/>
    <w:rsid w:val="00E06D68"/>
    <w:rsid w:val="00E13754"/>
    <w:rsid w:val="00E15621"/>
    <w:rsid w:val="00E1681B"/>
    <w:rsid w:val="00E22B39"/>
    <w:rsid w:val="00E23BD9"/>
    <w:rsid w:val="00E25D48"/>
    <w:rsid w:val="00E26CDF"/>
    <w:rsid w:val="00E3030F"/>
    <w:rsid w:val="00E3422F"/>
    <w:rsid w:val="00E40E5E"/>
    <w:rsid w:val="00E41492"/>
    <w:rsid w:val="00E4455B"/>
    <w:rsid w:val="00E55F8A"/>
    <w:rsid w:val="00E61BE2"/>
    <w:rsid w:val="00E77DEE"/>
    <w:rsid w:val="00E933F1"/>
    <w:rsid w:val="00EA011A"/>
    <w:rsid w:val="00EA6656"/>
    <w:rsid w:val="00EB08E2"/>
    <w:rsid w:val="00EB3273"/>
    <w:rsid w:val="00EB672B"/>
    <w:rsid w:val="00EC46E2"/>
    <w:rsid w:val="00EC5A66"/>
    <w:rsid w:val="00ED3EA6"/>
    <w:rsid w:val="00ED6EAB"/>
    <w:rsid w:val="00EE143A"/>
    <w:rsid w:val="00EE3AF6"/>
    <w:rsid w:val="00EF668C"/>
    <w:rsid w:val="00F00489"/>
    <w:rsid w:val="00F05407"/>
    <w:rsid w:val="00F07FD1"/>
    <w:rsid w:val="00F13679"/>
    <w:rsid w:val="00F16E9B"/>
    <w:rsid w:val="00F26DA7"/>
    <w:rsid w:val="00F32F66"/>
    <w:rsid w:val="00F3378B"/>
    <w:rsid w:val="00F34060"/>
    <w:rsid w:val="00F36CCD"/>
    <w:rsid w:val="00F473D7"/>
    <w:rsid w:val="00F55940"/>
    <w:rsid w:val="00F60C85"/>
    <w:rsid w:val="00F938E7"/>
    <w:rsid w:val="00F965FF"/>
    <w:rsid w:val="00FA0A86"/>
    <w:rsid w:val="00FA3148"/>
    <w:rsid w:val="00FA369B"/>
    <w:rsid w:val="00FB1347"/>
    <w:rsid w:val="00FB78B9"/>
    <w:rsid w:val="00FC3A13"/>
    <w:rsid w:val="00FD3792"/>
    <w:rsid w:val="00FE0145"/>
    <w:rsid w:val="00FE29C5"/>
    <w:rsid w:val="00FE29C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2D2FF"/>
  <w15:chartTrackingRefBased/>
  <w15:docId w15:val="{7AE8693F-0B36-D340-A725-B96C4B76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B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2F0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B3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2F0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9A1D87"/>
  </w:style>
  <w:style w:type="table" w:styleId="ListTable1Light">
    <w:name w:val="List Table 1 Light"/>
    <w:basedOn w:val="TableNormal"/>
    <w:uiPriority w:val="46"/>
    <w:rsid w:val="004F690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085203"/>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085203"/>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085203"/>
    <w:rPr>
      <w:sz w:val="16"/>
      <w:szCs w:val="16"/>
    </w:rPr>
  </w:style>
  <w:style w:type="character" w:styleId="UnresolvedMention">
    <w:name w:val="Unresolved Mention"/>
    <w:basedOn w:val="DefaultParagraphFont"/>
    <w:uiPriority w:val="99"/>
    <w:unhideWhenUsed/>
    <w:rsid w:val="00085203"/>
    <w:rPr>
      <w:color w:val="605E5C"/>
      <w:shd w:val="clear" w:color="auto" w:fill="E1DFDD"/>
    </w:rPr>
  </w:style>
  <w:style w:type="character" w:styleId="Mention">
    <w:name w:val="Mention"/>
    <w:basedOn w:val="DefaultParagraphFont"/>
    <w:uiPriority w:val="99"/>
    <w:unhideWhenUsed/>
    <w:rsid w:val="00085203"/>
    <w:rPr>
      <w:color w:val="2B579A"/>
      <w:shd w:val="clear" w:color="auto" w:fill="E1DFDD"/>
    </w:rPr>
  </w:style>
  <w:style w:type="paragraph" w:styleId="BalloonText">
    <w:name w:val="Balloon Text"/>
    <w:basedOn w:val="Normal"/>
    <w:link w:val="BalloonTextChar"/>
    <w:uiPriority w:val="99"/>
    <w:semiHidden/>
    <w:unhideWhenUsed/>
    <w:rsid w:val="005477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7A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750C0"/>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750C0"/>
    <w:rPr>
      <w:rFonts w:ascii="Times New Roman" w:eastAsia="Times New Roman" w:hAnsi="Times New Roman" w:cs="Times New Roman"/>
      <w:b/>
      <w:bCs/>
      <w:sz w:val="20"/>
      <w:szCs w:val="20"/>
      <w:lang w:eastAsia="en-GB"/>
    </w:rPr>
  </w:style>
  <w:style w:type="paragraph" w:styleId="TOC1">
    <w:name w:val="toc 1"/>
    <w:basedOn w:val="Normal"/>
    <w:next w:val="Normal"/>
    <w:autoRedefine/>
    <w:uiPriority w:val="39"/>
    <w:unhideWhenUsed/>
    <w:rsid w:val="005F1366"/>
    <w:pPr>
      <w:spacing w:before="120" w:after="120"/>
    </w:pPr>
    <w:rPr>
      <w:rFonts w:cstheme="minorHAnsi"/>
      <w:b/>
      <w:bCs/>
      <w:caps/>
      <w:sz w:val="20"/>
      <w:szCs w:val="20"/>
    </w:rPr>
  </w:style>
  <w:style w:type="paragraph" w:styleId="TOC2">
    <w:name w:val="toc 2"/>
    <w:basedOn w:val="Normal"/>
    <w:next w:val="Normal"/>
    <w:autoRedefine/>
    <w:uiPriority w:val="39"/>
    <w:unhideWhenUsed/>
    <w:rsid w:val="005F1366"/>
    <w:pPr>
      <w:ind w:left="240"/>
    </w:pPr>
    <w:rPr>
      <w:rFonts w:cstheme="minorHAnsi"/>
      <w:smallCaps/>
      <w:sz w:val="20"/>
      <w:szCs w:val="20"/>
    </w:rPr>
  </w:style>
  <w:style w:type="character" w:styleId="Hyperlink">
    <w:name w:val="Hyperlink"/>
    <w:basedOn w:val="DefaultParagraphFont"/>
    <w:uiPriority w:val="99"/>
    <w:unhideWhenUsed/>
    <w:rsid w:val="005F1366"/>
    <w:rPr>
      <w:color w:val="0563C1" w:themeColor="hyperlink"/>
      <w:u w:val="single"/>
    </w:rPr>
  </w:style>
  <w:style w:type="paragraph" w:styleId="TOC3">
    <w:name w:val="toc 3"/>
    <w:basedOn w:val="Normal"/>
    <w:next w:val="Normal"/>
    <w:autoRedefine/>
    <w:uiPriority w:val="39"/>
    <w:unhideWhenUsed/>
    <w:rsid w:val="00DF1374"/>
    <w:pPr>
      <w:ind w:left="480"/>
    </w:pPr>
    <w:rPr>
      <w:rFonts w:cstheme="minorHAnsi"/>
      <w:i/>
      <w:iCs/>
      <w:sz w:val="20"/>
      <w:szCs w:val="20"/>
    </w:rPr>
  </w:style>
  <w:style w:type="paragraph" w:styleId="TOC4">
    <w:name w:val="toc 4"/>
    <w:basedOn w:val="Normal"/>
    <w:next w:val="Normal"/>
    <w:autoRedefine/>
    <w:uiPriority w:val="39"/>
    <w:unhideWhenUsed/>
    <w:rsid w:val="00DF1374"/>
    <w:pPr>
      <w:ind w:left="720"/>
    </w:pPr>
    <w:rPr>
      <w:rFonts w:cstheme="minorHAnsi"/>
      <w:sz w:val="18"/>
      <w:szCs w:val="18"/>
    </w:rPr>
  </w:style>
  <w:style w:type="paragraph" w:styleId="TOC5">
    <w:name w:val="toc 5"/>
    <w:basedOn w:val="Normal"/>
    <w:next w:val="Normal"/>
    <w:autoRedefine/>
    <w:uiPriority w:val="39"/>
    <w:unhideWhenUsed/>
    <w:rsid w:val="00DF1374"/>
    <w:pPr>
      <w:ind w:left="960"/>
    </w:pPr>
    <w:rPr>
      <w:rFonts w:cstheme="minorHAnsi"/>
      <w:sz w:val="18"/>
      <w:szCs w:val="18"/>
    </w:rPr>
  </w:style>
  <w:style w:type="paragraph" w:styleId="TOC6">
    <w:name w:val="toc 6"/>
    <w:basedOn w:val="Normal"/>
    <w:next w:val="Normal"/>
    <w:autoRedefine/>
    <w:uiPriority w:val="39"/>
    <w:unhideWhenUsed/>
    <w:rsid w:val="00DF1374"/>
    <w:pPr>
      <w:ind w:left="1200"/>
    </w:pPr>
    <w:rPr>
      <w:rFonts w:cstheme="minorHAnsi"/>
      <w:sz w:val="18"/>
      <w:szCs w:val="18"/>
    </w:rPr>
  </w:style>
  <w:style w:type="paragraph" w:styleId="TOC7">
    <w:name w:val="toc 7"/>
    <w:basedOn w:val="Normal"/>
    <w:next w:val="Normal"/>
    <w:autoRedefine/>
    <w:uiPriority w:val="39"/>
    <w:unhideWhenUsed/>
    <w:rsid w:val="00DF1374"/>
    <w:pPr>
      <w:ind w:left="1440"/>
    </w:pPr>
    <w:rPr>
      <w:rFonts w:cstheme="minorHAnsi"/>
      <w:sz w:val="18"/>
      <w:szCs w:val="18"/>
    </w:rPr>
  </w:style>
  <w:style w:type="paragraph" w:styleId="TOC8">
    <w:name w:val="toc 8"/>
    <w:basedOn w:val="Normal"/>
    <w:next w:val="Normal"/>
    <w:autoRedefine/>
    <w:uiPriority w:val="39"/>
    <w:unhideWhenUsed/>
    <w:rsid w:val="00DF1374"/>
    <w:pPr>
      <w:ind w:left="1680"/>
    </w:pPr>
    <w:rPr>
      <w:rFonts w:cstheme="minorHAnsi"/>
      <w:sz w:val="18"/>
      <w:szCs w:val="18"/>
    </w:rPr>
  </w:style>
  <w:style w:type="paragraph" w:styleId="TOC9">
    <w:name w:val="toc 9"/>
    <w:basedOn w:val="Normal"/>
    <w:next w:val="Normal"/>
    <w:autoRedefine/>
    <w:uiPriority w:val="39"/>
    <w:unhideWhenUsed/>
    <w:rsid w:val="00DF1374"/>
    <w:pPr>
      <w:ind w:left="1920"/>
    </w:pPr>
    <w:rPr>
      <w:rFonts w:cstheme="minorHAnsi"/>
      <w:sz w:val="18"/>
      <w:szCs w:val="18"/>
    </w:rPr>
  </w:style>
  <w:style w:type="paragraph" w:customStyle="1" w:styleId="EndNoteBibliographyTitle">
    <w:name w:val="EndNote Bibliography Title"/>
    <w:basedOn w:val="Normal"/>
    <w:link w:val="EndNoteBibliographyTitleChar"/>
    <w:rsid w:val="00C6025B"/>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C6025B"/>
    <w:rPr>
      <w:rFonts w:ascii="Calibri" w:hAnsi="Calibri" w:cs="Calibri"/>
      <w:lang w:val="en-US"/>
    </w:rPr>
  </w:style>
  <w:style w:type="paragraph" w:customStyle="1" w:styleId="EndNoteBibliography">
    <w:name w:val="EndNote Bibliography"/>
    <w:basedOn w:val="Normal"/>
    <w:link w:val="EndNoteBibliographyChar"/>
    <w:rsid w:val="00C6025B"/>
    <w:rPr>
      <w:rFonts w:ascii="Calibri" w:hAnsi="Calibri" w:cs="Calibri"/>
      <w:lang w:val="en-US"/>
    </w:rPr>
  </w:style>
  <w:style w:type="character" w:customStyle="1" w:styleId="EndNoteBibliographyChar">
    <w:name w:val="EndNote Bibliography Char"/>
    <w:basedOn w:val="DefaultParagraphFont"/>
    <w:link w:val="EndNoteBibliography"/>
    <w:rsid w:val="00C6025B"/>
    <w:rPr>
      <w:rFonts w:ascii="Calibri" w:hAnsi="Calibri" w:cs="Calibri"/>
      <w:lang w:val="en-US"/>
    </w:rPr>
  </w:style>
  <w:style w:type="paragraph" w:styleId="Header">
    <w:name w:val="header"/>
    <w:basedOn w:val="Normal"/>
    <w:link w:val="HeaderChar"/>
    <w:uiPriority w:val="99"/>
    <w:semiHidden/>
    <w:unhideWhenUsed/>
    <w:rsid w:val="00033392"/>
    <w:pPr>
      <w:tabs>
        <w:tab w:val="center" w:pos="4513"/>
        <w:tab w:val="right" w:pos="9026"/>
      </w:tabs>
    </w:pPr>
  </w:style>
  <w:style w:type="character" w:customStyle="1" w:styleId="HeaderChar">
    <w:name w:val="Header Char"/>
    <w:basedOn w:val="DefaultParagraphFont"/>
    <w:link w:val="Header"/>
    <w:uiPriority w:val="99"/>
    <w:semiHidden/>
    <w:rsid w:val="00033392"/>
  </w:style>
  <w:style w:type="paragraph" w:styleId="Footer">
    <w:name w:val="footer"/>
    <w:basedOn w:val="Normal"/>
    <w:link w:val="FooterChar"/>
    <w:uiPriority w:val="99"/>
    <w:semiHidden/>
    <w:unhideWhenUsed/>
    <w:rsid w:val="00033392"/>
    <w:pPr>
      <w:tabs>
        <w:tab w:val="center" w:pos="4513"/>
        <w:tab w:val="right" w:pos="9026"/>
      </w:tabs>
    </w:pPr>
  </w:style>
  <w:style w:type="character" w:customStyle="1" w:styleId="FooterChar">
    <w:name w:val="Footer Char"/>
    <w:basedOn w:val="DefaultParagraphFont"/>
    <w:link w:val="Footer"/>
    <w:uiPriority w:val="99"/>
    <w:semiHidden/>
    <w:rsid w:val="00033392"/>
  </w:style>
  <w:style w:type="paragraph" w:styleId="FootnoteText">
    <w:name w:val="footnote text"/>
    <w:basedOn w:val="Normal"/>
    <w:link w:val="FootnoteTextChar"/>
    <w:uiPriority w:val="99"/>
    <w:semiHidden/>
    <w:unhideWhenUsed/>
    <w:rsid w:val="00033392"/>
    <w:rPr>
      <w:sz w:val="20"/>
      <w:szCs w:val="20"/>
    </w:rPr>
  </w:style>
  <w:style w:type="character" w:customStyle="1" w:styleId="FootnoteTextChar">
    <w:name w:val="Footnote Text Char"/>
    <w:basedOn w:val="DefaultParagraphFont"/>
    <w:link w:val="FootnoteText"/>
    <w:uiPriority w:val="99"/>
    <w:semiHidden/>
    <w:rsid w:val="00033392"/>
    <w:rPr>
      <w:sz w:val="20"/>
      <w:szCs w:val="20"/>
    </w:rPr>
  </w:style>
  <w:style w:type="character" w:styleId="FootnoteReference">
    <w:name w:val="footnote reference"/>
    <w:basedOn w:val="DefaultParagraphFont"/>
    <w:uiPriority w:val="99"/>
    <w:semiHidden/>
    <w:unhideWhenUsed/>
    <w:rsid w:val="000333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asculitis-ia.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A31A1-2205-4C04-8396-54883A4A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4664</Words>
  <Characters>26588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Scott</dc:creator>
  <cp:keywords/>
  <dc:description/>
  <cp:lastModifiedBy>Jennifer Scott</cp:lastModifiedBy>
  <cp:revision>5</cp:revision>
  <cp:lastPrinted>2021-07-28T12:32:00Z</cp:lastPrinted>
  <dcterms:created xsi:type="dcterms:W3CDTF">2021-08-19T14:44:00Z</dcterms:created>
  <dcterms:modified xsi:type="dcterms:W3CDTF">2021-09-06T12:04:00Z</dcterms:modified>
  <cp:category/>
</cp:coreProperties>
</file>