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37E04" w14:textId="49DBC1C1" w:rsidR="003A4F72" w:rsidRPr="00DA1B8F" w:rsidRDefault="003A4F72" w:rsidP="003A4F72">
      <w:pPr>
        <w:jc w:val="center"/>
        <w:rPr>
          <w:rFonts w:cs="Arial"/>
          <w:b/>
          <w:sz w:val="28"/>
          <w:szCs w:val="28"/>
        </w:rPr>
      </w:pPr>
      <w:r w:rsidRPr="00DA1B8F">
        <w:rPr>
          <w:rFonts w:cs="Arial"/>
          <w:b/>
          <w:sz w:val="28"/>
          <w:szCs w:val="28"/>
        </w:rPr>
        <w:t>Comparative transcriptomics reveals PrrAB-mediated control of metabolic, respiration, energy-generating</w:t>
      </w:r>
      <w:r w:rsidR="00BC61AA">
        <w:rPr>
          <w:rFonts w:cs="Arial"/>
          <w:b/>
          <w:sz w:val="28"/>
          <w:szCs w:val="28"/>
        </w:rPr>
        <w:t>, and dormancy</w:t>
      </w:r>
      <w:r w:rsidRPr="00DA1B8F">
        <w:rPr>
          <w:rFonts w:cs="Arial"/>
          <w:b/>
          <w:sz w:val="28"/>
          <w:szCs w:val="28"/>
        </w:rPr>
        <w:t xml:space="preserve"> pathways in </w:t>
      </w:r>
      <w:r w:rsidRPr="00DA1B8F">
        <w:rPr>
          <w:rFonts w:cs="Arial"/>
          <w:b/>
          <w:i/>
          <w:sz w:val="28"/>
          <w:szCs w:val="28"/>
        </w:rPr>
        <w:t>Mycobacterium smegmatis</w:t>
      </w:r>
    </w:p>
    <w:p w14:paraId="763653E4" w14:textId="77777777" w:rsidR="003A4F72" w:rsidRPr="001922BE" w:rsidRDefault="003A4F72">
      <w:pPr>
        <w:jc w:val="center"/>
        <w:rPr>
          <w:rFonts w:cs="Arial"/>
        </w:rPr>
      </w:pPr>
    </w:p>
    <w:p w14:paraId="1D3D3629" w14:textId="77777777" w:rsidR="003A4F72" w:rsidRPr="001922BE" w:rsidRDefault="003A4F72" w:rsidP="003A4F72">
      <w:pPr>
        <w:jc w:val="center"/>
        <w:rPr>
          <w:rFonts w:cs="Arial"/>
        </w:rPr>
      </w:pPr>
    </w:p>
    <w:p w14:paraId="50537EC3" w14:textId="77777777" w:rsidR="003A4F72" w:rsidRPr="001922BE" w:rsidRDefault="003A4F72" w:rsidP="003A4F72">
      <w:pPr>
        <w:jc w:val="center"/>
        <w:rPr>
          <w:rFonts w:cs="Arial"/>
          <w:b/>
        </w:rPr>
      </w:pPr>
      <w:r>
        <w:rPr>
          <w:rFonts w:cs="Arial"/>
          <w:b/>
        </w:rPr>
        <w:t>JASON D. MAARSINGH</w:t>
      </w:r>
      <w:r>
        <w:rPr>
          <w:rFonts w:cs="Arial"/>
          <w:b/>
          <w:vertAlign w:val="superscript"/>
        </w:rPr>
        <w:t>1</w:t>
      </w:r>
      <w:r w:rsidRPr="001922BE">
        <w:rPr>
          <w:rFonts w:cs="Arial"/>
          <w:b/>
        </w:rPr>
        <w:t xml:space="preserve">, </w:t>
      </w:r>
      <w:r>
        <w:rPr>
          <w:rFonts w:cs="Arial"/>
          <w:b/>
        </w:rPr>
        <w:t>SHANSHAN YANG</w:t>
      </w:r>
      <w:r>
        <w:rPr>
          <w:rFonts w:cs="Arial"/>
          <w:b/>
          <w:vertAlign w:val="superscript"/>
        </w:rPr>
        <w:t>4</w:t>
      </w:r>
      <w:r>
        <w:rPr>
          <w:rFonts w:cs="Arial"/>
          <w:b/>
        </w:rPr>
        <w:t>, JIN G. PARK</w:t>
      </w:r>
      <w:r w:rsidRPr="00986D2F">
        <w:rPr>
          <w:rFonts w:cs="Arial"/>
          <w:b/>
          <w:vertAlign w:val="superscript"/>
        </w:rPr>
        <w:t>2</w:t>
      </w:r>
      <w:r>
        <w:rPr>
          <w:rFonts w:cs="Arial"/>
          <w:b/>
        </w:rPr>
        <w:t xml:space="preserve">, </w:t>
      </w:r>
      <w:r w:rsidRPr="001922BE">
        <w:rPr>
          <w:rFonts w:cs="Arial"/>
          <w:b/>
        </w:rPr>
        <w:t>and SHELLEY E. HAYDEL</w:t>
      </w:r>
      <w:r w:rsidRPr="001922BE">
        <w:rPr>
          <w:rFonts w:cs="Arial"/>
          <w:b/>
          <w:vertAlign w:val="superscript"/>
        </w:rPr>
        <w:t>1,</w:t>
      </w:r>
      <w:r>
        <w:rPr>
          <w:rFonts w:cs="Arial"/>
          <w:b/>
          <w:vertAlign w:val="superscript"/>
        </w:rPr>
        <w:t>3</w:t>
      </w:r>
      <w:r w:rsidRPr="001922BE">
        <w:rPr>
          <w:rFonts w:cs="Arial"/>
          <w:b/>
        </w:rPr>
        <w:t>*</w:t>
      </w:r>
    </w:p>
    <w:p w14:paraId="2E32DDB3" w14:textId="77777777" w:rsidR="003A4F72" w:rsidRDefault="003A4F72" w:rsidP="003A4F72">
      <w:pPr>
        <w:jc w:val="center"/>
        <w:outlineLvl w:val="0"/>
        <w:rPr>
          <w:rFonts w:cs="Arial"/>
          <w:i/>
        </w:rPr>
      </w:pPr>
      <w:bookmarkStart w:id="0" w:name="OLE_LINK52"/>
      <w:bookmarkStart w:id="1" w:name="OLE_LINK53"/>
      <w:bookmarkStart w:id="2" w:name="OLE_LINK50"/>
      <w:bookmarkStart w:id="3" w:name="OLE_LINK51"/>
      <w:r>
        <w:rPr>
          <w:rFonts w:cs="Arial"/>
          <w:i/>
          <w:vertAlign w:val="superscript"/>
        </w:rPr>
        <w:t>1</w:t>
      </w:r>
      <w:r w:rsidRPr="001922BE">
        <w:rPr>
          <w:rFonts w:cs="Arial"/>
          <w:i/>
        </w:rPr>
        <w:t>School of Life Sciences, Arizona State University, Tempe AZ, USA</w:t>
      </w:r>
    </w:p>
    <w:p w14:paraId="706FF437" w14:textId="77777777" w:rsidR="003A4F72" w:rsidRPr="006F583E" w:rsidRDefault="003A4F72" w:rsidP="003A4F72">
      <w:pPr>
        <w:jc w:val="center"/>
        <w:rPr>
          <w:rFonts w:cs="Arial"/>
        </w:rPr>
      </w:pPr>
      <w:r>
        <w:rPr>
          <w:rFonts w:cs="Arial"/>
          <w:i/>
          <w:vertAlign w:val="superscript"/>
        </w:rPr>
        <w:t>2</w:t>
      </w:r>
      <w:r w:rsidRPr="001922BE">
        <w:rPr>
          <w:rFonts w:cs="Arial"/>
          <w:i/>
        </w:rPr>
        <w:t xml:space="preserve">The Biodesign </w:t>
      </w:r>
      <w:r>
        <w:rPr>
          <w:rFonts w:cs="Arial"/>
          <w:i/>
        </w:rPr>
        <w:t>Institute Virginia G. Piper Center for Personalized Diagnostics</w:t>
      </w:r>
      <w:r w:rsidRPr="001922BE">
        <w:rPr>
          <w:rFonts w:cs="Arial"/>
          <w:i/>
        </w:rPr>
        <w:t xml:space="preserve">, Arizona </w:t>
      </w:r>
      <w:r>
        <w:rPr>
          <w:rFonts w:cs="Arial"/>
          <w:i/>
        </w:rPr>
        <w:t>State University, Tempe AZ, USA</w:t>
      </w:r>
      <w:r w:rsidRPr="001922BE">
        <w:rPr>
          <w:rFonts w:cs="Arial"/>
          <w:i/>
        </w:rPr>
        <w:t xml:space="preserve"> </w:t>
      </w:r>
    </w:p>
    <w:p w14:paraId="11F8DA2B" w14:textId="77777777" w:rsidR="003A4F72" w:rsidRPr="001922BE" w:rsidRDefault="003A4F72" w:rsidP="003A4F72">
      <w:pPr>
        <w:jc w:val="center"/>
        <w:rPr>
          <w:rFonts w:cs="Arial"/>
        </w:rPr>
      </w:pPr>
      <w:r>
        <w:rPr>
          <w:rFonts w:cs="Arial"/>
          <w:i/>
          <w:vertAlign w:val="superscript"/>
        </w:rPr>
        <w:t>3</w:t>
      </w:r>
      <w:r w:rsidRPr="001922BE">
        <w:rPr>
          <w:rFonts w:cs="Arial"/>
          <w:i/>
        </w:rPr>
        <w:t xml:space="preserve">The Biodesign Institute Center for </w:t>
      </w:r>
      <w:bookmarkEnd w:id="0"/>
      <w:bookmarkEnd w:id="1"/>
      <w:r>
        <w:rPr>
          <w:rFonts w:cs="Arial"/>
          <w:i/>
        </w:rPr>
        <w:t>Immunotherapy, Vaccines and Virotherapy</w:t>
      </w:r>
      <w:r w:rsidRPr="001922BE">
        <w:rPr>
          <w:rFonts w:cs="Arial"/>
          <w:i/>
        </w:rPr>
        <w:t xml:space="preserve">, Arizona </w:t>
      </w:r>
      <w:r>
        <w:rPr>
          <w:rFonts w:cs="Arial"/>
          <w:i/>
        </w:rPr>
        <w:t>State University, Tempe AZ, USA</w:t>
      </w:r>
      <w:r w:rsidRPr="001922BE">
        <w:rPr>
          <w:rFonts w:cs="Arial"/>
          <w:i/>
        </w:rPr>
        <w:t xml:space="preserve"> </w:t>
      </w:r>
      <w:bookmarkEnd w:id="2"/>
      <w:bookmarkEnd w:id="3"/>
    </w:p>
    <w:p w14:paraId="12D66496" w14:textId="77777777" w:rsidR="003A4F72" w:rsidRPr="001922BE" w:rsidRDefault="003A4F72" w:rsidP="003A4F72">
      <w:pPr>
        <w:jc w:val="center"/>
        <w:rPr>
          <w:rFonts w:cs="Arial"/>
        </w:rPr>
      </w:pPr>
      <w:r w:rsidRPr="00742E6A">
        <w:rPr>
          <w:rFonts w:cs="Arial"/>
          <w:vertAlign w:val="superscript"/>
        </w:rPr>
        <w:t>4</w:t>
      </w:r>
      <w:r w:rsidRPr="0083474D">
        <w:rPr>
          <w:rFonts w:cs="Arial"/>
          <w:i/>
        </w:rPr>
        <w:t xml:space="preserve">Bioinformatics Core, </w:t>
      </w:r>
      <w:r>
        <w:rPr>
          <w:rFonts w:cs="Arial"/>
          <w:i/>
        </w:rPr>
        <w:t>Knowledge Enterprise Development</w:t>
      </w:r>
      <w:r w:rsidRPr="0083474D">
        <w:rPr>
          <w:rFonts w:cs="Arial"/>
          <w:i/>
        </w:rPr>
        <w:t>, Arizona State University, Tempe AZ, USA</w:t>
      </w:r>
    </w:p>
    <w:p w14:paraId="23A3BF96" w14:textId="185BB952" w:rsidR="003A4F72" w:rsidRDefault="003A4F72" w:rsidP="003A4F72">
      <w:pPr>
        <w:jc w:val="center"/>
        <w:rPr>
          <w:b/>
          <w:sz w:val="24"/>
          <w:szCs w:val="24"/>
        </w:rPr>
      </w:pPr>
    </w:p>
    <w:p w14:paraId="11E14F1E" w14:textId="0BA4DA97" w:rsidR="003A4F72" w:rsidRDefault="003A4F72" w:rsidP="003A4F72">
      <w:pPr>
        <w:jc w:val="center"/>
        <w:rPr>
          <w:b/>
          <w:sz w:val="24"/>
          <w:szCs w:val="24"/>
        </w:rPr>
      </w:pPr>
    </w:p>
    <w:p w14:paraId="4E62782B" w14:textId="32A8F4FF" w:rsidR="003A4F72" w:rsidRDefault="003A4F72" w:rsidP="003A4F72">
      <w:pPr>
        <w:jc w:val="center"/>
        <w:rPr>
          <w:b/>
          <w:sz w:val="24"/>
          <w:szCs w:val="24"/>
        </w:rPr>
      </w:pPr>
    </w:p>
    <w:p w14:paraId="16CB9948" w14:textId="77777777" w:rsidR="003A4F72" w:rsidRDefault="003A4F72" w:rsidP="00831165">
      <w:pPr>
        <w:jc w:val="center"/>
        <w:rPr>
          <w:b/>
          <w:sz w:val="24"/>
          <w:szCs w:val="24"/>
        </w:rPr>
      </w:pPr>
    </w:p>
    <w:p w14:paraId="70BCAD51" w14:textId="4A896CD8" w:rsidR="003A4F72" w:rsidRDefault="003A4F72" w:rsidP="0083116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Additional File 1: </w:t>
      </w:r>
      <w:r w:rsidR="00191AE6">
        <w:rPr>
          <w:b/>
          <w:sz w:val="24"/>
          <w:szCs w:val="24"/>
        </w:rPr>
        <w:t xml:space="preserve">Supplemental </w:t>
      </w:r>
      <w:r>
        <w:rPr>
          <w:b/>
          <w:sz w:val="24"/>
          <w:szCs w:val="24"/>
        </w:rPr>
        <w:t>f</w:t>
      </w:r>
      <w:r w:rsidR="00191AE6">
        <w:rPr>
          <w:b/>
          <w:sz w:val="24"/>
          <w:szCs w:val="24"/>
        </w:rPr>
        <w:t>igures</w:t>
      </w:r>
    </w:p>
    <w:p w14:paraId="6F6AE668" w14:textId="77777777" w:rsidR="003A4F72" w:rsidRDefault="003A4F7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44B668F" w14:textId="77777777" w:rsidR="00191AE6" w:rsidRDefault="00191AE6" w:rsidP="00191AE6">
      <w:pPr>
        <w:rPr>
          <w:b/>
          <w:sz w:val="24"/>
          <w:szCs w:val="24"/>
        </w:rPr>
      </w:pPr>
    </w:p>
    <w:p w14:paraId="6E9F2321" w14:textId="453BBE7F" w:rsidR="00895874" w:rsidRDefault="00895874">
      <w:pPr>
        <w:rPr>
          <w:sz w:val="24"/>
          <w:szCs w:val="24"/>
        </w:rPr>
      </w:pPr>
    </w:p>
    <w:p w14:paraId="7894AACF" w14:textId="471A75ED" w:rsidR="005779E4" w:rsidRDefault="00EB1F07" w:rsidP="00EE481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AA17A09" wp14:editId="7C46E70A">
            <wp:extent cx="5467350" cy="34480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F3A48" w14:textId="2007F7DD" w:rsidR="005779E4" w:rsidRDefault="005779E4" w:rsidP="002A2001">
      <w:pPr>
        <w:spacing w:line="480" w:lineRule="auto"/>
        <w:rPr>
          <w:sz w:val="24"/>
          <w:szCs w:val="24"/>
        </w:rPr>
      </w:pPr>
      <w:r>
        <w:rPr>
          <w:b/>
          <w:sz w:val="24"/>
          <w:szCs w:val="24"/>
        </w:rPr>
        <w:t>Figure S</w:t>
      </w:r>
      <w:r w:rsidR="00393CB9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0C0FA7">
        <w:rPr>
          <w:sz w:val="24"/>
          <w:szCs w:val="24"/>
        </w:rPr>
        <w:t>M</w:t>
      </w:r>
      <w:r>
        <w:rPr>
          <w:sz w:val="24"/>
          <w:szCs w:val="24"/>
        </w:rPr>
        <w:t>embers of the</w:t>
      </w:r>
      <w:r w:rsidR="000C0FA7">
        <w:rPr>
          <w:sz w:val="24"/>
          <w:szCs w:val="24"/>
        </w:rPr>
        <w:t xml:space="preserve"> mycobacterial</w:t>
      </w:r>
      <w:r>
        <w:rPr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Abscessus-Chelonae</w:t>
      </w:r>
      <w:proofErr w:type="spellEnd"/>
      <w:r>
        <w:rPr>
          <w:i/>
          <w:sz w:val="24"/>
          <w:szCs w:val="24"/>
        </w:rPr>
        <w:t xml:space="preserve"> </w:t>
      </w:r>
      <w:r w:rsidR="000C0FA7">
        <w:rPr>
          <w:sz w:val="24"/>
          <w:szCs w:val="24"/>
        </w:rPr>
        <w:t xml:space="preserve">clade harbor unique </w:t>
      </w:r>
      <w:r w:rsidR="00522C3A">
        <w:rPr>
          <w:sz w:val="24"/>
          <w:szCs w:val="24"/>
        </w:rPr>
        <w:t xml:space="preserve">PrrA </w:t>
      </w:r>
      <w:r w:rsidR="000C0FA7">
        <w:rPr>
          <w:sz w:val="24"/>
          <w:szCs w:val="24"/>
        </w:rPr>
        <w:t xml:space="preserve">amino acid “signatures”. Boxed residues correspond to amino acid residues only found in mycobacterial species belonging to the </w:t>
      </w:r>
      <w:proofErr w:type="spellStart"/>
      <w:r w:rsidR="000C0FA7">
        <w:rPr>
          <w:i/>
          <w:sz w:val="24"/>
          <w:szCs w:val="24"/>
        </w:rPr>
        <w:t>Abscessus-Chelonae</w:t>
      </w:r>
      <w:proofErr w:type="spellEnd"/>
      <w:r w:rsidR="000C0FA7">
        <w:rPr>
          <w:i/>
          <w:sz w:val="24"/>
          <w:szCs w:val="24"/>
        </w:rPr>
        <w:t xml:space="preserve"> </w:t>
      </w:r>
      <w:r w:rsidR="000C0FA7">
        <w:rPr>
          <w:sz w:val="24"/>
          <w:szCs w:val="24"/>
        </w:rPr>
        <w:t xml:space="preserve">clade (bottom row) compared to all other mycobacterial clades (top row) or </w:t>
      </w:r>
      <w:r w:rsidR="000C0FA7">
        <w:rPr>
          <w:i/>
          <w:sz w:val="24"/>
          <w:szCs w:val="24"/>
        </w:rPr>
        <w:t xml:space="preserve">M. smegmatis </w:t>
      </w:r>
      <w:r w:rsidR="000C0FA7">
        <w:rPr>
          <w:sz w:val="24"/>
          <w:szCs w:val="24"/>
        </w:rPr>
        <w:t>mc</w:t>
      </w:r>
      <w:r w:rsidR="000C0FA7">
        <w:rPr>
          <w:sz w:val="24"/>
          <w:szCs w:val="24"/>
          <w:vertAlign w:val="superscript"/>
        </w:rPr>
        <w:t>2</w:t>
      </w:r>
      <w:r w:rsidR="000C0FA7">
        <w:rPr>
          <w:sz w:val="24"/>
          <w:szCs w:val="24"/>
        </w:rPr>
        <w:t xml:space="preserve">155 and </w:t>
      </w:r>
      <w:r w:rsidR="000C0FA7">
        <w:rPr>
          <w:i/>
          <w:sz w:val="24"/>
          <w:szCs w:val="24"/>
        </w:rPr>
        <w:t xml:space="preserve">M. tuberculosis </w:t>
      </w:r>
      <w:r w:rsidR="000C0FA7">
        <w:rPr>
          <w:sz w:val="24"/>
          <w:szCs w:val="24"/>
        </w:rPr>
        <w:t xml:space="preserve">H37Rv (middle row). </w:t>
      </w:r>
      <w:r w:rsidR="00522C3A">
        <w:rPr>
          <w:sz w:val="24"/>
          <w:szCs w:val="24"/>
        </w:rPr>
        <w:t>Numerical system below single-letter amino acid codes</w:t>
      </w:r>
      <w:r w:rsidR="000C0FA7">
        <w:rPr>
          <w:sz w:val="24"/>
          <w:szCs w:val="24"/>
        </w:rPr>
        <w:t xml:space="preserve"> correspond to the </w:t>
      </w:r>
      <w:r w:rsidR="00522C3A">
        <w:rPr>
          <w:sz w:val="24"/>
          <w:szCs w:val="24"/>
        </w:rPr>
        <w:t>residue</w:t>
      </w:r>
      <w:r w:rsidR="000C0FA7">
        <w:rPr>
          <w:sz w:val="24"/>
          <w:szCs w:val="24"/>
        </w:rPr>
        <w:t xml:space="preserve"> position in </w:t>
      </w:r>
      <w:r w:rsidR="000C0FA7">
        <w:rPr>
          <w:i/>
          <w:sz w:val="24"/>
          <w:szCs w:val="24"/>
        </w:rPr>
        <w:t xml:space="preserve">M. smegmatis </w:t>
      </w:r>
      <w:r w:rsidR="000C0FA7">
        <w:rPr>
          <w:sz w:val="24"/>
          <w:szCs w:val="24"/>
        </w:rPr>
        <w:t xml:space="preserve">(top and middle rows) or </w:t>
      </w:r>
      <w:r w:rsidR="000C0FA7">
        <w:rPr>
          <w:i/>
          <w:sz w:val="24"/>
          <w:szCs w:val="24"/>
        </w:rPr>
        <w:t xml:space="preserve">M. </w:t>
      </w:r>
      <w:proofErr w:type="spellStart"/>
      <w:r w:rsidR="000C0FA7">
        <w:rPr>
          <w:i/>
          <w:sz w:val="24"/>
          <w:szCs w:val="24"/>
        </w:rPr>
        <w:t>abscessus</w:t>
      </w:r>
      <w:proofErr w:type="spellEnd"/>
      <w:r w:rsidR="000C0FA7">
        <w:rPr>
          <w:i/>
          <w:sz w:val="24"/>
          <w:szCs w:val="24"/>
        </w:rPr>
        <w:t xml:space="preserve"> </w:t>
      </w:r>
      <w:r w:rsidR="000C0FA7">
        <w:rPr>
          <w:sz w:val="24"/>
          <w:szCs w:val="24"/>
        </w:rPr>
        <w:t xml:space="preserve">(bottom row). </w:t>
      </w:r>
      <w:r w:rsidR="009B2172">
        <w:rPr>
          <w:sz w:val="24"/>
          <w:szCs w:val="24"/>
        </w:rPr>
        <w:t xml:space="preserve">Left box corresponds to PrrA residue S38 of </w:t>
      </w:r>
      <w:r w:rsidR="009B2172">
        <w:rPr>
          <w:i/>
          <w:sz w:val="24"/>
          <w:szCs w:val="24"/>
        </w:rPr>
        <w:t xml:space="preserve">M. smegmatis </w:t>
      </w:r>
      <w:r w:rsidR="009B2172">
        <w:rPr>
          <w:sz w:val="24"/>
          <w:szCs w:val="24"/>
        </w:rPr>
        <w:t xml:space="preserve">(top and middle rows) and N35 of </w:t>
      </w:r>
      <w:r w:rsidR="009B2172">
        <w:rPr>
          <w:i/>
          <w:sz w:val="24"/>
          <w:szCs w:val="24"/>
        </w:rPr>
        <w:t xml:space="preserve">M. </w:t>
      </w:r>
      <w:proofErr w:type="spellStart"/>
      <w:r w:rsidR="009B2172">
        <w:rPr>
          <w:i/>
          <w:sz w:val="24"/>
          <w:szCs w:val="24"/>
        </w:rPr>
        <w:t>abscessus</w:t>
      </w:r>
      <w:proofErr w:type="spellEnd"/>
      <w:r w:rsidR="009B2172">
        <w:rPr>
          <w:sz w:val="24"/>
          <w:szCs w:val="24"/>
        </w:rPr>
        <w:t xml:space="preserve">. Right box corresponds to PrrA residue S49 of </w:t>
      </w:r>
      <w:r w:rsidR="009B2172">
        <w:rPr>
          <w:i/>
          <w:sz w:val="24"/>
          <w:szCs w:val="24"/>
        </w:rPr>
        <w:t xml:space="preserve">M. smegmatis </w:t>
      </w:r>
      <w:r w:rsidR="009B2172">
        <w:rPr>
          <w:sz w:val="24"/>
          <w:szCs w:val="24"/>
        </w:rPr>
        <w:t xml:space="preserve">(top and middle rows) and C46 of </w:t>
      </w:r>
      <w:r w:rsidR="009B2172">
        <w:rPr>
          <w:i/>
          <w:sz w:val="24"/>
          <w:szCs w:val="24"/>
        </w:rPr>
        <w:t xml:space="preserve">M. </w:t>
      </w:r>
      <w:proofErr w:type="spellStart"/>
      <w:r w:rsidR="009B2172">
        <w:rPr>
          <w:i/>
          <w:sz w:val="24"/>
          <w:szCs w:val="24"/>
        </w:rPr>
        <w:t>abscessus</w:t>
      </w:r>
      <w:proofErr w:type="spellEnd"/>
      <w:r w:rsidR="009B2172">
        <w:rPr>
          <w:sz w:val="24"/>
          <w:szCs w:val="24"/>
        </w:rPr>
        <w:t>.</w:t>
      </w:r>
    </w:p>
    <w:p w14:paraId="0142CAFF" w14:textId="77777777" w:rsidR="00BB4E34" w:rsidRPr="009B2172" w:rsidRDefault="00BB4E34" w:rsidP="002A2001">
      <w:pPr>
        <w:spacing w:line="480" w:lineRule="auto"/>
        <w:rPr>
          <w:sz w:val="24"/>
          <w:szCs w:val="24"/>
        </w:rPr>
      </w:pPr>
    </w:p>
    <w:p w14:paraId="798B93DE" w14:textId="5AC3F1AD" w:rsidR="00522C3A" w:rsidRDefault="00E96C78" w:rsidP="00EE481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3D81CC" wp14:editId="597FBEAF">
            <wp:extent cx="5943600" cy="568478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8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D1CAE" w14:textId="6CBC9813" w:rsidR="00895874" w:rsidRDefault="00522C3A" w:rsidP="002A2001">
      <w:pPr>
        <w:spacing w:line="480" w:lineRule="auto"/>
        <w:rPr>
          <w:sz w:val="24"/>
          <w:szCs w:val="24"/>
        </w:rPr>
      </w:pPr>
      <w:r>
        <w:rPr>
          <w:b/>
          <w:sz w:val="24"/>
          <w:szCs w:val="24"/>
        </w:rPr>
        <w:t>Figure S</w:t>
      </w:r>
      <w:r w:rsidR="00393CB9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 xml:space="preserve">Members of the mycobacterial </w:t>
      </w:r>
      <w:proofErr w:type="spellStart"/>
      <w:r>
        <w:rPr>
          <w:i/>
          <w:sz w:val="24"/>
          <w:szCs w:val="24"/>
        </w:rPr>
        <w:t>Abscessus-Chelonae</w:t>
      </w:r>
      <w:proofErr w:type="spellEnd"/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clade harbor unique PrrB amino acid “signatures”. Boxed residues correspond to amino acid residues only found in mycobacterial species belonging to the </w:t>
      </w:r>
      <w:proofErr w:type="spellStart"/>
      <w:r>
        <w:rPr>
          <w:i/>
          <w:sz w:val="24"/>
          <w:szCs w:val="24"/>
        </w:rPr>
        <w:t>Abscessus-Chelonae</w:t>
      </w:r>
      <w:proofErr w:type="spellEnd"/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clade (bottom row) compared to all other mycobacterial clades (top row) or </w:t>
      </w:r>
      <w:r>
        <w:rPr>
          <w:i/>
          <w:sz w:val="24"/>
          <w:szCs w:val="24"/>
        </w:rPr>
        <w:t xml:space="preserve">M. smegmatis </w:t>
      </w:r>
      <w:r>
        <w:rPr>
          <w:sz w:val="24"/>
          <w:szCs w:val="24"/>
        </w:rPr>
        <w:t>mc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155 and </w:t>
      </w:r>
      <w:r>
        <w:rPr>
          <w:i/>
          <w:sz w:val="24"/>
          <w:szCs w:val="24"/>
        </w:rPr>
        <w:t xml:space="preserve">M. tuberculosis </w:t>
      </w:r>
      <w:r>
        <w:rPr>
          <w:sz w:val="24"/>
          <w:szCs w:val="24"/>
        </w:rPr>
        <w:t xml:space="preserve">H37Rv (middle row). Numerical system below single-letter amino acid codes correspond to the residue position in </w:t>
      </w:r>
      <w:r>
        <w:rPr>
          <w:i/>
          <w:sz w:val="24"/>
          <w:szCs w:val="24"/>
        </w:rPr>
        <w:t xml:space="preserve">M. smegmatis </w:t>
      </w:r>
      <w:r>
        <w:rPr>
          <w:sz w:val="24"/>
          <w:szCs w:val="24"/>
        </w:rPr>
        <w:t xml:space="preserve">(top and middle rows) or </w:t>
      </w:r>
      <w:r>
        <w:rPr>
          <w:i/>
          <w:sz w:val="24"/>
          <w:szCs w:val="24"/>
        </w:rPr>
        <w:t xml:space="preserve">M. </w:t>
      </w:r>
      <w:proofErr w:type="spellStart"/>
      <w:r>
        <w:rPr>
          <w:i/>
          <w:sz w:val="24"/>
          <w:szCs w:val="24"/>
        </w:rPr>
        <w:t>abscessus</w:t>
      </w:r>
      <w:proofErr w:type="spellEnd"/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(bottom row).</w:t>
      </w:r>
      <w:r w:rsidR="009B2172">
        <w:rPr>
          <w:sz w:val="24"/>
          <w:szCs w:val="24"/>
        </w:rPr>
        <w:t xml:space="preserve"> (</w:t>
      </w:r>
      <w:r w:rsidR="009B2172">
        <w:rPr>
          <w:b/>
          <w:sz w:val="24"/>
          <w:szCs w:val="24"/>
        </w:rPr>
        <w:t>a</w:t>
      </w:r>
      <w:r w:rsidR="009B2172">
        <w:rPr>
          <w:sz w:val="24"/>
          <w:szCs w:val="24"/>
        </w:rPr>
        <w:t xml:space="preserve">) PrrB residue T42 of </w:t>
      </w:r>
      <w:r w:rsidR="009B2172">
        <w:rPr>
          <w:i/>
          <w:sz w:val="24"/>
          <w:szCs w:val="24"/>
        </w:rPr>
        <w:t xml:space="preserve">M. smegmatis </w:t>
      </w:r>
      <w:r w:rsidR="009B2172">
        <w:rPr>
          <w:sz w:val="24"/>
          <w:szCs w:val="24"/>
        </w:rPr>
        <w:t xml:space="preserve">(top and middle rows) </w:t>
      </w:r>
      <w:r w:rsidR="009B2172">
        <w:rPr>
          <w:sz w:val="24"/>
          <w:szCs w:val="24"/>
        </w:rPr>
        <w:lastRenderedPageBreak/>
        <w:t xml:space="preserve">and E66 of </w:t>
      </w:r>
      <w:r w:rsidR="009B2172">
        <w:rPr>
          <w:i/>
          <w:sz w:val="24"/>
          <w:szCs w:val="24"/>
        </w:rPr>
        <w:t xml:space="preserve">M. </w:t>
      </w:r>
      <w:proofErr w:type="spellStart"/>
      <w:r w:rsidR="009B2172">
        <w:rPr>
          <w:i/>
          <w:sz w:val="24"/>
          <w:szCs w:val="24"/>
        </w:rPr>
        <w:t>abscessus</w:t>
      </w:r>
      <w:proofErr w:type="spellEnd"/>
      <w:r w:rsidR="009B2172">
        <w:rPr>
          <w:sz w:val="24"/>
          <w:szCs w:val="24"/>
        </w:rPr>
        <w:t>. (</w:t>
      </w:r>
      <w:r w:rsidR="009B2172">
        <w:rPr>
          <w:b/>
          <w:sz w:val="24"/>
          <w:szCs w:val="24"/>
        </w:rPr>
        <w:t>b</w:t>
      </w:r>
      <w:r w:rsidR="009B2172">
        <w:rPr>
          <w:sz w:val="24"/>
          <w:szCs w:val="24"/>
        </w:rPr>
        <w:t xml:space="preserve">) PrrB residue G67 of </w:t>
      </w:r>
      <w:r w:rsidR="009B2172">
        <w:rPr>
          <w:i/>
          <w:sz w:val="24"/>
          <w:szCs w:val="24"/>
        </w:rPr>
        <w:t xml:space="preserve">M. smegmatis </w:t>
      </w:r>
      <w:r w:rsidR="009B2172">
        <w:rPr>
          <w:sz w:val="24"/>
          <w:szCs w:val="24"/>
        </w:rPr>
        <w:t xml:space="preserve">(top and middle rows) and V93 of </w:t>
      </w:r>
      <w:r w:rsidR="009B2172">
        <w:rPr>
          <w:i/>
          <w:sz w:val="24"/>
          <w:szCs w:val="24"/>
        </w:rPr>
        <w:t xml:space="preserve">M. </w:t>
      </w:r>
      <w:proofErr w:type="spellStart"/>
      <w:r w:rsidR="009B2172">
        <w:rPr>
          <w:i/>
          <w:sz w:val="24"/>
          <w:szCs w:val="24"/>
        </w:rPr>
        <w:t>abscessus</w:t>
      </w:r>
      <w:proofErr w:type="spellEnd"/>
      <w:r w:rsidR="009B2172">
        <w:rPr>
          <w:sz w:val="24"/>
          <w:szCs w:val="24"/>
        </w:rPr>
        <w:t>. (</w:t>
      </w:r>
      <w:r w:rsidR="009B2172">
        <w:rPr>
          <w:b/>
          <w:sz w:val="24"/>
          <w:szCs w:val="24"/>
        </w:rPr>
        <w:t>c</w:t>
      </w:r>
      <w:r w:rsidR="009B2172">
        <w:rPr>
          <w:sz w:val="24"/>
          <w:szCs w:val="24"/>
        </w:rPr>
        <w:t xml:space="preserve">) PrrB residue V90 of </w:t>
      </w:r>
      <w:r w:rsidR="009B2172">
        <w:rPr>
          <w:i/>
          <w:sz w:val="24"/>
          <w:szCs w:val="24"/>
        </w:rPr>
        <w:t xml:space="preserve">M. smegmatis </w:t>
      </w:r>
      <w:r w:rsidR="009B2172">
        <w:rPr>
          <w:sz w:val="24"/>
          <w:szCs w:val="24"/>
        </w:rPr>
        <w:t xml:space="preserve">(top and middle rows) and 117 of </w:t>
      </w:r>
      <w:r w:rsidR="009B2172">
        <w:rPr>
          <w:i/>
          <w:sz w:val="24"/>
          <w:szCs w:val="24"/>
        </w:rPr>
        <w:t xml:space="preserve">M. </w:t>
      </w:r>
      <w:proofErr w:type="spellStart"/>
      <w:r w:rsidR="009B2172">
        <w:rPr>
          <w:i/>
          <w:sz w:val="24"/>
          <w:szCs w:val="24"/>
        </w:rPr>
        <w:t>abscessus</w:t>
      </w:r>
      <w:proofErr w:type="spellEnd"/>
      <w:r w:rsidR="009B2172">
        <w:rPr>
          <w:sz w:val="24"/>
          <w:szCs w:val="24"/>
        </w:rPr>
        <w:t>. (</w:t>
      </w:r>
      <w:r w:rsidR="009B2172">
        <w:rPr>
          <w:b/>
          <w:sz w:val="24"/>
          <w:szCs w:val="24"/>
        </w:rPr>
        <w:t>d</w:t>
      </w:r>
      <w:r w:rsidR="009B2172">
        <w:rPr>
          <w:sz w:val="24"/>
          <w:szCs w:val="24"/>
        </w:rPr>
        <w:t xml:space="preserve">) PrrB residue M318 of </w:t>
      </w:r>
      <w:r w:rsidR="009B2172">
        <w:rPr>
          <w:i/>
          <w:sz w:val="24"/>
          <w:szCs w:val="24"/>
        </w:rPr>
        <w:t xml:space="preserve">M. smegmatis </w:t>
      </w:r>
      <w:r w:rsidR="009B2172">
        <w:rPr>
          <w:sz w:val="24"/>
          <w:szCs w:val="24"/>
        </w:rPr>
        <w:t xml:space="preserve">(top and middle rows) and D343 of </w:t>
      </w:r>
      <w:r w:rsidR="009B2172">
        <w:rPr>
          <w:i/>
          <w:sz w:val="24"/>
          <w:szCs w:val="24"/>
        </w:rPr>
        <w:t xml:space="preserve">M. </w:t>
      </w:r>
      <w:proofErr w:type="spellStart"/>
      <w:r w:rsidR="009B2172">
        <w:rPr>
          <w:i/>
          <w:sz w:val="24"/>
          <w:szCs w:val="24"/>
        </w:rPr>
        <w:t>abscessus</w:t>
      </w:r>
      <w:proofErr w:type="spellEnd"/>
      <w:r w:rsidR="009B2172">
        <w:rPr>
          <w:sz w:val="24"/>
          <w:szCs w:val="24"/>
        </w:rPr>
        <w:t>. (</w:t>
      </w:r>
      <w:r w:rsidR="009B2172">
        <w:rPr>
          <w:b/>
          <w:sz w:val="24"/>
          <w:szCs w:val="24"/>
        </w:rPr>
        <w:t>e</w:t>
      </w:r>
      <w:r w:rsidR="009B2172">
        <w:rPr>
          <w:sz w:val="24"/>
          <w:szCs w:val="24"/>
        </w:rPr>
        <w:t xml:space="preserve">) PrrB residue A352 of </w:t>
      </w:r>
      <w:r w:rsidR="009B2172">
        <w:rPr>
          <w:i/>
          <w:sz w:val="24"/>
          <w:szCs w:val="24"/>
        </w:rPr>
        <w:t xml:space="preserve">M. smegmatis </w:t>
      </w:r>
      <w:r w:rsidR="009B2172">
        <w:rPr>
          <w:sz w:val="24"/>
          <w:szCs w:val="24"/>
        </w:rPr>
        <w:t xml:space="preserve">(top and middle rows) and K377 of </w:t>
      </w:r>
      <w:r w:rsidR="009B2172">
        <w:rPr>
          <w:i/>
          <w:sz w:val="24"/>
          <w:szCs w:val="24"/>
        </w:rPr>
        <w:t xml:space="preserve">M. </w:t>
      </w:r>
      <w:proofErr w:type="spellStart"/>
      <w:r w:rsidR="009B2172">
        <w:rPr>
          <w:i/>
          <w:sz w:val="24"/>
          <w:szCs w:val="24"/>
        </w:rPr>
        <w:t>abscessus</w:t>
      </w:r>
      <w:proofErr w:type="spellEnd"/>
      <w:r w:rsidR="009B2172">
        <w:rPr>
          <w:sz w:val="24"/>
          <w:szCs w:val="24"/>
        </w:rPr>
        <w:t>. (</w:t>
      </w:r>
      <w:r w:rsidR="009B2172">
        <w:rPr>
          <w:b/>
          <w:sz w:val="24"/>
          <w:szCs w:val="24"/>
        </w:rPr>
        <w:t>f</w:t>
      </w:r>
      <w:r w:rsidR="009B2172">
        <w:rPr>
          <w:sz w:val="24"/>
          <w:szCs w:val="24"/>
        </w:rPr>
        <w:t xml:space="preserve">) PrrB residue R371 of </w:t>
      </w:r>
      <w:r w:rsidR="009B2172">
        <w:rPr>
          <w:i/>
          <w:sz w:val="24"/>
          <w:szCs w:val="24"/>
        </w:rPr>
        <w:t>M. smegmatis</w:t>
      </w:r>
      <w:r w:rsidR="009B2172">
        <w:rPr>
          <w:sz w:val="24"/>
          <w:szCs w:val="24"/>
        </w:rPr>
        <w:t xml:space="preserve"> (top and middle rows) and V396 of </w:t>
      </w:r>
      <w:r w:rsidR="009B2172">
        <w:rPr>
          <w:i/>
          <w:sz w:val="24"/>
          <w:szCs w:val="24"/>
        </w:rPr>
        <w:t xml:space="preserve">M. </w:t>
      </w:r>
      <w:proofErr w:type="spellStart"/>
      <w:r w:rsidR="009B2172">
        <w:rPr>
          <w:i/>
          <w:sz w:val="24"/>
          <w:szCs w:val="24"/>
        </w:rPr>
        <w:t>abscessus</w:t>
      </w:r>
      <w:proofErr w:type="spellEnd"/>
      <w:r w:rsidR="009B2172">
        <w:rPr>
          <w:sz w:val="24"/>
          <w:szCs w:val="24"/>
        </w:rPr>
        <w:t>.</w:t>
      </w:r>
    </w:p>
    <w:p w14:paraId="701EC83D" w14:textId="77777777" w:rsidR="00895874" w:rsidRDefault="0089587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80063E5" w14:textId="25E6DE27" w:rsidR="00DB4E37" w:rsidRDefault="00E96C78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9DCF76" wp14:editId="367AF3C7">
            <wp:extent cx="4114800" cy="35718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F8DE1" w14:textId="49D07E8B" w:rsidR="00895874" w:rsidRDefault="00EE4813" w:rsidP="002A2001">
      <w:pPr>
        <w:spacing w:line="480" w:lineRule="auto"/>
        <w:rPr>
          <w:sz w:val="24"/>
          <w:szCs w:val="24"/>
        </w:rPr>
      </w:pPr>
      <w:r>
        <w:rPr>
          <w:b/>
          <w:sz w:val="24"/>
          <w:szCs w:val="24"/>
        </w:rPr>
        <w:t>Figure S</w:t>
      </w:r>
      <w:r w:rsidR="00393CB9">
        <w:rPr>
          <w:b/>
          <w:sz w:val="24"/>
          <w:szCs w:val="24"/>
        </w:rPr>
        <w:t>3</w:t>
      </w:r>
      <w:r w:rsidR="0037128A">
        <w:rPr>
          <w:b/>
          <w:sz w:val="24"/>
          <w:szCs w:val="24"/>
        </w:rPr>
        <w:t xml:space="preserve">: </w:t>
      </w:r>
      <w:r w:rsidR="0037128A" w:rsidRPr="00DB4E37">
        <w:rPr>
          <w:i/>
          <w:sz w:val="24"/>
          <w:szCs w:val="24"/>
        </w:rPr>
        <w:t>M</w:t>
      </w:r>
      <w:r w:rsidR="007B214F">
        <w:rPr>
          <w:i/>
          <w:sz w:val="24"/>
          <w:szCs w:val="24"/>
        </w:rPr>
        <w:t>.</w:t>
      </w:r>
      <w:r w:rsidR="0037128A" w:rsidRPr="00DB4E37">
        <w:rPr>
          <w:i/>
          <w:sz w:val="24"/>
          <w:szCs w:val="24"/>
        </w:rPr>
        <w:t xml:space="preserve"> smegmatis</w:t>
      </w:r>
      <w:r w:rsidR="0037128A">
        <w:rPr>
          <w:b/>
          <w:i/>
          <w:sz w:val="24"/>
          <w:szCs w:val="24"/>
        </w:rPr>
        <w:t xml:space="preserve"> </w:t>
      </w:r>
      <w:r w:rsidR="0037128A">
        <w:rPr>
          <w:sz w:val="24"/>
          <w:szCs w:val="24"/>
        </w:rPr>
        <w:t>growth characteristics in M7H9 broth. Optical density (OD</w:t>
      </w:r>
      <w:r w:rsidR="0037128A">
        <w:rPr>
          <w:sz w:val="24"/>
          <w:szCs w:val="24"/>
          <w:vertAlign w:val="subscript"/>
        </w:rPr>
        <w:t>600</w:t>
      </w:r>
      <w:r w:rsidR="0037128A">
        <w:rPr>
          <w:sz w:val="24"/>
          <w:szCs w:val="24"/>
        </w:rPr>
        <w:t>) of mc</w:t>
      </w:r>
      <w:r w:rsidR="0037128A">
        <w:rPr>
          <w:sz w:val="24"/>
          <w:szCs w:val="24"/>
          <w:vertAlign w:val="superscript"/>
        </w:rPr>
        <w:t>2</w:t>
      </w:r>
      <w:r w:rsidR="0037128A">
        <w:rPr>
          <w:sz w:val="24"/>
          <w:szCs w:val="24"/>
        </w:rPr>
        <w:t>155 (open circles), FDL10 (red triangle</w:t>
      </w:r>
      <w:r w:rsidR="00393CB9">
        <w:rPr>
          <w:sz w:val="24"/>
          <w:szCs w:val="24"/>
        </w:rPr>
        <w:t>s</w:t>
      </w:r>
      <w:r w:rsidR="0037128A">
        <w:rPr>
          <w:sz w:val="24"/>
          <w:szCs w:val="24"/>
        </w:rPr>
        <w:t>), and FDL15 (green diamond</w:t>
      </w:r>
      <w:r w:rsidR="00393CB9">
        <w:rPr>
          <w:sz w:val="24"/>
          <w:szCs w:val="24"/>
        </w:rPr>
        <w:t>s</w:t>
      </w:r>
      <w:r w:rsidR="0037128A">
        <w:rPr>
          <w:sz w:val="24"/>
          <w:szCs w:val="24"/>
        </w:rPr>
        <w:t xml:space="preserve">). The blue arrow </w:t>
      </w:r>
      <w:r w:rsidR="00393CB9">
        <w:rPr>
          <w:sz w:val="24"/>
          <w:szCs w:val="24"/>
        </w:rPr>
        <w:t xml:space="preserve">shows the </w:t>
      </w:r>
      <w:r w:rsidR="0037128A">
        <w:rPr>
          <w:sz w:val="24"/>
          <w:szCs w:val="24"/>
        </w:rPr>
        <w:t>OD</w:t>
      </w:r>
      <w:r w:rsidR="0037128A">
        <w:rPr>
          <w:sz w:val="24"/>
          <w:szCs w:val="24"/>
          <w:vertAlign w:val="subscript"/>
        </w:rPr>
        <w:t>600</w:t>
      </w:r>
      <w:r w:rsidR="00393CB9">
        <w:rPr>
          <w:sz w:val="24"/>
          <w:szCs w:val="24"/>
        </w:rPr>
        <w:t xml:space="preserve"> (</w:t>
      </w:r>
      <w:r w:rsidR="0037128A">
        <w:t>~0.6</w:t>
      </w:r>
      <w:r w:rsidR="00393CB9">
        <w:t>) when cultures were collected for</w:t>
      </w:r>
      <w:r w:rsidR="0037128A">
        <w:rPr>
          <w:sz w:val="24"/>
          <w:szCs w:val="24"/>
        </w:rPr>
        <w:t xml:space="preserve"> RNA isolation. Values represent the mean </w:t>
      </w:r>
      <w:r w:rsidR="0037128A">
        <w:rPr>
          <w:rFonts w:cs="Arial"/>
          <w:sz w:val="24"/>
          <w:szCs w:val="24"/>
        </w:rPr>
        <w:t>±</w:t>
      </w:r>
      <w:r w:rsidR="0037128A">
        <w:rPr>
          <w:sz w:val="24"/>
          <w:szCs w:val="24"/>
        </w:rPr>
        <w:t>SEM of data collected from three independent cultures.</w:t>
      </w:r>
    </w:p>
    <w:p w14:paraId="3562C0CA" w14:textId="389A0003" w:rsidR="00895874" w:rsidRDefault="0089587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1B488F0" w14:textId="35FABB51" w:rsidR="00895874" w:rsidRPr="0021722A" w:rsidRDefault="00831165" w:rsidP="0089587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D4885B" wp14:editId="07D706FA">
            <wp:extent cx="5943600" cy="5253961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5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642C4" w14:textId="4E0F1EB0" w:rsidR="00895874" w:rsidRDefault="00895874" w:rsidP="00895874">
      <w:pPr>
        <w:spacing w:line="480" w:lineRule="auto"/>
        <w:rPr>
          <w:sz w:val="24"/>
          <w:szCs w:val="24"/>
        </w:rPr>
      </w:pPr>
      <w:r>
        <w:rPr>
          <w:b/>
          <w:sz w:val="24"/>
          <w:szCs w:val="24"/>
        </w:rPr>
        <w:t>Figure S</w:t>
      </w:r>
      <w:r w:rsidR="00685936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 xml:space="preserve">Multidimensional scaling (MDS) plot of triplicate </w:t>
      </w:r>
      <w:r>
        <w:rPr>
          <w:i/>
          <w:sz w:val="24"/>
          <w:szCs w:val="24"/>
        </w:rPr>
        <w:t xml:space="preserve">M. smegmatis </w:t>
      </w:r>
      <w:r>
        <w:rPr>
          <w:sz w:val="24"/>
          <w:szCs w:val="24"/>
        </w:rPr>
        <w:t>RNA-</w:t>
      </w:r>
      <w:r w:rsidR="00685936">
        <w:rPr>
          <w:sz w:val="24"/>
          <w:szCs w:val="24"/>
        </w:rPr>
        <w:t>s</w:t>
      </w:r>
      <w:r>
        <w:rPr>
          <w:sz w:val="24"/>
          <w:szCs w:val="24"/>
        </w:rPr>
        <w:t xml:space="preserve">eq samples. </w:t>
      </w:r>
      <w:r w:rsidR="00191AE6">
        <w:rPr>
          <w:sz w:val="24"/>
          <w:szCs w:val="24"/>
        </w:rPr>
        <w:t xml:space="preserve">Given the MDS-based </w:t>
      </w:r>
      <w:r>
        <w:rPr>
          <w:sz w:val="24"/>
          <w:szCs w:val="24"/>
        </w:rPr>
        <w:t>distance separation of the mc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155_2 sample (circled in the bottom-left corner of plot) from other mc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155 replicates</w:t>
      </w:r>
      <w:r w:rsidR="00191AE6">
        <w:rPr>
          <w:sz w:val="24"/>
          <w:szCs w:val="24"/>
        </w:rPr>
        <w:t>, t</w:t>
      </w:r>
      <w:r w:rsidR="00685936">
        <w:rPr>
          <w:sz w:val="24"/>
          <w:szCs w:val="24"/>
        </w:rPr>
        <w:t>he mc</w:t>
      </w:r>
      <w:r w:rsidR="00685936" w:rsidRPr="00831165">
        <w:rPr>
          <w:sz w:val="24"/>
          <w:szCs w:val="24"/>
          <w:vertAlign w:val="superscript"/>
        </w:rPr>
        <w:t>2</w:t>
      </w:r>
      <w:r w:rsidR="00685936">
        <w:rPr>
          <w:sz w:val="24"/>
          <w:szCs w:val="24"/>
        </w:rPr>
        <w:t>155_2 sample</w:t>
      </w:r>
      <w:r>
        <w:rPr>
          <w:sz w:val="24"/>
          <w:szCs w:val="24"/>
        </w:rPr>
        <w:t xml:space="preserve"> was removed from differential expression analysis. </w:t>
      </w:r>
    </w:p>
    <w:p w14:paraId="136C4268" w14:textId="015C370F" w:rsidR="00895874" w:rsidRDefault="00831165" w:rsidP="0089587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AA636B" wp14:editId="3BF08950">
            <wp:extent cx="5943600" cy="210214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C4428" w14:textId="0348C066" w:rsidR="00191AE6" w:rsidRDefault="00895874" w:rsidP="00895874">
      <w:pPr>
        <w:spacing w:line="480" w:lineRule="auto"/>
        <w:rPr>
          <w:sz w:val="24"/>
          <w:szCs w:val="24"/>
        </w:rPr>
      </w:pPr>
      <w:r>
        <w:rPr>
          <w:b/>
          <w:sz w:val="24"/>
          <w:szCs w:val="24"/>
        </w:rPr>
        <w:t>Figure S</w:t>
      </w:r>
      <w:r w:rsidR="00191AE6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Principal component analysis (PCA) of </w:t>
      </w:r>
      <w:r>
        <w:rPr>
          <w:i/>
          <w:sz w:val="24"/>
          <w:szCs w:val="24"/>
        </w:rPr>
        <w:t xml:space="preserve">M. smegmatis </w:t>
      </w:r>
      <w:r>
        <w:rPr>
          <w:sz w:val="24"/>
          <w:szCs w:val="24"/>
        </w:rPr>
        <w:t>strains used for RNA-</w:t>
      </w:r>
      <w:r w:rsidR="00191AE6">
        <w:rPr>
          <w:sz w:val="24"/>
          <w:szCs w:val="24"/>
        </w:rPr>
        <w:t>s</w:t>
      </w:r>
      <w:r>
        <w:rPr>
          <w:sz w:val="24"/>
          <w:szCs w:val="24"/>
        </w:rPr>
        <w:t xml:space="preserve">eq DEG analyses. </w:t>
      </w:r>
    </w:p>
    <w:p w14:paraId="60A45383" w14:textId="77777777" w:rsidR="00191AE6" w:rsidRDefault="00191AE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FDBA0FB" w14:textId="7CF17B2B" w:rsidR="00F00583" w:rsidRDefault="000741FA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FB784C" wp14:editId="16CE21C0">
            <wp:extent cx="4705350" cy="20002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B5322" w14:textId="5A67B716" w:rsidR="00AE78EE" w:rsidRDefault="000B7656" w:rsidP="000E0DB6">
      <w:pPr>
        <w:spacing w:line="480" w:lineRule="auto"/>
        <w:rPr>
          <w:rFonts w:cs="Arial"/>
          <w:sz w:val="24"/>
          <w:szCs w:val="24"/>
        </w:rPr>
      </w:pPr>
      <w:r>
        <w:rPr>
          <w:b/>
          <w:sz w:val="24"/>
          <w:szCs w:val="24"/>
        </w:rPr>
        <w:t>Figure S</w:t>
      </w:r>
      <w:r w:rsidR="00EE4813">
        <w:rPr>
          <w:b/>
          <w:sz w:val="24"/>
          <w:szCs w:val="24"/>
        </w:rPr>
        <w:t>6</w:t>
      </w:r>
      <w:r w:rsidR="00BD0E70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0E0DB6" w:rsidRPr="00797E56">
        <w:rPr>
          <w:rFonts w:cs="Arial"/>
          <w:sz w:val="24"/>
          <w:szCs w:val="24"/>
        </w:rPr>
        <w:t>Global</w:t>
      </w:r>
      <w:r w:rsidR="00184B85">
        <w:rPr>
          <w:rFonts w:cs="Arial"/>
          <w:sz w:val="24"/>
          <w:szCs w:val="24"/>
        </w:rPr>
        <w:t xml:space="preserve"> expression</w:t>
      </w:r>
      <w:r w:rsidR="000E0DB6" w:rsidRPr="00797E56">
        <w:rPr>
          <w:rFonts w:cs="Arial"/>
          <w:sz w:val="24"/>
          <w:szCs w:val="24"/>
        </w:rPr>
        <w:t xml:space="preserve"> profile of DEGs (</w:t>
      </w:r>
      <w:r w:rsidR="000E0DB6" w:rsidRPr="00797E56">
        <w:rPr>
          <w:rFonts w:cs="Arial"/>
          <w:i/>
          <w:sz w:val="24"/>
          <w:szCs w:val="24"/>
        </w:rPr>
        <w:t xml:space="preserve">q </w:t>
      </w:r>
      <w:r w:rsidR="005B229E">
        <w:rPr>
          <w:rFonts w:cs="Arial"/>
          <w:sz w:val="24"/>
          <w:szCs w:val="24"/>
        </w:rPr>
        <w:t>&lt;</w:t>
      </w:r>
      <w:r w:rsidR="000E0DB6" w:rsidRPr="00797E56">
        <w:rPr>
          <w:rFonts w:cs="Arial"/>
          <w:sz w:val="24"/>
          <w:szCs w:val="24"/>
        </w:rPr>
        <w:t>0.05)</w:t>
      </w:r>
      <w:r w:rsidR="005B229E">
        <w:rPr>
          <w:rFonts w:cs="Arial"/>
          <w:sz w:val="24"/>
          <w:szCs w:val="24"/>
        </w:rPr>
        <w:t xml:space="preserve">. </w:t>
      </w:r>
      <w:r w:rsidR="005B229E" w:rsidRPr="00C04585">
        <w:rPr>
          <w:rFonts w:cs="Arial"/>
          <w:sz w:val="24"/>
          <w:szCs w:val="24"/>
        </w:rPr>
        <w:t>(</w:t>
      </w:r>
      <w:r w:rsidR="005B229E" w:rsidRPr="005B229E">
        <w:rPr>
          <w:rFonts w:cs="Arial"/>
          <w:b/>
          <w:sz w:val="24"/>
          <w:szCs w:val="24"/>
        </w:rPr>
        <w:t>a</w:t>
      </w:r>
      <w:r w:rsidR="005B229E">
        <w:rPr>
          <w:rFonts w:cs="Arial"/>
          <w:sz w:val="24"/>
          <w:szCs w:val="24"/>
        </w:rPr>
        <w:t>)</w:t>
      </w:r>
      <w:r w:rsidR="00AE78EE">
        <w:rPr>
          <w:rFonts w:cs="Arial"/>
          <w:sz w:val="24"/>
          <w:szCs w:val="24"/>
        </w:rPr>
        <w:t xml:space="preserve"> </w:t>
      </w:r>
      <w:r w:rsidR="005B229E" w:rsidRPr="005B229E">
        <w:rPr>
          <w:rFonts w:cs="Arial"/>
          <w:sz w:val="24"/>
          <w:szCs w:val="24"/>
        </w:rPr>
        <w:t>Total</w:t>
      </w:r>
      <w:r w:rsidR="005B229E">
        <w:rPr>
          <w:rFonts w:cs="Arial"/>
          <w:sz w:val="24"/>
          <w:szCs w:val="24"/>
        </w:rPr>
        <w:t xml:space="preserve"> DEGs (</w:t>
      </w:r>
      <w:r w:rsidR="005B229E">
        <w:rPr>
          <w:rFonts w:cs="Arial"/>
          <w:i/>
          <w:sz w:val="24"/>
          <w:szCs w:val="24"/>
        </w:rPr>
        <w:t xml:space="preserve">q </w:t>
      </w:r>
      <w:r w:rsidR="005B229E">
        <w:rPr>
          <w:rFonts w:cs="Arial"/>
          <w:sz w:val="24"/>
          <w:szCs w:val="24"/>
        </w:rPr>
        <w:t>&lt;</w:t>
      </w:r>
      <w:r w:rsidR="00FF69A5">
        <w:rPr>
          <w:rFonts w:cs="Arial"/>
          <w:sz w:val="24"/>
          <w:szCs w:val="24"/>
        </w:rPr>
        <w:t xml:space="preserve"> </w:t>
      </w:r>
      <w:r w:rsidR="005B229E">
        <w:rPr>
          <w:rFonts w:cs="Arial"/>
          <w:sz w:val="24"/>
          <w:szCs w:val="24"/>
        </w:rPr>
        <w:t>0.05)</w:t>
      </w:r>
      <w:r w:rsidR="000E0DB6" w:rsidRPr="00797E56">
        <w:rPr>
          <w:rFonts w:cs="Arial"/>
          <w:sz w:val="24"/>
          <w:szCs w:val="24"/>
        </w:rPr>
        <w:t xml:space="preserve"> </w:t>
      </w:r>
      <w:r w:rsidR="00D222FB">
        <w:rPr>
          <w:rFonts w:cs="Arial"/>
          <w:sz w:val="24"/>
          <w:szCs w:val="24"/>
        </w:rPr>
        <w:t>induced</w:t>
      </w:r>
      <w:r w:rsidR="00BB4E34">
        <w:rPr>
          <w:rFonts w:cs="Arial"/>
          <w:sz w:val="24"/>
          <w:szCs w:val="24"/>
        </w:rPr>
        <w:t xml:space="preserve"> </w:t>
      </w:r>
      <w:r w:rsidR="000E0DB6" w:rsidRPr="00797E56">
        <w:rPr>
          <w:rFonts w:cs="Arial"/>
          <w:sz w:val="24"/>
          <w:szCs w:val="24"/>
        </w:rPr>
        <w:t>(</w:t>
      </w:r>
      <w:r w:rsidR="005B229E">
        <w:rPr>
          <w:rFonts w:cs="Arial"/>
          <w:sz w:val="24"/>
          <w:szCs w:val="24"/>
        </w:rPr>
        <w:t>yellow</w:t>
      </w:r>
      <w:r w:rsidR="000E0DB6" w:rsidRPr="00797E56">
        <w:rPr>
          <w:rFonts w:cs="Arial"/>
          <w:sz w:val="24"/>
          <w:szCs w:val="24"/>
        </w:rPr>
        <w:t xml:space="preserve">) or </w:t>
      </w:r>
      <w:r w:rsidR="00BB4E34">
        <w:rPr>
          <w:rFonts w:cs="Arial"/>
          <w:sz w:val="24"/>
          <w:szCs w:val="24"/>
        </w:rPr>
        <w:t>repressed</w:t>
      </w:r>
      <w:r w:rsidR="00BD0E70">
        <w:rPr>
          <w:rFonts w:cs="Arial"/>
          <w:sz w:val="24"/>
          <w:szCs w:val="24"/>
        </w:rPr>
        <w:t xml:space="preserve"> (</w:t>
      </w:r>
      <w:r w:rsidR="005B229E">
        <w:rPr>
          <w:rFonts w:cs="Arial"/>
          <w:sz w:val="24"/>
          <w:szCs w:val="24"/>
        </w:rPr>
        <w:t>blue</w:t>
      </w:r>
      <w:r w:rsidR="00BD0E70">
        <w:rPr>
          <w:rFonts w:cs="Arial"/>
          <w:sz w:val="24"/>
          <w:szCs w:val="24"/>
        </w:rPr>
        <w:t xml:space="preserve">) </w:t>
      </w:r>
      <w:r w:rsidR="005B229E">
        <w:rPr>
          <w:rFonts w:cs="Arial"/>
          <w:sz w:val="24"/>
          <w:szCs w:val="24"/>
        </w:rPr>
        <w:t xml:space="preserve">by PrrAB </w:t>
      </w:r>
      <w:r w:rsidR="00BD0E70">
        <w:rPr>
          <w:rFonts w:cs="Arial"/>
          <w:sz w:val="24"/>
          <w:szCs w:val="24"/>
        </w:rPr>
        <w:t xml:space="preserve">in </w:t>
      </w:r>
      <w:r w:rsidR="00307122">
        <w:rPr>
          <w:rFonts w:cs="Arial"/>
          <w:sz w:val="24"/>
          <w:szCs w:val="24"/>
        </w:rPr>
        <w:t>mc</w:t>
      </w:r>
      <w:r w:rsidR="00307122">
        <w:rPr>
          <w:rFonts w:cs="Arial"/>
          <w:sz w:val="24"/>
          <w:szCs w:val="24"/>
          <w:vertAlign w:val="superscript"/>
        </w:rPr>
        <w:t>2</w:t>
      </w:r>
      <w:r w:rsidR="00307122">
        <w:rPr>
          <w:rFonts w:cs="Arial"/>
          <w:sz w:val="24"/>
          <w:szCs w:val="24"/>
        </w:rPr>
        <w:t>155 (WT)</w:t>
      </w:r>
      <w:r w:rsidR="00BD0E70">
        <w:rPr>
          <w:rFonts w:cs="Arial"/>
          <w:sz w:val="24"/>
          <w:szCs w:val="24"/>
        </w:rPr>
        <w:t xml:space="preserve"> and</w:t>
      </w:r>
      <w:r w:rsidR="00307122">
        <w:rPr>
          <w:rFonts w:cs="Arial"/>
          <w:sz w:val="24"/>
          <w:szCs w:val="24"/>
        </w:rPr>
        <w:t xml:space="preserve"> FDL15 (</w:t>
      </w:r>
      <w:proofErr w:type="spellStart"/>
      <w:r w:rsidR="00097C44">
        <w:rPr>
          <w:rFonts w:cs="Arial"/>
          <w:sz w:val="24"/>
          <w:szCs w:val="24"/>
        </w:rPr>
        <w:t>Δ</w:t>
      </w:r>
      <w:r w:rsidR="00097C44">
        <w:rPr>
          <w:rFonts w:cs="Arial"/>
          <w:i/>
          <w:sz w:val="24"/>
          <w:szCs w:val="24"/>
        </w:rPr>
        <w:t>prrAB</w:t>
      </w:r>
      <w:proofErr w:type="spellEnd"/>
      <w:r w:rsidR="00BD0E70">
        <w:rPr>
          <w:rFonts w:cs="Arial"/>
          <w:sz w:val="24"/>
          <w:szCs w:val="24"/>
        </w:rPr>
        <w:t xml:space="preserve"> </w:t>
      </w:r>
      <w:r w:rsidR="00BB4E34">
        <w:rPr>
          <w:rFonts w:cs="Arial"/>
          <w:sz w:val="24"/>
          <w:szCs w:val="24"/>
        </w:rPr>
        <w:t>complementation</w:t>
      </w:r>
      <w:r w:rsidR="00097C44">
        <w:rPr>
          <w:rFonts w:cs="Arial"/>
          <w:sz w:val="24"/>
          <w:szCs w:val="24"/>
        </w:rPr>
        <w:t>)</w:t>
      </w:r>
      <w:r w:rsidR="000E0DB6" w:rsidRPr="00797E56">
        <w:rPr>
          <w:rFonts w:cs="Arial"/>
          <w:sz w:val="24"/>
          <w:szCs w:val="24"/>
        </w:rPr>
        <w:t xml:space="preserve"> </w:t>
      </w:r>
      <w:r w:rsidR="00BB4E34">
        <w:rPr>
          <w:rFonts w:cs="Arial"/>
          <w:sz w:val="24"/>
          <w:szCs w:val="24"/>
        </w:rPr>
        <w:t>backgrounds (</w:t>
      </w:r>
      <w:r w:rsidR="000E0DB6" w:rsidRPr="00797E56">
        <w:rPr>
          <w:rFonts w:cs="Arial"/>
          <w:sz w:val="24"/>
          <w:szCs w:val="24"/>
        </w:rPr>
        <w:t>RNA-</w:t>
      </w:r>
      <w:proofErr w:type="spellStart"/>
      <w:r w:rsidR="00AE78EE">
        <w:rPr>
          <w:rFonts w:cs="Arial"/>
          <w:sz w:val="24"/>
          <w:szCs w:val="24"/>
        </w:rPr>
        <w:t>s</w:t>
      </w:r>
      <w:r w:rsidR="000E0DB6" w:rsidRPr="00797E56">
        <w:rPr>
          <w:rFonts w:cs="Arial"/>
          <w:sz w:val="24"/>
          <w:szCs w:val="24"/>
        </w:rPr>
        <w:t>eq</w:t>
      </w:r>
      <w:proofErr w:type="spellEnd"/>
      <w:r w:rsidR="000E0DB6" w:rsidRPr="00797E56">
        <w:rPr>
          <w:rFonts w:cs="Arial"/>
          <w:sz w:val="24"/>
          <w:szCs w:val="24"/>
        </w:rPr>
        <w:t xml:space="preserve"> </w:t>
      </w:r>
      <w:r w:rsidR="00BB4E34">
        <w:rPr>
          <w:rFonts w:cs="Arial"/>
          <w:sz w:val="24"/>
          <w:szCs w:val="24"/>
        </w:rPr>
        <w:t xml:space="preserve">pair-wise comparisons to the </w:t>
      </w:r>
      <w:proofErr w:type="spellStart"/>
      <w:r w:rsidR="00BB4E34">
        <w:rPr>
          <w:rFonts w:cs="Arial"/>
          <w:sz w:val="24"/>
          <w:szCs w:val="24"/>
        </w:rPr>
        <w:t>Δ</w:t>
      </w:r>
      <w:r w:rsidR="00BB4E34">
        <w:rPr>
          <w:rFonts w:cs="Arial"/>
          <w:i/>
          <w:sz w:val="24"/>
          <w:szCs w:val="24"/>
        </w:rPr>
        <w:t>prrAB</w:t>
      </w:r>
      <w:proofErr w:type="spellEnd"/>
      <w:r w:rsidR="00BB4E34">
        <w:rPr>
          <w:rFonts w:cs="Arial"/>
          <w:i/>
          <w:sz w:val="24"/>
          <w:szCs w:val="24"/>
        </w:rPr>
        <w:t xml:space="preserve"> </w:t>
      </w:r>
      <w:r w:rsidR="00BB4E34">
        <w:rPr>
          <w:rFonts w:cs="Arial"/>
          <w:sz w:val="24"/>
          <w:szCs w:val="24"/>
        </w:rPr>
        <w:t>mutant)</w:t>
      </w:r>
      <w:r w:rsidR="000E0DB6" w:rsidRPr="00797E56">
        <w:rPr>
          <w:rFonts w:cs="Arial"/>
          <w:sz w:val="24"/>
          <w:szCs w:val="24"/>
        </w:rPr>
        <w:t xml:space="preserve">. </w:t>
      </w:r>
      <w:r w:rsidR="005B229E">
        <w:rPr>
          <w:rFonts w:cs="Arial"/>
          <w:sz w:val="24"/>
          <w:szCs w:val="24"/>
        </w:rPr>
        <w:t>(</w:t>
      </w:r>
      <w:r w:rsidR="005B229E">
        <w:rPr>
          <w:rFonts w:cs="Arial"/>
          <w:b/>
          <w:sz w:val="24"/>
          <w:szCs w:val="24"/>
        </w:rPr>
        <w:t>b</w:t>
      </w:r>
      <w:r w:rsidR="005B229E">
        <w:rPr>
          <w:rFonts w:cs="Arial"/>
          <w:sz w:val="24"/>
          <w:szCs w:val="24"/>
        </w:rPr>
        <w:t xml:space="preserve">) Venn diagrams </w:t>
      </w:r>
      <w:r w:rsidR="00C8531A">
        <w:rPr>
          <w:rFonts w:cs="Arial"/>
          <w:sz w:val="24"/>
          <w:szCs w:val="24"/>
        </w:rPr>
        <w:t xml:space="preserve">of </w:t>
      </w:r>
      <w:r w:rsidR="005B229E">
        <w:rPr>
          <w:rFonts w:cs="Arial"/>
          <w:sz w:val="24"/>
          <w:szCs w:val="24"/>
        </w:rPr>
        <w:t>DEGs (</w:t>
      </w:r>
      <w:r w:rsidR="005B229E">
        <w:rPr>
          <w:rFonts w:cs="Arial"/>
          <w:i/>
          <w:sz w:val="24"/>
          <w:szCs w:val="24"/>
        </w:rPr>
        <w:t xml:space="preserve">q </w:t>
      </w:r>
      <w:r w:rsidR="005B229E">
        <w:rPr>
          <w:rFonts w:cs="Arial"/>
          <w:sz w:val="24"/>
          <w:szCs w:val="24"/>
        </w:rPr>
        <w:t>&lt;</w:t>
      </w:r>
      <w:r w:rsidR="00FF69A5">
        <w:rPr>
          <w:rFonts w:cs="Arial"/>
          <w:sz w:val="24"/>
          <w:szCs w:val="24"/>
        </w:rPr>
        <w:t xml:space="preserve"> </w:t>
      </w:r>
      <w:r w:rsidR="005B229E">
        <w:rPr>
          <w:rFonts w:cs="Arial"/>
          <w:sz w:val="24"/>
          <w:szCs w:val="24"/>
        </w:rPr>
        <w:t xml:space="preserve">0.05) demonstrating </w:t>
      </w:r>
      <w:r w:rsidR="00C8531A">
        <w:rPr>
          <w:rFonts w:cs="Arial"/>
          <w:sz w:val="24"/>
          <w:szCs w:val="24"/>
        </w:rPr>
        <w:t xml:space="preserve">that </w:t>
      </w:r>
      <w:r w:rsidR="005B229E">
        <w:rPr>
          <w:rFonts w:cs="Arial"/>
          <w:sz w:val="24"/>
          <w:szCs w:val="24"/>
        </w:rPr>
        <w:t>40 DEGs (</w:t>
      </w:r>
      <w:r w:rsidR="005B229E">
        <w:rPr>
          <w:rFonts w:cs="Arial"/>
          <w:i/>
          <w:sz w:val="24"/>
          <w:szCs w:val="24"/>
        </w:rPr>
        <w:t>q</w:t>
      </w:r>
      <w:r w:rsidR="005B229E">
        <w:rPr>
          <w:rFonts w:cs="Arial"/>
          <w:sz w:val="24"/>
          <w:szCs w:val="24"/>
        </w:rPr>
        <w:t xml:space="preserve"> &lt;</w:t>
      </w:r>
      <w:r w:rsidR="00FF69A5">
        <w:rPr>
          <w:rFonts w:cs="Arial"/>
          <w:sz w:val="24"/>
          <w:szCs w:val="24"/>
        </w:rPr>
        <w:t xml:space="preserve"> </w:t>
      </w:r>
      <w:r w:rsidR="005B229E">
        <w:rPr>
          <w:rFonts w:cs="Arial"/>
          <w:sz w:val="24"/>
          <w:szCs w:val="24"/>
        </w:rPr>
        <w:t>0.05) overlap</w:t>
      </w:r>
      <w:r w:rsidR="00C8531A">
        <w:rPr>
          <w:rFonts w:cs="Arial"/>
          <w:sz w:val="24"/>
          <w:szCs w:val="24"/>
        </w:rPr>
        <w:t>ped</w:t>
      </w:r>
      <w:r w:rsidR="005B229E">
        <w:rPr>
          <w:rFonts w:cs="Arial"/>
          <w:sz w:val="24"/>
          <w:szCs w:val="24"/>
        </w:rPr>
        <w:t xml:space="preserve"> between RNA-</w:t>
      </w:r>
      <w:r w:rsidR="00AE78EE">
        <w:rPr>
          <w:rFonts w:cs="Arial"/>
          <w:sz w:val="24"/>
          <w:szCs w:val="24"/>
        </w:rPr>
        <w:t>s</w:t>
      </w:r>
      <w:r w:rsidR="005B229E">
        <w:rPr>
          <w:rFonts w:cs="Arial"/>
          <w:sz w:val="24"/>
          <w:szCs w:val="24"/>
        </w:rPr>
        <w:t xml:space="preserve">eq </w:t>
      </w:r>
      <w:r w:rsidR="00BB4E34">
        <w:rPr>
          <w:rFonts w:cs="Arial"/>
          <w:sz w:val="24"/>
          <w:szCs w:val="24"/>
        </w:rPr>
        <w:t>pair-wise</w:t>
      </w:r>
      <w:r w:rsidR="005B229E">
        <w:rPr>
          <w:rFonts w:cs="Arial"/>
          <w:sz w:val="24"/>
          <w:szCs w:val="24"/>
        </w:rPr>
        <w:t xml:space="preserve"> comparisons.</w:t>
      </w:r>
    </w:p>
    <w:p w14:paraId="5610B6C2" w14:textId="77777777" w:rsidR="00AE78EE" w:rsidRDefault="00AE78EE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14:paraId="37BBA7BC" w14:textId="177386F2" w:rsidR="000E0DB6" w:rsidRDefault="00286904" w:rsidP="000E0DB6">
      <w:pPr>
        <w:spacing w:line="480" w:lineRule="auto"/>
        <w:rPr>
          <w:rFonts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E4541D" wp14:editId="501D8491">
            <wp:extent cx="3248025" cy="26860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DB6" w:rsidRPr="00797E56">
        <w:rPr>
          <w:rFonts w:cs="Arial"/>
          <w:sz w:val="24"/>
          <w:szCs w:val="24"/>
        </w:rPr>
        <w:t xml:space="preserve"> </w:t>
      </w:r>
    </w:p>
    <w:p w14:paraId="5A41E363" w14:textId="11280A64" w:rsidR="003124D4" w:rsidRDefault="00EE4813" w:rsidP="000E0DB6">
      <w:pPr>
        <w:spacing w:line="480" w:lineRule="auto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Figure S7</w:t>
      </w:r>
      <w:r w:rsidR="003124D4">
        <w:rPr>
          <w:rFonts w:cs="Arial"/>
          <w:b/>
          <w:sz w:val="24"/>
          <w:szCs w:val="24"/>
        </w:rPr>
        <w:t xml:space="preserve">. </w:t>
      </w:r>
      <w:proofErr w:type="spellStart"/>
      <w:r w:rsidR="00F71517">
        <w:rPr>
          <w:rFonts w:cs="Arial"/>
          <w:sz w:val="24"/>
          <w:szCs w:val="24"/>
        </w:rPr>
        <w:t>qRT</w:t>
      </w:r>
      <w:proofErr w:type="spellEnd"/>
      <w:r w:rsidR="00F71517">
        <w:rPr>
          <w:rFonts w:cs="Arial"/>
          <w:sz w:val="24"/>
          <w:szCs w:val="24"/>
        </w:rPr>
        <w:t xml:space="preserve">-PCR </w:t>
      </w:r>
      <w:r w:rsidR="003124D4">
        <w:rPr>
          <w:rFonts w:cs="Arial"/>
          <w:sz w:val="24"/>
          <w:szCs w:val="24"/>
        </w:rPr>
        <w:t xml:space="preserve">verification of </w:t>
      </w:r>
      <w:r w:rsidR="006B553B">
        <w:rPr>
          <w:rFonts w:cs="Arial"/>
          <w:sz w:val="24"/>
          <w:szCs w:val="24"/>
        </w:rPr>
        <w:t xml:space="preserve">six randomly </w:t>
      </w:r>
      <w:r w:rsidR="003124D4">
        <w:rPr>
          <w:rFonts w:cs="Arial"/>
          <w:sz w:val="24"/>
          <w:szCs w:val="24"/>
        </w:rPr>
        <w:t>selected genes</w:t>
      </w:r>
      <w:r w:rsidR="00F71517">
        <w:rPr>
          <w:rFonts w:cs="Arial"/>
          <w:sz w:val="24"/>
          <w:szCs w:val="24"/>
        </w:rPr>
        <w:t xml:space="preserve"> from the</w:t>
      </w:r>
      <w:r w:rsidR="00F71517" w:rsidRPr="00F71517">
        <w:rPr>
          <w:rFonts w:cs="Arial"/>
          <w:sz w:val="24"/>
          <w:szCs w:val="24"/>
        </w:rPr>
        <w:t xml:space="preserve"> </w:t>
      </w:r>
      <w:r w:rsidR="00F71517">
        <w:rPr>
          <w:rFonts w:cs="Arial"/>
          <w:sz w:val="24"/>
          <w:szCs w:val="24"/>
        </w:rPr>
        <w:t>RNA-</w:t>
      </w:r>
      <w:r w:rsidR="005E2572">
        <w:rPr>
          <w:rFonts w:cs="Arial"/>
          <w:sz w:val="24"/>
          <w:szCs w:val="24"/>
        </w:rPr>
        <w:t>s</w:t>
      </w:r>
      <w:r w:rsidR="00F71517">
        <w:rPr>
          <w:rFonts w:cs="Arial"/>
          <w:sz w:val="24"/>
          <w:szCs w:val="24"/>
        </w:rPr>
        <w:t>eq FDL10</w:t>
      </w:r>
      <w:r w:rsidR="005E2572">
        <w:rPr>
          <w:rFonts w:cs="Arial"/>
          <w:sz w:val="24"/>
          <w:szCs w:val="24"/>
        </w:rPr>
        <w:t xml:space="preserve"> vs. </w:t>
      </w:r>
      <w:r w:rsidR="00F71517">
        <w:rPr>
          <w:rFonts w:cs="Arial"/>
          <w:sz w:val="24"/>
          <w:szCs w:val="24"/>
        </w:rPr>
        <w:t>mc</w:t>
      </w:r>
      <w:r w:rsidR="00F71517">
        <w:rPr>
          <w:rFonts w:cs="Arial"/>
          <w:sz w:val="24"/>
          <w:szCs w:val="24"/>
          <w:vertAlign w:val="superscript"/>
        </w:rPr>
        <w:t>2</w:t>
      </w:r>
      <w:r w:rsidR="00F71517">
        <w:rPr>
          <w:rFonts w:cs="Arial"/>
          <w:sz w:val="24"/>
          <w:szCs w:val="24"/>
        </w:rPr>
        <w:t>155 comparison.</w:t>
      </w:r>
      <w:r w:rsidR="000E2E48">
        <w:rPr>
          <w:rFonts w:cs="Arial"/>
          <w:sz w:val="24"/>
          <w:szCs w:val="24"/>
        </w:rPr>
        <w:t xml:space="preserve"> All </w:t>
      </w:r>
      <w:proofErr w:type="spellStart"/>
      <w:r w:rsidR="000E2E48">
        <w:rPr>
          <w:rFonts w:cs="Arial"/>
          <w:sz w:val="24"/>
          <w:szCs w:val="24"/>
        </w:rPr>
        <w:t>qRT</w:t>
      </w:r>
      <w:proofErr w:type="spellEnd"/>
      <w:r w:rsidR="000E2E48">
        <w:rPr>
          <w:rFonts w:cs="Arial"/>
          <w:sz w:val="24"/>
          <w:szCs w:val="24"/>
        </w:rPr>
        <w:t>-PCR measurements were performed from the same RNA samples used for RNA-</w:t>
      </w:r>
      <w:r w:rsidR="005E2572">
        <w:rPr>
          <w:rFonts w:cs="Arial"/>
          <w:sz w:val="24"/>
          <w:szCs w:val="24"/>
        </w:rPr>
        <w:t>s</w:t>
      </w:r>
      <w:r w:rsidR="000E2E48">
        <w:rPr>
          <w:rFonts w:cs="Arial"/>
          <w:sz w:val="24"/>
          <w:szCs w:val="24"/>
        </w:rPr>
        <w:t>eq analyses and each gene was tested in triplicate.</w:t>
      </w:r>
      <w:r w:rsidR="003124D4">
        <w:rPr>
          <w:rFonts w:cs="Arial"/>
          <w:sz w:val="24"/>
          <w:szCs w:val="24"/>
        </w:rPr>
        <w:t xml:space="preserve"> </w:t>
      </w:r>
      <w:r w:rsidR="00136615">
        <w:rPr>
          <w:rFonts w:cs="Arial"/>
          <w:sz w:val="24"/>
          <w:szCs w:val="24"/>
        </w:rPr>
        <w:t xml:space="preserve">Absolute </w:t>
      </w:r>
      <w:r w:rsidR="003124D4">
        <w:rPr>
          <w:rFonts w:cs="Arial"/>
          <w:sz w:val="24"/>
          <w:szCs w:val="24"/>
        </w:rPr>
        <w:t xml:space="preserve">fold-change ratios </w:t>
      </w:r>
      <w:r w:rsidR="005E2572">
        <w:rPr>
          <w:rFonts w:cs="Arial"/>
          <w:sz w:val="24"/>
          <w:szCs w:val="24"/>
        </w:rPr>
        <w:t xml:space="preserve">were </w:t>
      </w:r>
      <w:r w:rsidR="00F71517">
        <w:rPr>
          <w:rFonts w:cs="Arial"/>
          <w:sz w:val="24"/>
          <w:szCs w:val="24"/>
        </w:rPr>
        <w:t>calculated</w:t>
      </w:r>
      <w:r w:rsidR="003124D4">
        <w:rPr>
          <w:rFonts w:cs="Arial"/>
          <w:sz w:val="24"/>
          <w:szCs w:val="24"/>
        </w:rPr>
        <w:t xml:space="preserve"> using the 2</w:t>
      </w:r>
      <w:r w:rsidR="00D172B6">
        <w:rPr>
          <w:rFonts w:cs="Arial"/>
          <w:sz w:val="24"/>
          <w:szCs w:val="24"/>
        </w:rPr>
        <w:softHyphen/>
      </w:r>
      <w:r w:rsidR="00D172B6">
        <w:rPr>
          <w:rFonts w:cs="Arial"/>
          <w:sz w:val="24"/>
          <w:szCs w:val="24"/>
          <w:vertAlign w:val="superscript"/>
        </w:rPr>
        <w:t>-</w:t>
      </w:r>
      <w:r w:rsidR="003124D4">
        <w:rPr>
          <w:rFonts w:cs="Arial"/>
          <w:sz w:val="24"/>
          <w:szCs w:val="24"/>
          <w:vertAlign w:val="superscript"/>
        </w:rPr>
        <w:t>ΔΔCt</w:t>
      </w:r>
      <w:r w:rsidR="003124D4">
        <w:rPr>
          <w:rFonts w:cs="Arial"/>
          <w:sz w:val="24"/>
          <w:szCs w:val="24"/>
        </w:rPr>
        <w:t xml:space="preserve"> method</w:t>
      </w:r>
      <w:r w:rsidR="00BB3F3D">
        <w:rPr>
          <w:rFonts w:cs="Arial"/>
          <w:sz w:val="24"/>
          <w:szCs w:val="24"/>
        </w:rPr>
        <w:t xml:space="preserve"> </w:t>
      </w:r>
      <w:r w:rsidR="00BB3F3D">
        <w:rPr>
          <w:rFonts w:cs="Arial"/>
          <w:sz w:val="24"/>
          <w:szCs w:val="24"/>
        </w:rPr>
        <w:fldChar w:fldCharType="begin"/>
      </w:r>
      <w:r w:rsidR="008F4400">
        <w:rPr>
          <w:rFonts w:cs="Arial"/>
          <w:sz w:val="24"/>
          <w:szCs w:val="24"/>
        </w:rPr>
        <w:instrText xml:space="preserve"> ADDIN EN.CITE &lt;EndNote&gt;&lt;Cite&gt;&lt;Author&gt;Livak&lt;/Author&gt;&lt;Year&gt;2001&lt;/Year&gt;&lt;RecNum&gt;0&lt;/RecNum&gt;&lt;IDText&gt;Analysis of relative gene expression data using real-time quantitative PCR and the 2(-Delta Delta C(T)) Method&lt;/IDText&gt;&lt;DisplayText&gt;[1]&lt;/DisplayText&gt;&lt;record&gt;&lt;keywords&gt;&lt;keyword&gt;Algorithms&lt;/keyword&gt;&lt;keyword&gt;Brain/metabolism&lt;/keyword&gt;&lt;keyword&gt;Cell Line&lt;/keyword&gt;&lt;keyword&gt;DNA, Complementary/metabolism&lt;/keyword&gt;&lt;keyword&gt;Humans&lt;/keyword&gt;&lt;keyword&gt;Polymerase Chain Reaction/methods&lt;/keyword&gt;&lt;keyword&gt;Reverse Transcriptase Polymerase Chain Reaction&lt;/keyword&gt;&lt;keyword&gt;Time Factors&lt;/keyword&gt;&lt;/keywords&gt;&lt;isbn&gt;1046-2023; 1046-2023&lt;/isbn&gt;&lt;titles&gt;&lt;title&gt;Analysis of relative gene expression data using real-time quantitative PCR and the 2(-Delta Delta C(T)) Method&lt;/title&gt;&lt;secondary-title&gt;Methods (San Diego, Calif.)&lt;/secondary-title&gt;&lt;/titles&gt;&lt;pages&gt;402-408&lt;/pages&gt;&lt;number&gt;4&lt;/number&gt;&lt;access-date&gt;Dec&lt;/access-date&gt;&lt;contributors&gt;&lt;authors&gt;&lt;author&gt;Livak, K. J.&lt;/author&gt;&lt;author&gt;Schmittgen, T. D.&lt;/author&gt;&lt;/authors&gt;&lt;/contributors&gt;&lt;added-date format="utc"&gt;1546539747&lt;/added-date&gt;&lt;pub-location&gt;United States&lt;/pub-location&gt;&lt;ref-type name="Journal Article"&gt;17&lt;/ref-type&gt;&lt;auth-address&gt;Applied Biosystems, Foster City, California 94404, USA.&lt;/auth-address&gt;&lt;dates&gt;&lt;year&gt;2001&lt;/year&gt;&lt;/dates&gt;&lt;rec-number&gt;509&lt;/rec-number&gt;&lt;publisher&gt;Elsevier Science (USA)&lt;/publisher&gt;&lt;last-updated-date format="utc"&gt;1546539747&lt;/last-updated-date&gt;&lt;electronic-resource-num&gt;10.1006/meth.2001.1262 [doi]&lt;/electronic-resource-num&gt;&lt;volume&gt;25&lt;/volume&gt;&lt;/record&gt;&lt;/Cite&gt;&lt;/EndNote&gt;</w:instrText>
      </w:r>
      <w:r w:rsidR="00BB3F3D">
        <w:rPr>
          <w:rFonts w:cs="Arial"/>
          <w:sz w:val="24"/>
          <w:szCs w:val="24"/>
        </w:rPr>
        <w:fldChar w:fldCharType="separate"/>
      </w:r>
      <w:r w:rsidR="00BB3F3D">
        <w:rPr>
          <w:rFonts w:cs="Arial"/>
          <w:noProof/>
          <w:sz w:val="24"/>
          <w:szCs w:val="24"/>
        </w:rPr>
        <w:t>[1]</w:t>
      </w:r>
      <w:r w:rsidR="00BB3F3D">
        <w:rPr>
          <w:rFonts w:cs="Arial"/>
          <w:sz w:val="24"/>
          <w:szCs w:val="24"/>
        </w:rPr>
        <w:fldChar w:fldCharType="end"/>
      </w:r>
      <w:r w:rsidR="003124D4">
        <w:rPr>
          <w:rFonts w:cs="Arial"/>
          <w:sz w:val="24"/>
          <w:szCs w:val="24"/>
        </w:rPr>
        <w:t xml:space="preserve">. </w:t>
      </w:r>
    </w:p>
    <w:p w14:paraId="08A10438" w14:textId="242B94AA" w:rsidR="00784AC2" w:rsidRDefault="00784AC2" w:rsidP="000E0DB6">
      <w:pPr>
        <w:spacing w:line="480" w:lineRule="auto"/>
        <w:rPr>
          <w:rFonts w:cs="Arial"/>
          <w:sz w:val="24"/>
          <w:szCs w:val="24"/>
        </w:rPr>
      </w:pPr>
    </w:p>
    <w:p w14:paraId="36F2F9B4" w14:textId="4800D1D8" w:rsidR="00784AC2" w:rsidRDefault="00784AC2" w:rsidP="000E0DB6">
      <w:pPr>
        <w:spacing w:line="480" w:lineRule="auto"/>
        <w:rPr>
          <w:rFonts w:cs="Arial"/>
          <w:sz w:val="24"/>
          <w:szCs w:val="24"/>
        </w:rPr>
      </w:pPr>
    </w:p>
    <w:p w14:paraId="627F2DFF" w14:textId="44148A5F" w:rsidR="00B672E4" w:rsidRDefault="00B672E4" w:rsidP="000E0DB6">
      <w:pPr>
        <w:spacing w:line="480" w:lineRule="auto"/>
        <w:rPr>
          <w:rFonts w:cs="Arial"/>
          <w:sz w:val="24"/>
          <w:szCs w:val="24"/>
        </w:rPr>
      </w:pPr>
    </w:p>
    <w:p w14:paraId="630D2637" w14:textId="77777777" w:rsidR="00B672E4" w:rsidRDefault="00B672E4" w:rsidP="000E0DB6">
      <w:pPr>
        <w:spacing w:line="480" w:lineRule="auto"/>
        <w:rPr>
          <w:rFonts w:cs="Arial"/>
          <w:sz w:val="24"/>
          <w:szCs w:val="24"/>
        </w:rPr>
      </w:pPr>
    </w:p>
    <w:p w14:paraId="014D154E" w14:textId="77777777" w:rsidR="002A2001" w:rsidRDefault="002A2001" w:rsidP="000E0DB6">
      <w:pPr>
        <w:spacing w:line="480" w:lineRule="auto"/>
        <w:rPr>
          <w:rFonts w:cs="Arial"/>
          <w:sz w:val="24"/>
          <w:szCs w:val="24"/>
        </w:rPr>
      </w:pPr>
    </w:p>
    <w:p w14:paraId="2B85FEA1" w14:textId="06ECE7D1" w:rsidR="00784AC2" w:rsidRDefault="00784AC2" w:rsidP="000E0DB6">
      <w:pPr>
        <w:spacing w:line="480" w:lineRule="auto"/>
        <w:rPr>
          <w:rFonts w:cs="Arial"/>
          <w:sz w:val="24"/>
          <w:szCs w:val="24"/>
        </w:rPr>
      </w:pPr>
    </w:p>
    <w:p w14:paraId="4985ED1B" w14:textId="4D15EDF8" w:rsidR="00BC61AA" w:rsidRDefault="00BC61AA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14:paraId="0A49BCB8" w14:textId="1C7A0813" w:rsidR="00522C3A" w:rsidRDefault="000741FA" w:rsidP="000E0DB6">
      <w:pPr>
        <w:spacing w:line="480" w:lineRule="auto"/>
        <w:rPr>
          <w:rFonts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246562" wp14:editId="6B043BE1">
            <wp:extent cx="3228975" cy="33051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FF5B3" w14:textId="0A7439A9" w:rsidR="00FE3580" w:rsidRDefault="00522C3A" w:rsidP="000E0DB6">
      <w:pPr>
        <w:spacing w:line="480" w:lineRule="auto"/>
        <w:rPr>
          <w:sz w:val="24"/>
          <w:szCs w:val="24"/>
        </w:rPr>
      </w:pPr>
      <w:r>
        <w:rPr>
          <w:rFonts w:cs="Arial"/>
          <w:b/>
          <w:sz w:val="24"/>
          <w:szCs w:val="24"/>
        </w:rPr>
        <w:t>Figure S8.</w:t>
      </w:r>
      <w:r>
        <w:rPr>
          <w:rFonts w:cs="Arial"/>
          <w:sz w:val="24"/>
          <w:szCs w:val="24"/>
        </w:rPr>
        <w:t xml:space="preserve"> </w:t>
      </w:r>
      <w:r>
        <w:rPr>
          <w:rFonts w:cs="Arial"/>
          <w:i/>
          <w:sz w:val="24"/>
          <w:szCs w:val="24"/>
        </w:rPr>
        <w:t xml:space="preserve">M. smegmatis </w:t>
      </w:r>
      <w:r w:rsidR="000E2E48">
        <w:rPr>
          <w:rFonts w:cs="Arial"/>
          <w:sz w:val="24"/>
          <w:szCs w:val="24"/>
        </w:rPr>
        <w:t>extracellular ATP</w:t>
      </w:r>
      <w:r w:rsidR="005B229E">
        <w:rPr>
          <w:rFonts w:cs="Arial"/>
          <w:sz w:val="24"/>
          <w:szCs w:val="24"/>
        </w:rPr>
        <w:t xml:space="preserve"> (supernatant)</w:t>
      </w:r>
      <w:r w:rsidR="000E6C86">
        <w:rPr>
          <w:rFonts w:cs="Arial"/>
          <w:sz w:val="24"/>
          <w:szCs w:val="24"/>
        </w:rPr>
        <w:t xml:space="preserve"> expressed</w:t>
      </w:r>
      <w:r w:rsidR="000E2E48">
        <w:rPr>
          <w:rFonts w:cs="Arial"/>
          <w:sz w:val="24"/>
          <w:szCs w:val="24"/>
        </w:rPr>
        <w:t xml:space="preserve"> as a percentage of </w:t>
      </w:r>
      <w:r w:rsidR="000E6C86">
        <w:rPr>
          <w:rFonts w:cs="Arial"/>
          <w:sz w:val="24"/>
          <w:szCs w:val="24"/>
        </w:rPr>
        <w:t>whole culture</w:t>
      </w:r>
      <w:r w:rsidR="000E2E48">
        <w:rPr>
          <w:rFonts w:cs="Arial"/>
          <w:sz w:val="24"/>
          <w:szCs w:val="24"/>
        </w:rPr>
        <w:t xml:space="preserve"> </w:t>
      </w:r>
      <w:r w:rsidR="002F3249">
        <w:rPr>
          <w:rFonts w:cs="Arial"/>
          <w:sz w:val="24"/>
          <w:szCs w:val="24"/>
        </w:rPr>
        <w:t xml:space="preserve">normalized </w:t>
      </w:r>
      <w:r w:rsidR="000E2E48">
        <w:rPr>
          <w:rFonts w:cs="Arial"/>
          <w:sz w:val="24"/>
          <w:szCs w:val="24"/>
        </w:rPr>
        <w:t>ATP</w:t>
      </w:r>
      <w:r w:rsidR="002F3249">
        <w:rPr>
          <w:rFonts w:cs="Arial"/>
          <w:sz w:val="24"/>
          <w:szCs w:val="24"/>
        </w:rPr>
        <w:t xml:space="preserve"> (</w:t>
      </w:r>
      <w:proofErr w:type="spellStart"/>
      <w:r w:rsidR="002F3249">
        <w:rPr>
          <w:rFonts w:cs="Arial"/>
          <w:sz w:val="24"/>
          <w:szCs w:val="24"/>
        </w:rPr>
        <w:t>pM</w:t>
      </w:r>
      <w:proofErr w:type="spellEnd"/>
      <w:r w:rsidR="002F3249">
        <w:rPr>
          <w:rFonts w:cs="Arial"/>
          <w:sz w:val="24"/>
          <w:szCs w:val="24"/>
        </w:rPr>
        <w:t>/CFU)</w:t>
      </w:r>
      <w:r w:rsidR="000E2E48">
        <w:rPr>
          <w:rFonts w:cs="Arial"/>
          <w:sz w:val="24"/>
          <w:szCs w:val="24"/>
        </w:rPr>
        <w:t xml:space="preserve">. </w:t>
      </w:r>
      <w:r w:rsidR="000E2E48">
        <w:rPr>
          <w:sz w:val="24"/>
          <w:szCs w:val="24"/>
        </w:rPr>
        <w:t xml:space="preserve">Values represent the mean </w:t>
      </w:r>
      <w:r w:rsidR="000E2E48">
        <w:rPr>
          <w:rFonts w:cs="Arial"/>
          <w:sz w:val="24"/>
          <w:szCs w:val="24"/>
        </w:rPr>
        <w:t>±</w:t>
      </w:r>
      <w:r w:rsidR="000E2E48">
        <w:rPr>
          <w:sz w:val="24"/>
          <w:szCs w:val="24"/>
        </w:rPr>
        <w:t>SEM of data collected from three independent cultures.</w:t>
      </w:r>
    </w:p>
    <w:p w14:paraId="27D4C131" w14:textId="77777777" w:rsidR="00FE3580" w:rsidRDefault="00FE358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F84C8AC" w14:textId="4BA0D539" w:rsidR="00DF0EA4" w:rsidRDefault="00CA19E5" w:rsidP="000E0DB6">
      <w:pPr>
        <w:spacing w:line="480" w:lineRule="auto"/>
        <w:rPr>
          <w:rFonts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F928D4" wp14:editId="356761B2">
            <wp:extent cx="5943600" cy="3343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08EA5" w14:textId="3EA87C8A" w:rsidR="00DB0844" w:rsidRDefault="00DF0EA4" w:rsidP="000E0DB6">
      <w:pPr>
        <w:spacing w:line="480" w:lineRule="auto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Figure S9.</w:t>
      </w:r>
      <w:r>
        <w:rPr>
          <w:rFonts w:cs="Arial"/>
          <w:sz w:val="24"/>
          <w:szCs w:val="24"/>
        </w:rPr>
        <w:t xml:space="preserve"> Multiple sequence alignment comparing the </w:t>
      </w:r>
      <w:r>
        <w:rPr>
          <w:rFonts w:cs="Arial"/>
          <w:i/>
          <w:sz w:val="24"/>
          <w:szCs w:val="24"/>
        </w:rPr>
        <w:t xml:space="preserve">M. smegmatis </w:t>
      </w:r>
      <w:r>
        <w:rPr>
          <w:rFonts w:cs="Arial"/>
          <w:sz w:val="24"/>
          <w:szCs w:val="24"/>
        </w:rPr>
        <w:t xml:space="preserve">and </w:t>
      </w:r>
      <w:r>
        <w:rPr>
          <w:rFonts w:cs="Arial"/>
          <w:i/>
          <w:sz w:val="24"/>
          <w:szCs w:val="24"/>
        </w:rPr>
        <w:t xml:space="preserve">M. tuberculosis </w:t>
      </w:r>
      <w:r>
        <w:rPr>
          <w:rFonts w:cs="Arial"/>
          <w:sz w:val="24"/>
          <w:szCs w:val="24"/>
        </w:rPr>
        <w:t xml:space="preserve">PrrA amino acid sequences. Secondary structures are represented by arrows (β-sheets) or bars (α-helices). Secondary structures colored in blue correspond to the N-terminal receiver domain while red corresponds to the C-terminal effector domain. The conserved </w:t>
      </w:r>
      <w:proofErr w:type="spellStart"/>
      <w:r>
        <w:rPr>
          <w:rFonts w:cs="Arial"/>
          <w:sz w:val="24"/>
          <w:szCs w:val="24"/>
        </w:rPr>
        <w:t>phosho</w:t>
      </w:r>
      <w:proofErr w:type="spellEnd"/>
      <w:r>
        <w:rPr>
          <w:rFonts w:cs="Arial"/>
          <w:sz w:val="24"/>
          <w:szCs w:val="24"/>
        </w:rPr>
        <w:t xml:space="preserve">-receiving aspartate (D58) and DNA-binding recognition helix are labeled. Multiple sequence alignments were performed in </w:t>
      </w:r>
      <w:proofErr w:type="spellStart"/>
      <w:r>
        <w:rPr>
          <w:rFonts w:cs="Arial"/>
          <w:sz w:val="24"/>
          <w:szCs w:val="24"/>
        </w:rPr>
        <w:t>JalView</w:t>
      </w:r>
      <w:proofErr w:type="spellEnd"/>
      <w:r>
        <w:rPr>
          <w:rFonts w:cs="Arial"/>
          <w:sz w:val="24"/>
          <w:szCs w:val="24"/>
        </w:rPr>
        <w:t xml:space="preserve"> using default MUSCLE algorithms</w:t>
      </w:r>
      <w:r w:rsidR="007B32B0">
        <w:rPr>
          <w:rFonts w:cs="Arial"/>
          <w:sz w:val="24"/>
          <w:szCs w:val="24"/>
        </w:rPr>
        <w:t xml:space="preserve"> </w:t>
      </w:r>
      <w:r w:rsidR="007B32B0">
        <w:rPr>
          <w:rFonts w:cs="Arial"/>
          <w:sz w:val="24"/>
          <w:szCs w:val="24"/>
        </w:rPr>
        <w:fldChar w:fldCharType="begin"/>
      </w:r>
      <w:r w:rsidR="008F4400">
        <w:rPr>
          <w:rFonts w:cs="Arial"/>
          <w:sz w:val="24"/>
          <w:szCs w:val="24"/>
        </w:rPr>
        <w:instrText xml:space="preserve"> ADDIN EN.CITE &lt;EndNote&gt;&lt;Cite&gt;&lt;Author&gt;Edgar&lt;/Author&gt;&lt;Year&gt;2004&lt;/Year&gt;&lt;RecNum&gt;0&lt;/RecNum&gt;&lt;IDText&gt;MUSCLE: a multiple sequence alignment method with reduced time and space complexity&lt;/IDText&gt;&lt;DisplayText&gt;[2]&lt;/DisplayText&gt;&lt;record&gt;&lt;keywords&gt;&lt;keyword&gt;Cluster Analysis&lt;/keyword&gt;&lt;keyword&gt;Computational Biology/methods/statistics &amp;amp; numerical data/trends&lt;/keyword&gt;&lt;keyword&gt;Phylogeny&lt;/keyword&gt;&lt;keyword&gt;Sequence Alignment/methods/statistics &amp;amp; numerical data/trends&lt;/keyword&gt;&lt;keyword&gt;Software&lt;/keyword&gt;&lt;keyword&gt;Software Design&lt;/keyword&gt;&lt;keyword&gt;Time Factors&lt;/keyword&gt;&lt;/keywords&gt;&lt;isbn&gt;1471-2105; 1471-2105&lt;/isbn&gt;&lt;titles&gt;&lt;title&gt;MUSCLE: a multiple sequence alignment method with reduced time and space complexity&lt;/title&gt;&lt;secondary-title&gt;BMC bioinformatics&lt;/secondary-title&gt;&lt;/titles&gt;&lt;pages&gt;113-2105-5-113&lt;/pages&gt;&lt;access-date&gt;Aug 19&lt;/access-date&gt;&lt;contributors&gt;&lt;authors&gt;&lt;author&gt;Edgar, R. C.&lt;/author&gt;&lt;/authors&gt;&lt;/contributors&gt;&lt;added-date format="utc"&gt;1546539789&lt;/added-date&gt;&lt;pub-location&gt;England&lt;/pub-location&gt;&lt;ref-type name="Journal Article"&gt;17&lt;/ref-type&gt;&lt;auth-address&gt;Department of Plant and Microbial Biology, 461 Koshland Hall, University of California, Berkeley, CA 94720-3102, USA. bob@drive5.com&lt;/auth-address&gt;&lt;dates&gt;&lt;year&gt;2004&lt;/year&gt;&lt;/dates&gt;&lt;rec-number&gt;586&lt;/rec-number&gt;&lt;last-updated-date format="utc"&gt;1546539789&lt;/last-updated-date&gt;&lt;electronic-resource-num&gt;10.1186/1471-2105-5-113 [doi]&lt;/electronic-resource-num&gt;&lt;volume&gt;5&lt;/volume&gt;&lt;/record&gt;&lt;/Cite&gt;&lt;/EndNote&gt;</w:instrText>
      </w:r>
      <w:r w:rsidR="007B32B0">
        <w:rPr>
          <w:rFonts w:cs="Arial"/>
          <w:sz w:val="24"/>
          <w:szCs w:val="24"/>
        </w:rPr>
        <w:fldChar w:fldCharType="separate"/>
      </w:r>
      <w:r w:rsidR="00BB3F3D">
        <w:rPr>
          <w:rFonts w:cs="Arial"/>
          <w:noProof/>
          <w:sz w:val="24"/>
          <w:szCs w:val="24"/>
        </w:rPr>
        <w:t>[2]</w:t>
      </w:r>
      <w:r w:rsidR="007B32B0">
        <w:rPr>
          <w:rFonts w:cs="Arial"/>
          <w:sz w:val="24"/>
          <w:szCs w:val="24"/>
        </w:rPr>
        <w:fldChar w:fldCharType="end"/>
      </w:r>
      <w:r>
        <w:rPr>
          <w:rFonts w:cs="Arial"/>
          <w:sz w:val="24"/>
          <w:szCs w:val="24"/>
        </w:rPr>
        <w:t xml:space="preserve">. Secondary structure and DNA-binding recognition helix </w:t>
      </w:r>
      <w:r w:rsidR="003A1389">
        <w:rPr>
          <w:rFonts w:cs="Arial"/>
          <w:sz w:val="24"/>
          <w:szCs w:val="24"/>
        </w:rPr>
        <w:t xml:space="preserve">designations </w:t>
      </w:r>
      <w:r w:rsidR="00DB0844">
        <w:rPr>
          <w:rFonts w:cs="Arial"/>
          <w:sz w:val="24"/>
          <w:szCs w:val="24"/>
        </w:rPr>
        <w:t xml:space="preserve">were </w:t>
      </w:r>
      <w:r>
        <w:rPr>
          <w:rFonts w:cs="Arial"/>
          <w:sz w:val="24"/>
          <w:szCs w:val="24"/>
        </w:rPr>
        <w:t>adapted from</w:t>
      </w:r>
      <w:r w:rsidR="00DB0844">
        <w:rPr>
          <w:rFonts w:cs="Arial"/>
          <w:sz w:val="24"/>
          <w:szCs w:val="24"/>
        </w:rPr>
        <w:t xml:space="preserve"> Nowak et al.</w:t>
      </w:r>
      <w:r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fldChar w:fldCharType="begin"/>
      </w:r>
      <w:r w:rsidR="008F4400">
        <w:rPr>
          <w:rFonts w:cs="Arial"/>
          <w:sz w:val="24"/>
          <w:szCs w:val="24"/>
        </w:rPr>
        <w:instrText xml:space="preserve"> ADDIN EN.CITE &lt;EndNote&gt;&lt;Cite&gt;&lt;Author&gt;Nowak&lt;/Author&gt;&lt;Year&gt;2006&lt;/Year&gt;&lt;RecNum&gt;0&lt;/RecNum&gt;&lt;IDText&gt;The structural basis of signal transduction for the response regulator PrrA from Mycobacterium tuberculosis&lt;/IDText&gt;&lt;DisplayText&gt;[3]&lt;/DisplayText&gt;&lt;record&gt;&lt;keywords&gt;&lt;keyword&gt;Adaptation, Physiological&lt;/keyword&gt;&lt;keyword&gt;Amino Acid Sequence&lt;/keyword&gt;&lt;keyword&gt;Bacterial Proteins/chemistry/physiology&lt;/keyword&gt;&lt;keyword&gt;DNA/metabolism&lt;/keyword&gt;&lt;keyword&gt;Hydrogen Bonding&lt;/keyword&gt;&lt;keyword&gt;Molecular Sequence Data&lt;/keyword&gt;&lt;keyword&gt;Mycobacterium tuberculosis/genetics/physiology&lt;/keyword&gt;&lt;keyword&gt;Protein Kinases/metabolism&lt;/keyword&gt;&lt;keyword&gt;Protein Structure, Tertiary&lt;/keyword&gt;&lt;keyword&gt;Signal Transduction&lt;/keyword&gt;&lt;keyword&gt;Solubility&lt;/keyword&gt;&lt;keyword&gt;Trans-Activators/chemistry/physiology&lt;/keyword&gt;&lt;keyword&gt;Tyrosine/chemistry&lt;/keyword&gt;&lt;/keywords&gt;&lt;isbn&gt;0021-9258; 0021-9258&lt;/isbn&gt;&lt;titles&gt;&lt;title&gt;The structural basis of signal transduction for the response regulator PrrA from Mycobacterium tuberculosis&lt;/title&gt;&lt;secondary-title&gt;The Journal of biological chemistry&lt;/secondary-title&gt;&lt;/titles&gt;&lt;pages&gt;9659-9666&lt;/pages&gt;&lt;number&gt;14&lt;/number&gt;&lt;access-date&gt;Apr 7&lt;/access-date&gt;&lt;contributors&gt;&lt;authors&gt;&lt;author&gt;Nowak, E.&lt;/author&gt;&lt;author&gt;Panjikar, S.&lt;/author&gt;&lt;author&gt;Konarev, P.&lt;/author&gt;&lt;author&gt;Svergun, D. I.&lt;/author&gt;&lt;author&gt;Tucker, P. A.&lt;/author&gt;&lt;/authors&gt;&lt;/contributors&gt;&lt;added-date format="utc"&gt;1546539669&lt;/added-date&gt;&lt;pub-location&gt;United States&lt;/pub-location&gt;&lt;ref-type name="Journal Article"&gt;17&lt;/ref-type&gt;&lt;auth-address&gt;European Molecular Biology Laboratory (EMBL), Hamburg Outstation, Notkestrasse 85, D-22603 Hamburg, Germany.&lt;/auth-address&gt;&lt;dates&gt;&lt;year&gt;2006&lt;/year&gt;&lt;/dates&gt;&lt;rec-number&gt;235&lt;/rec-number&gt;&lt;last-updated-date format="utc"&gt;1546539669&lt;/last-updated-date&gt;&lt;electronic-resource-num&gt;M512004200 [pii]&lt;/electronic-resource-num&gt;&lt;volume&gt;281&lt;/volume&gt;&lt;/record&gt;&lt;/Cite&gt;&lt;/EndNote&gt;</w:instrText>
      </w:r>
      <w:r>
        <w:rPr>
          <w:rFonts w:cs="Arial"/>
          <w:sz w:val="24"/>
          <w:szCs w:val="24"/>
        </w:rPr>
        <w:fldChar w:fldCharType="separate"/>
      </w:r>
      <w:r w:rsidR="00BB3F3D">
        <w:rPr>
          <w:rFonts w:cs="Arial"/>
          <w:noProof/>
          <w:sz w:val="24"/>
          <w:szCs w:val="24"/>
        </w:rPr>
        <w:t>[3]</w:t>
      </w:r>
      <w:r>
        <w:rPr>
          <w:rFonts w:cs="Arial"/>
          <w:sz w:val="24"/>
          <w:szCs w:val="24"/>
        </w:rPr>
        <w:fldChar w:fldCharType="end"/>
      </w:r>
      <w:r>
        <w:rPr>
          <w:rFonts w:cs="Arial"/>
          <w:sz w:val="24"/>
          <w:szCs w:val="24"/>
        </w:rPr>
        <w:t>.</w:t>
      </w:r>
    </w:p>
    <w:p w14:paraId="316F7D17" w14:textId="3E6007D3" w:rsidR="00DF0EA4" w:rsidRDefault="00DF0EA4" w:rsidP="00E148E9">
      <w:pPr>
        <w:rPr>
          <w:rFonts w:cs="Arial"/>
          <w:sz w:val="24"/>
          <w:szCs w:val="24"/>
        </w:rPr>
      </w:pPr>
    </w:p>
    <w:p w14:paraId="691E6A02" w14:textId="051911BB" w:rsidR="00DB0844" w:rsidRDefault="00DB0844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14:paraId="415FF3C2" w14:textId="6EE1D85B" w:rsidR="00DF0EA4" w:rsidRPr="00F35EB0" w:rsidRDefault="005C4AB0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REFERENCES</w:t>
      </w:r>
    </w:p>
    <w:p w14:paraId="05B43DCC" w14:textId="420E0827" w:rsidR="008F4400" w:rsidRPr="0059659C" w:rsidRDefault="00DF0EA4" w:rsidP="0059659C">
      <w:pPr>
        <w:pStyle w:val="EndNoteBibliography"/>
        <w:spacing w:after="0" w:line="480" w:lineRule="auto"/>
        <w:ind w:left="720" w:hanging="720"/>
        <w:rPr>
          <w:sz w:val="24"/>
          <w:szCs w:val="24"/>
        </w:rPr>
      </w:pPr>
      <w:r>
        <w:rPr>
          <w:i/>
          <w:sz w:val="24"/>
          <w:szCs w:val="24"/>
        </w:rPr>
        <w:fldChar w:fldCharType="begin"/>
      </w:r>
      <w:r>
        <w:rPr>
          <w:i/>
          <w:sz w:val="24"/>
          <w:szCs w:val="24"/>
        </w:rPr>
        <w:instrText xml:space="preserve"> ADDIN EN.REFLIST </w:instrText>
      </w:r>
      <w:r>
        <w:rPr>
          <w:i/>
          <w:sz w:val="24"/>
          <w:szCs w:val="24"/>
        </w:rPr>
        <w:fldChar w:fldCharType="separate"/>
      </w:r>
      <w:r w:rsidR="008F4400" w:rsidRPr="008F4400">
        <w:t>1.</w:t>
      </w:r>
      <w:r w:rsidR="008F4400" w:rsidRPr="008F4400">
        <w:tab/>
      </w:r>
      <w:r w:rsidR="008F4400" w:rsidRPr="0059659C">
        <w:rPr>
          <w:sz w:val="24"/>
          <w:szCs w:val="24"/>
        </w:rPr>
        <w:t>Livak KJ, Schmittgen TD. Analysis of relative gene expression data using real-time quantitative PCR and the</w:t>
      </w:r>
      <w:bookmarkStart w:id="4" w:name="_GoBack"/>
      <w:bookmarkEnd w:id="4"/>
      <w:r w:rsidR="008F4400" w:rsidRPr="0059659C">
        <w:rPr>
          <w:sz w:val="24"/>
          <w:szCs w:val="24"/>
        </w:rPr>
        <w:t xml:space="preserve"> </w:t>
      </w:r>
      <w:r w:rsidR="0059659C" w:rsidRPr="0059659C">
        <w:rPr>
          <w:sz w:val="24"/>
          <w:szCs w:val="24"/>
        </w:rPr>
        <w:t>2</w:t>
      </w:r>
      <w:r w:rsidR="0059659C" w:rsidRPr="0059659C">
        <w:rPr>
          <w:sz w:val="24"/>
          <w:szCs w:val="24"/>
          <w:vertAlign w:val="superscript"/>
        </w:rPr>
        <w:t>-ΔΔCt</w:t>
      </w:r>
      <w:r w:rsidR="008F4400" w:rsidRPr="0059659C">
        <w:rPr>
          <w:sz w:val="24"/>
          <w:szCs w:val="24"/>
        </w:rPr>
        <w:t xml:space="preserve"> Method. Methods. 2001. 25(4):402-408.</w:t>
      </w:r>
    </w:p>
    <w:p w14:paraId="4E60F4DE" w14:textId="0A769F20" w:rsidR="008F4400" w:rsidRPr="0059659C" w:rsidRDefault="008F4400" w:rsidP="0059659C">
      <w:pPr>
        <w:pStyle w:val="EndNoteBibliography"/>
        <w:spacing w:after="0" w:line="480" w:lineRule="auto"/>
        <w:ind w:left="720" w:hanging="720"/>
        <w:rPr>
          <w:sz w:val="24"/>
          <w:szCs w:val="24"/>
        </w:rPr>
      </w:pPr>
      <w:r w:rsidRPr="0059659C">
        <w:rPr>
          <w:sz w:val="24"/>
          <w:szCs w:val="24"/>
        </w:rPr>
        <w:t>2.</w:t>
      </w:r>
      <w:r w:rsidRPr="0059659C">
        <w:rPr>
          <w:sz w:val="24"/>
          <w:szCs w:val="24"/>
        </w:rPr>
        <w:tab/>
        <w:t xml:space="preserve">Edgar RC. MUSCLE: a multiple sequence alignment method with reduced time and space complexity. BMC </w:t>
      </w:r>
      <w:r w:rsidR="0059659C" w:rsidRPr="0059659C">
        <w:rPr>
          <w:sz w:val="24"/>
          <w:szCs w:val="24"/>
        </w:rPr>
        <w:t>B</w:t>
      </w:r>
      <w:r w:rsidRPr="0059659C">
        <w:rPr>
          <w:sz w:val="24"/>
          <w:szCs w:val="24"/>
        </w:rPr>
        <w:t xml:space="preserve">ioinformatics. 2004. </w:t>
      </w:r>
      <w:r w:rsidR="00D55231" w:rsidRPr="000A7261">
        <w:rPr>
          <w:sz w:val="24"/>
          <w:szCs w:val="24"/>
        </w:rPr>
        <w:t>5:113. doi:10.1186/1471-2105-5-113</w:t>
      </w:r>
      <w:r w:rsidR="00D55231">
        <w:rPr>
          <w:sz w:val="24"/>
          <w:szCs w:val="24"/>
        </w:rPr>
        <w:t>.</w:t>
      </w:r>
    </w:p>
    <w:p w14:paraId="350564FA" w14:textId="14F9B1F0" w:rsidR="008F4400" w:rsidRPr="0059659C" w:rsidRDefault="008F4400" w:rsidP="0059659C">
      <w:pPr>
        <w:pStyle w:val="EndNoteBibliography"/>
        <w:spacing w:line="480" w:lineRule="auto"/>
        <w:ind w:left="720" w:hanging="720"/>
        <w:rPr>
          <w:sz w:val="24"/>
          <w:szCs w:val="24"/>
        </w:rPr>
      </w:pPr>
      <w:r w:rsidRPr="0059659C">
        <w:rPr>
          <w:sz w:val="24"/>
          <w:szCs w:val="24"/>
        </w:rPr>
        <w:t>3.</w:t>
      </w:r>
      <w:r w:rsidRPr="0059659C">
        <w:rPr>
          <w:sz w:val="24"/>
          <w:szCs w:val="24"/>
        </w:rPr>
        <w:tab/>
        <w:t xml:space="preserve">Nowak E, Panjikar S, Konarev P, Svergun DI, Tucker PA. The structural basis of signal transduction for the response regulator PrrA from </w:t>
      </w:r>
      <w:r w:rsidRPr="0059659C">
        <w:rPr>
          <w:i/>
          <w:sz w:val="24"/>
          <w:szCs w:val="24"/>
        </w:rPr>
        <w:t>Mycobacterium tuberculosis</w:t>
      </w:r>
      <w:r w:rsidRPr="0059659C">
        <w:rPr>
          <w:sz w:val="24"/>
          <w:szCs w:val="24"/>
        </w:rPr>
        <w:t xml:space="preserve">. </w:t>
      </w:r>
      <w:r w:rsidR="0059659C" w:rsidRPr="0059659C">
        <w:rPr>
          <w:sz w:val="24"/>
          <w:szCs w:val="24"/>
        </w:rPr>
        <w:t>J Biol Chem</w:t>
      </w:r>
      <w:r w:rsidRPr="0059659C">
        <w:rPr>
          <w:sz w:val="24"/>
          <w:szCs w:val="24"/>
        </w:rPr>
        <w:t>. 2006. 281(14):9659-9666.</w:t>
      </w:r>
    </w:p>
    <w:p w14:paraId="351E9603" w14:textId="7BA99D53" w:rsidR="00DF5F7A" w:rsidRPr="000B7656" w:rsidRDefault="00DF0EA4" w:rsidP="00E148E9">
      <w:pPr>
        <w:spacing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fldChar w:fldCharType="end"/>
      </w:r>
    </w:p>
    <w:sectPr w:rsidR="00DF5F7A" w:rsidRPr="000B76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C Genomics Copy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AA1C3C"/>
    <w:rsid w:val="000139B6"/>
    <w:rsid w:val="000168F1"/>
    <w:rsid w:val="00023C62"/>
    <w:rsid w:val="000322FE"/>
    <w:rsid w:val="00055679"/>
    <w:rsid w:val="000741FA"/>
    <w:rsid w:val="00074F4C"/>
    <w:rsid w:val="000853A5"/>
    <w:rsid w:val="00097C44"/>
    <w:rsid w:val="000B69E4"/>
    <w:rsid w:val="000B7656"/>
    <w:rsid w:val="000C0FA7"/>
    <w:rsid w:val="000C7C04"/>
    <w:rsid w:val="000D31F8"/>
    <w:rsid w:val="000D6CFD"/>
    <w:rsid w:val="000E0DB6"/>
    <w:rsid w:val="000E2E48"/>
    <w:rsid w:val="000E3A77"/>
    <w:rsid w:val="000E6C86"/>
    <w:rsid w:val="000F4D43"/>
    <w:rsid w:val="001062ED"/>
    <w:rsid w:val="0011089B"/>
    <w:rsid w:val="00120BFE"/>
    <w:rsid w:val="00136615"/>
    <w:rsid w:val="00142C60"/>
    <w:rsid w:val="0016091F"/>
    <w:rsid w:val="00172A0D"/>
    <w:rsid w:val="00174AD7"/>
    <w:rsid w:val="00184452"/>
    <w:rsid w:val="00184B85"/>
    <w:rsid w:val="00186ADC"/>
    <w:rsid w:val="00191AE6"/>
    <w:rsid w:val="001B667A"/>
    <w:rsid w:val="001C4F35"/>
    <w:rsid w:val="001C5D98"/>
    <w:rsid w:val="0020110B"/>
    <w:rsid w:val="0021722A"/>
    <w:rsid w:val="00220334"/>
    <w:rsid w:val="00220DC2"/>
    <w:rsid w:val="00222208"/>
    <w:rsid w:val="00235D31"/>
    <w:rsid w:val="00242D9A"/>
    <w:rsid w:val="00261CB8"/>
    <w:rsid w:val="00286904"/>
    <w:rsid w:val="002A2001"/>
    <w:rsid w:val="002A7B66"/>
    <w:rsid w:val="002B26FB"/>
    <w:rsid w:val="002C15EB"/>
    <w:rsid w:val="002D6D80"/>
    <w:rsid w:val="002E1DDD"/>
    <w:rsid w:val="002E62D1"/>
    <w:rsid w:val="002F3249"/>
    <w:rsid w:val="00303F45"/>
    <w:rsid w:val="00307122"/>
    <w:rsid w:val="003124D4"/>
    <w:rsid w:val="00313187"/>
    <w:rsid w:val="00320CF7"/>
    <w:rsid w:val="003246F2"/>
    <w:rsid w:val="003253B2"/>
    <w:rsid w:val="003278A0"/>
    <w:rsid w:val="003458B5"/>
    <w:rsid w:val="0036165E"/>
    <w:rsid w:val="0037128A"/>
    <w:rsid w:val="00372632"/>
    <w:rsid w:val="00381D6A"/>
    <w:rsid w:val="00386C72"/>
    <w:rsid w:val="00393CB9"/>
    <w:rsid w:val="0039603B"/>
    <w:rsid w:val="00396B8B"/>
    <w:rsid w:val="003A1389"/>
    <w:rsid w:val="003A1CFC"/>
    <w:rsid w:val="003A4F72"/>
    <w:rsid w:val="003B1C89"/>
    <w:rsid w:val="003B33A7"/>
    <w:rsid w:val="003C2C06"/>
    <w:rsid w:val="003C767B"/>
    <w:rsid w:val="003D1BAD"/>
    <w:rsid w:val="003F0D33"/>
    <w:rsid w:val="003F22C5"/>
    <w:rsid w:val="004049B9"/>
    <w:rsid w:val="00412A72"/>
    <w:rsid w:val="00417A0E"/>
    <w:rsid w:val="00422B6B"/>
    <w:rsid w:val="004259D0"/>
    <w:rsid w:val="00433B92"/>
    <w:rsid w:val="0043606C"/>
    <w:rsid w:val="00444134"/>
    <w:rsid w:val="00445F3A"/>
    <w:rsid w:val="00450CFA"/>
    <w:rsid w:val="00453E0F"/>
    <w:rsid w:val="00456E55"/>
    <w:rsid w:val="004602A0"/>
    <w:rsid w:val="0046142D"/>
    <w:rsid w:val="00461490"/>
    <w:rsid w:val="004645FA"/>
    <w:rsid w:val="00484281"/>
    <w:rsid w:val="00485613"/>
    <w:rsid w:val="00494E76"/>
    <w:rsid w:val="004B4A19"/>
    <w:rsid w:val="004B5435"/>
    <w:rsid w:val="004B5900"/>
    <w:rsid w:val="004C0479"/>
    <w:rsid w:val="004C54B4"/>
    <w:rsid w:val="004F0A60"/>
    <w:rsid w:val="00510BB0"/>
    <w:rsid w:val="0051133C"/>
    <w:rsid w:val="005139B7"/>
    <w:rsid w:val="00516BB3"/>
    <w:rsid w:val="00522C3A"/>
    <w:rsid w:val="00523355"/>
    <w:rsid w:val="005332B2"/>
    <w:rsid w:val="00535201"/>
    <w:rsid w:val="00545198"/>
    <w:rsid w:val="00547824"/>
    <w:rsid w:val="005501F9"/>
    <w:rsid w:val="0057169A"/>
    <w:rsid w:val="005779E4"/>
    <w:rsid w:val="00580167"/>
    <w:rsid w:val="00586170"/>
    <w:rsid w:val="00592E1B"/>
    <w:rsid w:val="0059659C"/>
    <w:rsid w:val="005A1961"/>
    <w:rsid w:val="005B168B"/>
    <w:rsid w:val="005B229E"/>
    <w:rsid w:val="005B4FF7"/>
    <w:rsid w:val="005C4AB0"/>
    <w:rsid w:val="005E1D2E"/>
    <w:rsid w:val="005E2572"/>
    <w:rsid w:val="00600629"/>
    <w:rsid w:val="00601076"/>
    <w:rsid w:val="00602D1E"/>
    <w:rsid w:val="00614FF6"/>
    <w:rsid w:val="00617436"/>
    <w:rsid w:val="00626FEA"/>
    <w:rsid w:val="00632EDD"/>
    <w:rsid w:val="00647A00"/>
    <w:rsid w:val="00652670"/>
    <w:rsid w:val="00652C07"/>
    <w:rsid w:val="00655D1F"/>
    <w:rsid w:val="00671D98"/>
    <w:rsid w:val="00674FEA"/>
    <w:rsid w:val="00675320"/>
    <w:rsid w:val="0068446E"/>
    <w:rsid w:val="00685936"/>
    <w:rsid w:val="006B0653"/>
    <w:rsid w:val="006B45BC"/>
    <w:rsid w:val="006B553B"/>
    <w:rsid w:val="006C7EBA"/>
    <w:rsid w:val="006D5580"/>
    <w:rsid w:val="006D616E"/>
    <w:rsid w:val="006D69D1"/>
    <w:rsid w:val="006D6F44"/>
    <w:rsid w:val="006E28ED"/>
    <w:rsid w:val="006E4F58"/>
    <w:rsid w:val="006F3737"/>
    <w:rsid w:val="006F5757"/>
    <w:rsid w:val="00711CA5"/>
    <w:rsid w:val="00714E6F"/>
    <w:rsid w:val="00717263"/>
    <w:rsid w:val="00720BC2"/>
    <w:rsid w:val="00722A55"/>
    <w:rsid w:val="007503D7"/>
    <w:rsid w:val="0075492C"/>
    <w:rsid w:val="00755062"/>
    <w:rsid w:val="007613D4"/>
    <w:rsid w:val="0076238D"/>
    <w:rsid w:val="00764200"/>
    <w:rsid w:val="00765643"/>
    <w:rsid w:val="00767C38"/>
    <w:rsid w:val="00772EAF"/>
    <w:rsid w:val="00773C5B"/>
    <w:rsid w:val="00777BB7"/>
    <w:rsid w:val="00782879"/>
    <w:rsid w:val="00784AC2"/>
    <w:rsid w:val="00797E56"/>
    <w:rsid w:val="007A316C"/>
    <w:rsid w:val="007A5555"/>
    <w:rsid w:val="007B214F"/>
    <w:rsid w:val="007B32B0"/>
    <w:rsid w:val="007C4877"/>
    <w:rsid w:val="007D40C4"/>
    <w:rsid w:val="007E41BF"/>
    <w:rsid w:val="007F1E31"/>
    <w:rsid w:val="007F3181"/>
    <w:rsid w:val="007F33FF"/>
    <w:rsid w:val="007F4004"/>
    <w:rsid w:val="008077F0"/>
    <w:rsid w:val="00811849"/>
    <w:rsid w:val="008120DF"/>
    <w:rsid w:val="00813C10"/>
    <w:rsid w:val="008168C1"/>
    <w:rsid w:val="00831165"/>
    <w:rsid w:val="00835113"/>
    <w:rsid w:val="00841568"/>
    <w:rsid w:val="008518EE"/>
    <w:rsid w:val="008527BF"/>
    <w:rsid w:val="0087065D"/>
    <w:rsid w:val="00871BED"/>
    <w:rsid w:val="00895874"/>
    <w:rsid w:val="008A695D"/>
    <w:rsid w:val="008B0E08"/>
    <w:rsid w:val="008C6A7E"/>
    <w:rsid w:val="008D65E9"/>
    <w:rsid w:val="008E4DD3"/>
    <w:rsid w:val="008E5988"/>
    <w:rsid w:val="008F4400"/>
    <w:rsid w:val="008F7B12"/>
    <w:rsid w:val="00904525"/>
    <w:rsid w:val="00905FA1"/>
    <w:rsid w:val="00910371"/>
    <w:rsid w:val="00910550"/>
    <w:rsid w:val="00910581"/>
    <w:rsid w:val="0092321F"/>
    <w:rsid w:val="00923C8A"/>
    <w:rsid w:val="00930C88"/>
    <w:rsid w:val="00934683"/>
    <w:rsid w:val="0093546E"/>
    <w:rsid w:val="00940C4B"/>
    <w:rsid w:val="00942AA6"/>
    <w:rsid w:val="0095112B"/>
    <w:rsid w:val="00982985"/>
    <w:rsid w:val="00983A22"/>
    <w:rsid w:val="00983BF0"/>
    <w:rsid w:val="009B2172"/>
    <w:rsid w:val="009C0A8A"/>
    <w:rsid w:val="009E0AE3"/>
    <w:rsid w:val="009E6857"/>
    <w:rsid w:val="009F6C59"/>
    <w:rsid w:val="009F7CCD"/>
    <w:rsid w:val="00A036E2"/>
    <w:rsid w:val="00A0575D"/>
    <w:rsid w:val="00A05927"/>
    <w:rsid w:val="00A0717A"/>
    <w:rsid w:val="00A15FB3"/>
    <w:rsid w:val="00A21190"/>
    <w:rsid w:val="00A23248"/>
    <w:rsid w:val="00A61EE1"/>
    <w:rsid w:val="00A9180D"/>
    <w:rsid w:val="00A95123"/>
    <w:rsid w:val="00AA1C3C"/>
    <w:rsid w:val="00AA4117"/>
    <w:rsid w:val="00AC1FCD"/>
    <w:rsid w:val="00AD41AB"/>
    <w:rsid w:val="00AE19B6"/>
    <w:rsid w:val="00AE78EE"/>
    <w:rsid w:val="00AF1087"/>
    <w:rsid w:val="00B000A2"/>
    <w:rsid w:val="00B20C65"/>
    <w:rsid w:val="00B34B78"/>
    <w:rsid w:val="00B35342"/>
    <w:rsid w:val="00B53C6A"/>
    <w:rsid w:val="00B62C17"/>
    <w:rsid w:val="00B65652"/>
    <w:rsid w:val="00B657B7"/>
    <w:rsid w:val="00B672E4"/>
    <w:rsid w:val="00B74FBA"/>
    <w:rsid w:val="00B90B97"/>
    <w:rsid w:val="00B9460E"/>
    <w:rsid w:val="00BB3F3D"/>
    <w:rsid w:val="00BB4E34"/>
    <w:rsid w:val="00BC61AA"/>
    <w:rsid w:val="00BD0473"/>
    <w:rsid w:val="00BD0E70"/>
    <w:rsid w:val="00BD166A"/>
    <w:rsid w:val="00BD1897"/>
    <w:rsid w:val="00BD607B"/>
    <w:rsid w:val="00BE170A"/>
    <w:rsid w:val="00BF3A9F"/>
    <w:rsid w:val="00C04585"/>
    <w:rsid w:val="00C2277B"/>
    <w:rsid w:val="00C309A8"/>
    <w:rsid w:val="00C32A1B"/>
    <w:rsid w:val="00C33390"/>
    <w:rsid w:val="00C35830"/>
    <w:rsid w:val="00C35C11"/>
    <w:rsid w:val="00C36F2D"/>
    <w:rsid w:val="00C64B4E"/>
    <w:rsid w:val="00C65A8E"/>
    <w:rsid w:val="00C83681"/>
    <w:rsid w:val="00C8531A"/>
    <w:rsid w:val="00C85E86"/>
    <w:rsid w:val="00CA19E5"/>
    <w:rsid w:val="00CD1780"/>
    <w:rsid w:val="00CD22B4"/>
    <w:rsid w:val="00CD4C85"/>
    <w:rsid w:val="00CE1410"/>
    <w:rsid w:val="00CE2BB7"/>
    <w:rsid w:val="00CE4E70"/>
    <w:rsid w:val="00CE7D26"/>
    <w:rsid w:val="00CF11F2"/>
    <w:rsid w:val="00CF6920"/>
    <w:rsid w:val="00CF7371"/>
    <w:rsid w:val="00D00635"/>
    <w:rsid w:val="00D12845"/>
    <w:rsid w:val="00D12F32"/>
    <w:rsid w:val="00D13D31"/>
    <w:rsid w:val="00D16D69"/>
    <w:rsid w:val="00D172B6"/>
    <w:rsid w:val="00D222FB"/>
    <w:rsid w:val="00D2329F"/>
    <w:rsid w:val="00D31971"/>
    <w:rsid w:val="00D35C69"/>
    <w:rsid w:val="00D40135"/>
    <w:rsid w:val="00D55231"/>
    <w:rsid w:val="00D62B35"/>
    <w:rsid w:val="00D62DA9"/>
    <w:rsid w:val="00D62E35"/>
    <w:rsid w:val="00D71EB4"/>
    <w:rsid w:val="00D75526"/>
    <w:rsid w:val="00D86456"/>
    <w:rsid w:val="00DA4797"/>
    <w:rsid w:val="00DA71C8"/>
    <w:rsid w:val="00DA79A4"/>
    <w:rsid w:val="00DB0844"/>
    <w:rsid w:val="00DB4E37"/>
    <w:rsid w:val="00DB7796"/>
    <w:rsid w:val="00DC7EFB"/>
    <w:rsid w:val="00DE0B92"/>
    <w:rsid w:val="00DE553F"/>
    <w:rsid w:val="00DE6EAE"/>
    <w:rsid w:val="00DF0EA4"/>
    <w:rsid w:val="00DF5F7A"/>
    <w:rsid w:val="00E148E9"/>
    <w:rsid w:val="00E1540B"/>
    <w:rsid w:val="00E21598"/>
    <w:rsid w:val="00E216A8"/>
    <w:rsid w:val="00E30C88"/>
    <w:rsid w:val="00E346B3"/>
    <w:rsid w:val="00E4180B"/>
    <w:rsid w:val="00E517FD"/>
    <w:rsid w:val="00E52A33"/>
    <w:rsid w:val="00E61737"/>
    <w:rsid w:val="00E74712"/>
    <w:rsid w:val="00E832BA"/>
    <w:rsid w:val="00E842D1"/>
    <w:rsid w:val="00E863F8"/>
    <w:rsid w:val="00E86E52"/>
    <w:rsid w:val="00E92CE7"/>
    <w:rsid w:val="00E96C78"/>
    <w:rsid w:val="00E97FEE"/>
    <w:rsid w:val="00EA4E0C"/>
    <w:rsid w:val="00EB1F07"/>
    <w:rsid w:val="00EB634C"/>
    <w:rsid w:val="00EC722B"/>
    <w:rsid w:val="00ED21B8"/>
    <w:rsid w:val="00EE4813"/>
    <w:rsid w:val="00EE5E6A"/>
    <w:rsid w:val="00EF4042"/>
    <w:rsid w:val="00F00583"/>
    <w:rsid w:val="00F025CE"/>
    <w:rsid w:val="00F0283B"/>
    <w:rsid w:val="00F22B3F"/>
    <w:rsid w:val="00F257C7"/>
    <w:rsid w:val="00F35EB0"/>
    <w:rsid w:val="00F36A56"/>
    <w:rsid w:val="00F44013"/>
    <w:rsid w:val="00F44471"/>
    <w:rsid w:val="00F52ADD"/>
    <w:rsid w:val="00F57A81"/>
    <w:rsid w:val="00F71517"/>
    <w:rsid w:val="00F839E2"/>
    <w:rsid w:val="00F83CE6"/>
    <w:rsid w:val="00F85731"/>
    <w:rsid w:val="00F92BEE"/>
    <w:rsid w:val="00F93728"/>
    <w:rsid w:val="00F97914"/>
    <w:rsid w:val="00FA52EA"/>
    <w:rsid w:val="00FB648D"/>
    <w:rsid w:val="00FC2E28"/>
    <w:rsid w:val="00FD40B6"/>
    <w:rsid w:val="00FE2D0B"/>
    <w:rsid w:val="00FE3580"/>
    <w:rsid w:val="00FE711F"/>
    <w:rsid w:val="00FE7FBA"/>
    <w:rsid w:val="00FF63DB"/>
    <w:rsid w:val="00FF6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44934"/>
  <w15:chartTrackingRefBased/>
  <w15:docId w15:val="{8F7B94BE-D80E-4F88-A9D7-26FDD7EDA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322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22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22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22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22F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2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2FE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DF0EA4"/>
    <w:pPr>
      <w:spacing w:after="0"/>
      <w:jc w:val="center"/>
    </w:pPr>
    <w:rPr>
      <w:rFonts w:cs="Arial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F0EA4"/>
    <w:rPr>
      <w:rFonts w:cs="Arial"/>
      <w:noProof/>
    </w:rPr>
  </w:style>
  <w:style w:type="paragraph" w:customStyle="1" w:styleId="EndNoteBibliography">
    <w:name w:val="EndNote Bibliography"/>
    <w:basedOn w:val="Normal"/>
    <w:link w:val="EndNoteBibliographyChar"/>
    <w:rsid w:val="00DF0EA4"/>
    <w:pPr>
      <w:spacing w:line="240" w:lineRule="auto"/>
    </w:pPr>
    <w:rPr>
      <w:rFonts w:cs="Arial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DF0EA4"/>
    <w:rPr>
      <w:rFonts w:cs="Arial"/>
      <w:noProof/>
    </w:rPr>
  </w:style>
  <w:style w:type="table" w:styleId="TableGrid">
    <w:name w:val="Table Grid"/>
    <w:basedOn w:val="TableNormal"/>
    <w:uiPriority w:val="39"/>
    <w:rsid w:val="002E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1509</Words>
  <Characters>8602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Maarsingh</dc:creator>
  <cp:keywords/>
  <dc:description/>
  <cp:lastModifiedBy>Shelley Haydel</cp:lastModifiedBy>
  <cp:revision>2</cp:revision>
  <cp:lastPrinted>2019-03-18T19:24:00Z</cp:lastPrinted>
  <dcterms:created xsi:type="dcterms:W3CDTF">2019-04-06T00:09:00Z</dcterms:created>
  <dcterms:modified xsi:type="dcterms:W3CDTF">2019-04-06T00:09:00Z</dcterms:modified>
</cp:coreProperties>
</file>