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  <w:b/>
          <w:sz w:val="24"/>
          <w:szCs w:val="24"/>
        </w:rPr>
      </w:pPr>
      <w:bookmarkStart w:id="0" w:name="OLE_LINK9"/>
      <w:r>
        <w:rPr>
          <w:rFonts w:ascii="Times New Roman" w:hAnsi="Times New Roman"/>
          <w:b/>
          <w:sz w:val="24"/>
          <w:szCs w:val="24"/>
        </w:rPr>
        <w:t>Magnetic resonance imaging-based radiomics nomogram for prediction of the histopathological grade of soft tissue sarcomas: a two-center study</w:t>
      </w:r>
      <w:bookmarkEnd w:id="0"/>
    </w:p>
    <w:p>
      <w:pPr>
        <w:rPr>
          <w:rFonts w:ascii="Times New Roman" w:hAnsi="Times New Roman"/>
          <w:b/>
          <w:sz w:val="24"/>
          <w:szCs w:val="24"/>
        </w:rPr>
      </w:pPr>
    </w:p>
    <w:p>
      <w:pPr>
        <w:kinsoku w:val="0"/>
        <w:autoSpaceDN w:val="0"/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Supplementary Files</w:t>
      </w:r>
    </w:p>
    <w:p>
      <w:pPr>
        <w:spacing w:line="36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Materials and </w:t>
      </w:r>
      <w:r>
        <w:rPr>
          <w:rFonts w:hint="eastAsia" w:ascii="Times New Roman" w:hAnsi="Times New Roman"/>
          <w:b/>
          <w:sz w:val="28"/>
          <w:szCs w:val="24"/>
        </w:rPr>
        <w:t>m</w:t>
      </w:r>
      <w:r>
        <w:rPr>
          <w:rFonts w:ascii="Times New Roman" w:hAnsi="Times New Roman"/>
          <w:b/>
          <w:sz w:val="28"/>
          <w:szCs w:val="24"/>
        </w:rPr>
        <w:t>ethods</w:t>
      </w:r>
    </w:p>
    <w:p>
      <w:pPr>
        <w:kinsoku w:val="0"/>
        <w:autoSpaceDN w:val="0"/>
        <w:spacing w:line="360" w:lineRule="auto"/>
        <w:rPr>
          <w:rFonts w:ascii="Times New Roman" w:hAnsi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Data collection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Detailed descriptions of the inclusion and conclusion criteria</w:t>
      </w:r>
    </w:p>
    <w:p>
      <w:pPr>
        <w:spacing w:line="360" w:lineRule="auto"/>
        <w:ind w:firstLine="357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The inclusion criteria were surgically confirmed </w:t>
      </w:r>
      <w:r>
        <w:rPr>
          <w:rFonts w:hint="eastAsia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STS</w:t>
      </w: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with </w:t>
      </w: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complete pathological</w:t>
      </w:r>
      <w:r>
        <w:rPr>
          <w:rFonts w:hint="eastAsia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data, performance of pretreatment MRI ≤14 days previously, and performance of axial T1WI and FS</w:t>
      </w:r>
      <w:r>
        <w:rPr>
          <w:rFonts w:hint="eastAsia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</w:t>
      </w: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T2WI</w:t>
      </w:r>
      <w:r>
        <w:rPr>
          <w:rFonts w:hint="eastAsia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The exclusion criteria were unavailable </w:t>
      </w:r>
      <w:r>
        <w:rPr>
          <w:rFonts w:hint="eastAsia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or </w:t>
      </w: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incomplete relevant clinical or </w:t>
      </w:r>
      <w:r>
        <w:rPr>
          <w:rFonts w:hint="eastAsia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MRI </w:t>
      </w: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data, images with a low signal-to-noise ratio (≤1.0), performance of treatment, development of other unrelated tumors, and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censored</w:t>
      </w:r>
      <w:r>
        <w:rPr>
          <w:rFonts w:hint="eastAsia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during</w:t>
      </w:r>
      <w:r>
        <w:rPr>
          <w:rFonts w:hint="eastAsia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follow</w:t>
      </w: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up.</w:t>
      </w:r>
    </w:p>
    <w:p>
      <w:pPr>
        <w:spacing w:line="360" w:lineRule="auto"/>
        <w:rPr>
          <w:rFonts w:hint="eastAsia" w:ascii="Times New Roman" w:hAnsi="Times New Roman" w:eastAsiaTheme="minorEastAsia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MRI acquisition and region-of-interest segmentation</w:t>
      </w:r>
      <w:r>
        <w:rPr>
          <w:rFonts w:hint="eastAsia" w:ascii="Times New Roman" w:hAnsi="Times New Roman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别忘记删除</w:t>
      </w:r>
      <w:bookmarkStart w:id="3" w:name="_GoBack"/>
      <w:bookmarkEnd w:id="3"/>
      <w:r>
        <w:rPr>
          <w:rFonts w:hint="eastAsia" w:ascii="Times New Roman" w:hAnsi="Times New Roman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MRI</w:t>
      </w:r>
      <w:r>
        <w:rPr>
          <w:rFonts w:ascii="Times New Roman" w:hAnsi="Times New Roman"/>
          <w:sz w:val="24"/>
          <w:szCs w:val="24"/>
        </w:rPr>
        <w:t xml:space="preserve"> scanners, acquisition parameters</w:t>
      </w:r>
    </w:p>
    <w:p>
      <w:pPr>
        <w:spacing w:line="360" w:lineRule="auto"/>
        <w:ind w:firstLine="357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All 180 patients underwent MRI scanning using a GE MRI 1.5T, </w:t>
      </w:r>
      <w:bookmarkStart w:id="1" w:name="OLE_LINK12"/>
      <w:bookmarkStart w:id="2" w:name="OLE_LINK11"/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GE Signa HDx 3.0T (GE Medical Systems, Milwaukee, WI, USA)</w:t>
      </w:r>
      <w:bookmarkEnd w:id="1"/>
      <w:bookmarkEnd w:id="2"/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 Siemens Skyra 3.0T, Siemens Magnetom Prisma 3.0T (Siemens Healthcare GmbH, Erlangen, Germany), or Philips Achieva 1.5T (Philips Medical Systems, Best, the Netherlands). The following scanning parameters were used: T1WI (repetition time [TR] / echo time [TE], 420–680 ms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/ 6.1–20 ms); FS-T2WI (TR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/ TE, 2640–5000 ms/ 30–102 ms,); section spacing, 1 mm; section thickness, 3–4 mm, matrix, 320 × 320; field of view, 200–400 mm. </w:t>
      </w:r>
    </w:p>
    <w:p>
      <w:pPr>
        <w:kinsoku w:val="0"/>
        <w:autoSpaceDN w:val="0"/>
        <w:spacing w:line="360" w:lineRule="auto"/>
        <w:rPr>
          <w:rFonts w:ascii="Times New Roman" w:hAnsi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Patients’ clinical data and MRI features</w:t>
      </w:r>
    </w:p>
    <w:p>
      <w:pPr>
        <w:kinsoku w:val="0"/>
        <w:autoSpaceDN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recorded </w:t>
      </w:r>
      <w:r>
        <w:rPr>
          <w:rFonts w:hint="eastAsia" w:ascii="Times New Roman" w:hAnsi="Times New Roman"/>
          <w:sz w:val="24"/>
          <w:szCs w:val="24"/>
        </w:rPr>
        <w:t>data</w:t>
      </w:r>
    </w:p>
    <w:p>
      <w:pPr>
        <w:kinsoku w:val="0"/>
        <w:autoSpaceDN w:val="0"/>
        <w:spacing w:line="360" w:lineRule="auto"/>
        <w:ind w:firstLine="35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The readers recorded the following data: T1WI high-signal matrix (yes or no), T2WI low signal (yes or no), heterogeneity (&gt;30% of the entire tumor volume was defined as heterogeneous), myxoid matrix (yes or no), fibrous tissue signal (yes or no), margin (well- or ill-defined), septations (yes or no), fat tissue signal (yes or no), vessels (yes or no), hemorrhage (yes or no), maximal depth of &gt;8 cm (yes or no), peritumoral edema (yes or no, bone involvement (yes or no), capsule (yes or no), and neurovascular bundle involvement (yes or no).</w:t>
      </w:r>
    </w:p>
    <w:p>
      <w:pPr>
        <w:spacing w:line="360" w:lineRule="auto"/>
        <w:rPr>
          <w:rFonts w:ascii="Times New Roman" w:hAnsi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Statistical analysis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package</w:t>
      </w:r>
      <w:r>
        <w:rPr>
          <w:rFonts w:hint="eastAsia" w:ascii="Times New Roman" w:hAnsi="Times New Roman"/>
          <w:sz w:val="24"/>
          <w:szCs w:val="24"/>
        </w:rPr>
        <w:t xml:space="preserve">s we used in R </w:t>
      </w:r>
      <w:r>
        <w:rPr>
          <w:rFonts w:ascii="Times New Roman" w:hAnsi="Times New Roman"/>
          <w:sz w:val="24"/>
          <w:szCs w:val="24"/>
        </w:rPr>
        <w:t>software</w:t>
      </w:r>
    </w:p>
    <w:p>
      <w:pPr>
        <w:spacing w:line="360" w:lineRule="auto"/>
        <w:ind w:firstLine="360"/>
        <w:rPr>
          <w:rFonts w:hint="eastAsia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he “glmnet”</w:t>
      </w:r>
      <w:r>
        <w:rPr>
          <w:rFonts w:hint="eastAsia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package was applied to analyze the LASSO logistic regression</w:t>
      </w:r>
      <w:r>
        <w:rPr>
          <w:rFonts w:hint="eastAsia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and each patient’s</w:t>
      </w:r>
      <w:r>
        <w:rPr>
          <w:rFonts w:hint="eastAsia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rad-score was calculated accordingly. The ROC curves were plotted using the “pROC” package, and the DeLong test</w:t>
      </w:r>
      <w:r>
        <w:rPr>
          <w:rFonts w:hint="eastAsia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was used to assess the d</w:t>
      </w: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ifferences in</w:t>
      </w:r>
      <w:r>
        <w:rPr>
          <w:rFonts w:hint="eastAsia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ROC</w:t>
      </w: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curves. The “Resource Selection” package was applied for </w:t>
      </w:r>
      <w:r>
        <w:rPr>
          <w:rFonts w:hint="eastAsia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the </w:t>
      </w: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Hosmer–Lemeshow test. The “rms” package was applied to analyze nomograms and calibration curves</w:t>
      </w:r>
      <w:r>
        <w:rPr>
          <w:rFonts w:hint="eastAsia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nd</w:t>
      </w:r>
      <w:r>
        <w:rPr>
          <w:rFonts w:hint="eastAsia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the “</w:t>
      </w:r>
      <w:r>
        <w:rPr>
          <w:rFonts w:hint="eastAsia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rmda</w:t>
      </w: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” package was applied to implement</w:t>
      </w:r>
      <w:r>
        <w:rPr>
          <w:rFonts w:hint="eastAsia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the DCA. The “survival” package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was applied for survival analyses</w:t>
      </w:r>
      <w:r>
        <w:rPr>
          <w:rFonts w:hint="eastAsia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and the class output offered by the “caret” package was applied for dichotomization. Univariate logistic regression was applied to evaluate the correlation of tumor grading using the “survival” package.</w:t>
      </w:r>
    </w:p>
    <w:p>
      <w:pPr>
        <w:kinsoku w:val="0"/>
        <w:autoSpaceDN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Results</w:t>
      </w:r>
    </w:p>
    <w:p>
      <w:pPr>
        <w:spacing w:line="360" w:lineRule="auto"/>
        <w:rPr>
          <w:rFonts w:hint="eastAsia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The stratified analysis </w:t>
      </w:r>
    </w:p>
    <w:p>
      <w:pPr>
        <w:spacing w:line="360" w:lineRule="auto"/>
        <w:ind w:firstLine="360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Tumor grading significantly stratified patients for PFS (log rank P = 0.008 and 0.004 in the training set and external validation set, respectively; Fig. 4c, d). We dichotomized the patient cohort into low-risk and high-risk groups using the classification of the established radiomics grading models. The clinical model showed a survival difference in the external validation set (log rank P = 0.037; Fig. 4b), but not in the training set (log rank P = 0.290; Fig. 4a). There were no significant differences in the survival curves between the training and external validation sets in the following models [RS-T1 model, log rank P = 0.100 and 0.100 (Fig. 4e, f); RS-FST2 model, log rank P = 0.510 and 0.500 (Fig. 4g, h); RS-Combined model, log rank P = 0.950 and 0.095 (Fig. 4i, j)].</w:t>
      </w:r>
    </w:p>
    <w:p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8BE"/>
    <w:rsid w:val="0006516D"/>
    <w:rsid w:val="001B1F64"/>
    <w:rsid w:val="002127B5"/>
    <w:rsid w:val="00377894"/>
    <w:rsid w:val="003808BE"/>
    <w:rsid w:val="007009ED"/>
    <w:rsid w:val="007D6F1B"/>
    <w:rsid w:val="00843E9C"/>
    <w:rsid w:val="00C44807"/>
    <w:rsid w:val="00DA33AA"/>
    <w:rsid w:val="00DA6FF3"/>
    <w:rsid w:val="00F05D87"/>
    <w:rsid w:val="00FC5C62"/>
    <w:rsid w:val="04D25265"/>
    <w:rsid w:val="7A32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524</Words>
  <Characters>2992</Characters>
  <Lines>24</Lines>
  <Paragraphs>7</Paragraphs>
  <TotalTime>10</TotalTime>
  <ScaleCrop>false</ScaleCrop>
  <LinksUpToDate>false</LinksUpToDate>
  <CharactersWithSpaces>3509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2020-05-27T12:50:00Z</dcterms:created>
  <dc:creator>颜瑞馨</dc:creator>
  <cp:lastModifiedBy>早安_昨日</cp:lastModifiedBy>
  <dcterms:modified xsi:type="dcterms:W3CDTF">2020-09-14T08:47:29Z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