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A481" w14:textId="51B03D18" w:rsidR="0013091D" w:rsidRPr="00243E90" w:rsidRDefault="007B6E83" w:rsidP="00447E0A">
      <w:pPr>
        <w:snapToGrid w:val="0"/>
        <w:spacing w:line="480" w:lineRule="auto"/>
        <w:jc w:val="left"/>
        <w:rPr>
          <w:rFonts w:ascii="Times New Roman" w:eastAsia="ＭＳ 明朝" w:hAnsi="Times New Roman" w:cs="Angsana New"/>
          <w:b/>
          <w:color w:val="000000"/>
          <w:sz w:val="32"/>
          <w:szCs w:val="32"/>
        </w:rPr>
      </w:pPr>
      <w:r w:rsidRPr="007B6E83">
        <w:rPr>
          <w:rFonts w:ascii="Times New Roman" w:eastAsia="ＭＳ 明朝" w:hAnsi="Times New Roman" w:cs="Angsana New"/>
          <w:b/>
          <w:color w:val="000000"/>
          <w:sz w:val="32"/>
          <w:szCs w:val="32"/>
        </w:rPr>
        <w:t>Supplementary material</w:t>
      </w:r>
      <w:r w:rsidR="0053456B">
        <w:rPr>
          <w:rFonts w:ascii="Times New Roman" w:eastAsia="ＭＳ 明朝" w:hAnsi="Times New Roman" w:cs="Angsana New"/>
          <w:noProof/>
          <w:color w:val="000000"/>
          <w:sz w:val="24"/>
          <w:szCs w:val="24"/>
        </w:rPr>
        <w:pict w14:anchorId="47B11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02.8pt">
            <v:imagedata r:id="rId6" o:title="Figure S1"/>
          </v:shape>
        </w:pict>
      </w:r>
    </w:p>
    <w:p w14:paraId="3C70F396" w14:textId="29625BA7" w:rsidR="00447E0A" w:rsidRDefault="0013091D" w:rsidP="00E64215">
      <w:pPr>
        <w:snapToGrid w:val="0"/>
        <w:spacing w:line="480" w:lineRule="auto"/>
        <w:jc w:val="left"/>
        <w:rPr>
          <w:rFonts w:ascii="Times New Roman" w:eastAsia="ＭＳ 明朝" w:hAnsi="Times New Roman" w:cs="Angsana New"/>
          <w:color w:val="000000"/>
          <w:sz w:val="24"/>
          <w:szCs w:val="24"/>
        </w:rPr>
      </w:pPr>
      <w:r w:rsidRPr="0013091D">
        <w:rPr>
          <w:rFonts w:ascii="Times New Roman" w:eastAsia="ＭＳ 明朝" w:hAnsi="Times New Roman" w:cs="Angsana New"/>
          <w:b/>
          <w:color w:val="000000"/>
          <w:sz w:val="24"/>
          <w:szCs w:val="24"/>
        </w:rPr>
        <w:t>Fig</w:t>
      </w:r>
      <w:r w:rsidR="00243E90">
        <w:rPr>
          <w:rFonts w:ascii="Times New Roman" w:eastAsia="ＭＳ 明朝" w:hAnsi="Times New Roman" w:cs="Angsana New" w:hint="eastAsia"/>
          <w:b/>
          <w:color w:val="000000"/>
          <w:sz w:val="24"/>
          <w:szCs w:val="24"/>
        </w:rPr>
        <w:t>ur</w:t>
      </w:r>
      <w:r w:rsidR="00243E90">
        <w:rPr>
          <w:rFonts w:ascii="Times New Roman" w:eastAsia="ＭＳ 明朝" w:hAnsi="Times New Roman" w:cs="Angsana New"/>
          <w:b/>
          <w:color w:val="000000"/>
          <w:sz w:val="24"/>
          <w:szCs w:val="24"/>
        </w:rPr>
        <w:t>e</w:t>
      </w:r>
      <w:r w:rsidRPr="0013091D">
        <w:rPr>
          <w:rFonts w:ascii="Times New Roman" w:eastAsia="ＭＳ 明朝" w:hAnsi="Times New Roman" w:cs="Angsana New"/>
          <w:b/>
          <w:color w:val="000000"/>
          <w:sz w:val="24"/>
          <w:szCs w:val="24"/>
        </w:rPr>
        <w:t xml:space="preserve">. S1 </w:t>
      </w:r>
      <w:r w:rsidRPr="0013091D">
        <w:rPr>
          <w:rFonts w:ascii="Times New Roman" w:eastAsia="ＭＳ 明朝" w:hAnsi="Times New Roman" w:cs="Angsana New"/>
          <w:color w:val="000000"/>
          <w:sz w:val="24"/>
          <w:szCs w:val="24"/>
        </w:rPr>
        <w:t>Associatio</w:t>
      </w:r>
      <w:bookmarkStart w:id="0" w:name="_GoBack"/>
      <w:bookmarkEnd w:id="0"/>
      <w:r w:rsidRPr="0013091D">
        <w:rPr>
          <w:rFonts w:ascii="Times New Roman" w:eastAsia="ＭＳ 明朝" w:hAnsi="Times New Roman" w:cs="Angsana New"/>
          <w:color w:val="000000"/>
          <w:sz w:val="24"/>
          <w:szCs w:val="24"/>
        </w:rPr>
        <w:t>n between the increase in mortality and failure or delay in achieving three relatively low-compliance bundle components: blood culture, antibiotics, and vasopressors. Univariate and multivariate-adjusted ORs with 95% CIs for mortality risk are represented as forest plots. Covariate adjustment or propensity score adjustment was used in the regression analyses as appropriate. OR odds ratio, CI confidence interval, PS propensity score</w:t>
      </w:r>
      <w:r>
        <w:rPr>
          <w:rFonts w:ascii="Times New Roman" w:eastAsia="ＭＳ 明朝" w:hAnsi="Times New Roman" w:cs="Angsana New" w:hint="eastAsia"/>
          <w:color w:val="000000"/>
          <w:sz w:val="24"/>
          <w:szCs w:val="24"/>
        </w:rPr>
        <w:t>.</w:t>
      </w:r>
    </w:p>
    <w:p w14:paraId="20D9C419" w14:textId="5D44B9AA" w:rsidR="00C41162" w:rsidRDefault="00C41162" w:rsidP="00E64215">
      <w:pPr>
        <w:snapToGrid w:val="0"/>
        <w:spacing w:line="480" w:lineRule="auto"/>
        <w:jc w:val="left"/>
        <w:rPr>
          <w:rFonts w:ascii="Times New Roman" w:eastAsia="ＭＳ 明朝" w:hAnsi="Times New Roman" w:cs="Angsana New"/>
          <w:color w:val="000000"/>
          <w:sz w:val="24"/>
          <w:szCs w:val="24"/>
        </w:rPr>
      </w:pPr>
    </w:p>
    <w:p w14:paraId="1616D6A5" w14:textId="633895F6" w:rsidR="00C41162" w:rsidRDefault="00C41162">
      <w:r>
        <w:br w:type="page"/>
      </w:r>
    </w:p>
    <w:p w14:paraId="5F098930" w14:textId="77777777" w:rsidR="00C41162" w:rsidRDefault="00C41162">
      <w:pPr>
        <w:sectPr w:rsidR="00C41162">
          <w:pgSz w:w="11906" w:h="16838"/>
          <w:pgMar w:top="1985" w:right="1701" w:bottom="1701" w:left="1701" w:header="851" w:footer="992" w:gutter="0"/>
          <w:cols w:space="425"/>
          <w:docGrid w:type="lines" w:linePitch="360"/>
        </w:sectPr>
      </w:pPr>
    </w:p>
    <w:tbl>
      <w:tblPr>
        <w:tblW w:w="13007" w:type="dxa"/>
        <w:tblCellMar>
          <w:left w:w="0" w:type="dxa"/>
          <w:right w:w="0" w:type="dxa"/>
        </w:tblCellMar>
        <w:tblLook w:val="0600" w:firstRow="0" w:lastRow="0" w:firstColumn="0" w:lastColumn="0" w:noHBand="1" w:noVBand="1"/>
      </w:tblPr>
      <w:tblGrid>
        <w:gridCol w:w="3682"/>
        <w:gridCol w:w="1381"/>
        <w:gridCol w:w="1240"/>
        <w:gridCol w:w="1240"/>
        <w:gridCol w:w="1240"/>
        <w:gridCol w:w="1056"/>
        <w:gridCol w:w="1056"/>
        <w:gridCol w:w="1056"/>
        <w:gridCol w:w="1056"/>
      </w:tblGrid>
      <w:tr w:rsidR="00C41162" w:rsidRPr="0047471D" w14:paraId="0A564770" w14:textId="77777777" w:rsidTr="00034CE7">
        <w:trPr>
          <w:trHeight w:val="522"/>
        </w:trPr>
        <w:tc>
          <w:tcPr>
            <w:tcW w:w="13007" w:type="dxa"/>
            <w:gridSpan w:val="9"/>
            <w:tcBorders>
              <w:left w:val="nil"/>
              <w:bottom w:val="single" w:sz="4" w:space="0" w:color="auto"/>
              <w:right w:val="nil"/>
            </w:tcBorders>
            <w:shd w:val="clear" w:color="auto" w:fill="auto"/>
            <w:tcMar>
              <w:top w:w="12" w:type="dxa"/>
              <w:left w:w="12" w:type="dxa"/>
              <w:bottom w:w="0" w:type="dxa"/>
              <w:right w:w="12" w:type="dxa"/>
            </w:tcMar>
            <w:vAlign w:val="center"/>
          </w:tcPr>
          <w:p w14:paraId="3FD5DB99" w14:textId="29C65B7D" w:rsidR="00C41162" w:rsidRPr="00502E77" w:rsidRDefault="00C41162" w:rsidP="00034CE7">
            <w:pPr>
              <w:textAlignment w:val="center"/>
              <w:rPr>
                <w:rFonts w:ascii="Times New Roman" w:hAnsi="Times New Roman" w:cs="Times New Roman"/>
                <w:b/>
                <w:color w:val="000000"/>
                <w:kern w:val="24"/>
                <w:szCs w:val="21"/>
              </w:rPr>
            </w:pPr>
            <w:r>
              <w:rPr>
                <w:rFonts w:ascii="Times New Roman" w:hAnsi="Times New Roman" w:cs="Times New Roman"/>
                <w:b/>
                <w:color w:val="000000"/>
                <w:kern w:val="24"/>
                <w:szCs w:val="21"/>
              </w:rPr>
              <w:lastRenderedPageBreak/>
              <w:t xml:space="preserve">Table </w:t>
            </w:r>
            <w:r>
              <w:rPr>
                <w:rFonts w:ascii="Times New Roman" w:hAnsi="Times New Roman" w:cs="Times New Roman" w:hint="eastAsia"/>
                <w:b/>
                <w:color w:val="000000"/>
                <w:kern w:val="24"/>
                <w:szCs w:val="21"/>
              </w:rPr>
              <w:t>S1</w:t>
            </w:r>
            <w:r w:rsidRPr="00502E77">
              <w:rPr>
                <w:rFonts w:ascii="Times New Roman" w:hAnsi="Times New Roman" w:cs="Times New Roman"/>
                <w:b/>
                <w:color w:val="000000"/>
                <w:kern w:val="24"/>
                <w:szCs w:val="21"/>
              </w:rPr>
              <w:t xml:space="preserve"> Time to completion of each component of </w:t>
            </w:r>
            <w:r>
              <w:rPr>
                <w:rFonts w:ascii="Times New Roman" w:hAnsi="Times New Roman" w:cs="Times New Roman"/>
                <w:b/>
                <w:color w:val="000000"/>
                <w:kern w:val="24"/>
                <w:szCs w:val="21"/>
              </w:rPr>
              <w:t xml:space="preserve">the </w:t>
            </w:r>
            <w:r w:rsidRPr="00502E77">
              <w:rPr>
                <w:rFonts w:ascii="Times New Roman" w:hAnsi="Times New Roman" w:cs="Times New Roman"/>
                <w:b/>
                <w:color w:val="000000"/>
                <w:kern w:val="24"/>
                <w:szCs w:val="21"/>
              </w:rPr>
              <w:t>hour-1 bundle</w:t>
            </w:r>
          </w:p>
        </w:tc>
      </w:tr>
      <w:tr w:rsidR="00C41162" w:rsidRPr="00754671" w14:paraId="7564081B" w14:textId="77777777" w:rsidTr="00034CE7">
        <w:trPr>
          <w:trHeight w:val="522"/>
        </w:trPr>
        <w:tc>
          <w:tcPr>
            <w:tcW w:w="3682"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2AFF58C6"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 xml:space="preserve">Components of </w:t>
            </w:r>
            <w:r>
              <w:rPr>
                <w:rFonts w:ascii="Times New Roman" w:hAnsi="Times New Roman" w:cs="Times New Roman"/>
                <w:color w:val="000000"/>
                <w:kern w:val="24"/>
                <w:szCs w:val="21"/>
              </w:rPr>
              <w:t>hour-1 bundle</w:t>
            </w:r>
          </w:p>
        </w:tc>
        <w:tc>
          <w:tcPr>
            <w:tcW w:w="1381"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20FD698A"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Not applicable</w:t>
            </w:r>
          </w:p>
        </w:tc>
        <w:tc>
          <w:tcPr>
            <w:tcW w:w="1240"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34C6A32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&lt; 1 hour</w:t>
            </w:r>
          </w:p>
        </w:tc>
        <w:tc>
          <w:tcPr>
            <w:tcW w:w="1240"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436E0F12"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1-2 hours</w:t>
            </w:r>
          </w:p>
        </w:tc>
        <w:tc>
          <w:tcPr>
            <w:tcW w:w="1240"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704501B3"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2-3 hours</w:t>
            </w:r>
          </w:p>
        </w:tc>
        <w:tc>
          <w:tcPr>
            <w:tcW w:w="1056"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225F19E7"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3-4 hours</w:t>
            </w:r>
          </w:p>
        </w:tc>
        <w:tc>
          <w:tcPr>
            <w:tcW w:w="1056"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35717FB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4-5 hours</w:t>
            </w:r>
          </w:p>
        </w:tc>
        <w:tc>
          <w:tcPr>
            <w:tcW w:w="1056"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5E3D96A6"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5-6 hours</w:t>
            </w:r>
          </w:p>
        </w:tc>
        <w:tc>
          <w:tcPr>
            <w:tcW w:w="1056" w:type="dxa"/>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7BC95237"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&gt; 6 hours</w:t>
            </w:r>
          </w:p>
        </w:tc>
      </w:tr>
      <w:tr w:rsidR="00C41162" w:rsidRPr="00754671" w14:paraId="1A64C90A" w14:textId="77777777" w:rsidTr="00034CE7">
        <w:trPr>
          <w:trHeight w:val="522"/>
        </w:trPr>
        <w:tc>
          <w:tcPr>
            <w:tcW w:w="3682"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997E507"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Measure lactate level</w:t>
            </w:r>
          </w:p>
        </w:tc>
        <w:tc>
          <w:tcPr>
            <w:tcW w:w="1381"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733A02B3"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w:t>
            </w:r>
          </w:p>
        </w:tc>
        <w:tc>
          <w:tcPr>
            <w:tcW w:w="1240"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3867FF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176 (98.9%)</w:t>
            </w:r>
          </w:p>
        </w:tc>
        <w:tc>
          <w:tcPr>
            <w:tcW w:w="1240"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9E81926"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2 (1.1%)</w:t>
            </w:r>
          </w:p>
        </w:tc>
        <w:tc>
          <w:tcPr>
            <w:tcW w:w="1240"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4819884B"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68E75A6"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724410F5"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384B74ED"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41D16D8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r>
      <w:tr w:rsidR="00C41162" w:rsidRPr="00754671" w14:paraId="4B61BBFB" w14:textId="77777777" w:rsidTr="00034CE7">
        <w:trPr>
          <w:trHeight w:val="522"/>
        </w:trPr>
        <w:tc>
          <w:tcPr>
            <w:tcW w:w="3682" w:type="dxa"/>
            <w:tcBorders>
              <w:top w:val="nil"/>
              <w:left w:val="nil"/>
              <w:bottom w:val="nil"/>
              <w:right w:val="nil"/>
            </w:tcBorders>
            <w:shd w:val="clear" w:color="auto" w:fill="auto"/>
            <w:tcMar>
              <w:top w:w="12" w:type="dxa"/>
              <w:left w:w="12" w:type="dxa"/>
              <w:bottom w:w="0" w:type="dxa"/>
              <w:right w:w="12" w:type="dxa"/>
            </w:tcMar>
            <w:vAlign w:val="center"/>
            <w:hideMark/>
          </w:tcPr>
          <w:p w14:paraId="2781400E"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Obtain blood cultures</w:t>
            </w:r>
          </w:p>
        </w:tc>
        <w:tc>
          <w:tcPr>
            <w:tcW w:w="1381" w:type="dxa"/>
            <w:tcBorders>
              <w:top w:val="nil"/>
              <w:left w:val="nil"/>
              <w:bottom w:val="nil"/>
              <w:right w:val="nil"/>
            </w:tcBorders>
            <w:shd w:val="clear" w:color="auto" w:fill="auto"/>
            <w:tcMar>
              <w:top w:w="12" w:type="dxa"/>
              <w:left w:w="12" w:type="dxa"/>
              <w:bottom w:w="0" w:type="dxa"/>
              <w:right w:w="12" w:type="dxa"/>
            </w:tcMar>
            <w:vAlign w:val="center"/>
            <w:hideMark/>
          </w:tcPr>
          <w:p w14:paraId="24830E23"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52C21F45"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150 (86.2%)</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7C3669A3"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17 (9.8%)</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4E7F8EAC"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(1.7%)</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0E912B16"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 (0.6%)</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722EB33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(1.7%)</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049E6F72"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4D2624E1"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r>
      <w:tr w:rsidR="00C41162" w:rsidRPr="00754671" w14:paraId="5CB4A560" w14:textId="77777777" w:rsidTr="00034CE7">
        <w:trPr>
          <w:trHeight w:val="522"/>
        </w:trPr>
        <w:tc>
          <w:tcPr>
            <w:tcW w:w="3682" w:type="dxa"/>
            <w:tcBorders>
              <w:top w:val="nil"/>
              <w:left w:val="nil"/>
              <w:bottom w:val="nil"/>
              <w:right w:val="nil"/>
            </w:tcBorders>
            <w:shd w:val="clear" w:color="auto" w:fill="auto"/>
            <w:tcMar>
              <w:top w:w="12" w:type="dxa"/>
              <w:left w:w="12" w:type="dxa"/>
              <w:bottom w:w="0" w:type="dxa"/>
              <w:right w:w="12" w:type="dxa"/>
            </w:tcMar>
            <w:vAlign w:val="center"/>
            <w:hideMark/>
          </w:tcPr>
          <w:p w14:paraId="7F7569C4"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Broad-spectrum antibiotics</w:t>
            </w:r>
          </w:p>
        </w:tc>
        <w:tc>
          <w:tcPr>
            <w:tcW w:w="1381" w:type="dxa"/>
            <w:tcBorders>
              <w:top w:val="nil"/>
              <w:left w:val="nil"/>
              <w:bottom w:val="nil"/>
              <w:right w:val="nil"/>
            </w:tcBorders>
            <w:shd w:val="clear" w:color="auto" w:fill="auto"/>
            <w:tcMar>
              <w:top w:w="12" w:type="dxa"/>
              <w:left w:w="12" w:type="dxa"/>
              <w:bottom w:w="0" w:type="dxa"/>
              <w:right w:w="12" w:type="dxa"/>
            </w:tcMar>
            <w:vAlign w:val="center"/>
            <w:hideMark/>
          </w:tcPr>
          <w:p w14:paraId="56677F62"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5B8EC41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91 (51.1%)</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0F0693DC"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40 (22.5%)</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0A63140D"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20 (11.2%)</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1604E1E2"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5 (2.8%)</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545A668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6 (3.4%)</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2B1D2C0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4 (2.3%)</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192FE01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12 (6.7%)</w:t>
            </w:r>
          </w:p>
        </w:tc>
      </w:tr>
      <w:tr w:rsidR="00C41162" w:rsidRPr="00754671" w14:paraId="75419527" w14:textId="77777777" w:rsidTr="00034CE7">
        <w:trPr>
          <w:trHeight w:val="522"/>
        </w:trPr>
        <w:tc>
          <w:tcPr>
            <w:tcW w:w="3682" w:type="dxa"/>
            <w:tcBorders>
              <w:top w:val="nil"/>
              <w:left w:val="nil"/>
              <w:bottom w:val="nil"/>
              <w:right w:val="nil"/>
            </w:tcBorders>
            <w:shd w:val="clear" w:color="auto" w:fill="auto"/>
            <w:tcMar>
              <w:top w:w="12" w:type="dxa"/>
              <w:left w:w="12" w:type="dxa"/>
              <w:bottom w:w="0" w:type="dxa"/>
              <w:right w:w="12" w:type="dxa"/>
            </w:tcMar>
            <w:vAlign w:val="center"/>
            <w:hideMark/>
          </w:tcPr>
          <w:p w14:paraId="1939379B"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Administration of crystalloid</w:t>
            </w:r>
          </w:p>
        </w:tc>
        <w:tc>
          <w:tcPr>
            <w:tcW w:w="1381" w:type="dxa"/>
            <w:tcBorders>
              <w:top w:val="nil"/>
              <w:left w:val="nil"/>
              <w:bottom w:val="nil"/>
              <w:right w:val="nil"/>
            </w:tcBorders>
            <w:shd w:val="clear" w:color="auto" w:fill="auto"/>
            <w:tcMar>
              <w:top w:w="12" w:type="dxa"/>
              <w:left w:w="12" w:type="dxa"/>
              <w:bottom w:w="0" w:type="dxa"/>
              <w:right w:w="12" w:type="dxa"/>
            </w:tcMar>
            <w:vAlign w:val="center"/>
            <w:hideMark/>
          </w:tcPr>
          <w:p w14:paraId="43170615"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59</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6551261F"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112 (94.9%)</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753072F0"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(2.5%)</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5EB64EC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2 (1.7%)</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12FA2B27"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22562361"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5D97FA2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0 (0%)</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2A64BA0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 (0.9%)</w:t>
            </w:r>
          </w:p>
        </w:tc>
      </w:tr>
      <w:tr w:rsidR="00C41162" w:rsidRPr="00754671" w14:paraId="71628346" w14:textId="77777777" w:rsidTr="00034CE7">
        <w:trPr>
          <w:trHeight w:val="522"/>
        </w:trPr>
        <w:tc>
          <w:tcPr>
            <w:tcW w:w="3682" w:type="dxa"/>
            <w:tcBorders>
              <w:top w:val="nil"/>
              <w:left w:val="nil"/>
              <w:bottom w:val="nil"/>
              <w:right w:val="nil"/>
            </w:tcBorders>
            <w:shd w:val="clear" w:color="auto" w:fill="auto"/>
            <w:tcMar>
              <w:top w:w="12" w:type="dxa"/>
              <w:left w:w="12" w:type="dxa"/>
              <w:bottom w:w="0" w:type="dxa"/>
              <w:right w:w="12" w:type="dxa"/>
            </w:tcMar>
            <w:vAlign w:val="center"/>
            <w:hideMark/>
          </w:tcPr>
          <w:p w14:paraId="7003E79C"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Apply vasopressors</w:t>
            </w:r>
          </w:p>
        </w:tc>
        <w:tc>
          <w:tcPr>
            <w:tcW w:w="1381" w:type="dxa"/>
            <w:tcBorders>
              <w:top w:val="nil"/>
              <w:left w:val="nil"/>
              <w:bottom w:val="nil"/>
              <w:right w:val="nil"/>
            </w:tcBorders>
            <w:shd w:val="clear" w:color="auto" w:fill="auto"/>
            <w:tcMar>
              <w:top w:w="12" w:type="dxa"/>
              <w:left w:w="12" w:type="dxa"/>
              <w:bottom w:w="0" w:type="dxa"/>
              <w:right w:w="12" w:type="dxa"/>
            </w:tcMar>
            <w:vAlign w:val="center"/>
            <w:hideMark/>
          </w:tcPr>
          <w:p w14:paraId="60D941FB"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79</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09C53332"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67 (69.1%)</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6D49C60D"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15 (15.5%)</w:t>
            </w:r>
          </w:p>
        </w:tc>
        <w:tc>
          <w:tcPr>
            <w:tcW w:w="1240" w:type="dxa"/>
            <w:tcBorders>
              <w:top w:val="nil"/>
              <w:left w:val="nil"/>
              <w:bottom w:val="nil"/>
              <w:right w:val="nil"/>
            </w:tcBorders>
            <w:shd w:val="clear" w:color="auto" w:fill="auto"/>
            <w:tcMar>
              <w:top w:w="12" w:type="dxa"/>
              <w:left w:w="12" w:type="dxa"/>
              <w:bottom w:w="0" w:type="dxa"/>
              <w:right w:w="12" w:type="dxa"/>
            </w:tcMar>
            <w:vAlign w:val="center"/>
            <w:hideMark/>
          </w:tcPr>
          <w:p w14:paraId="423FC61A"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5 (5.2%)</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239FA425"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(3.1%)</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3E68EAF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(3.1%)</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5A0B0987"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 (1%)</w:t>
            </w:r>
          </w:p>
        </w:tc>
        <w:tc>
          <w:tcPr>
            <w:tcW w:w="1056" w:type="dxa"/>
            <w:tcBorders>
              <w:top w:val="nil"/>
              <w:left w:val="nil"/>
              <w:bottom w:val="nil"/>
              <w:right w:val="nil"/>
            </w:tcBorders>
            <w:shd w:val="clear" w:color="auto" w:fill="auto"/>
            <w:tcMar>
              <w:top w:w="12" w:type="dxa"/>
              <w:left w:w="12" w:type="dxa"/>
              <w:bottom w:w="0" w:type="dxa"/>
              <w:right w:w="12" w:type="dxa"/>
            </w:tcMar>
            <w:vAlign w:val="center"/>
            <w:hideMark/>
          </w:tcPr>
          <w:p w14:paraId="74796D49"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 (3.1%)</w:t>
            </w:r>
          </w:p>
        </w:tc>
      </w:tr>
      <w:tr w:rsidR="00C41162" w:rsidRPr="00754671" w14:paraId="4609EBBE" w14:textId="77777777" w:rsidTr="00034CE7">
        <w:trPr>
          <w:trHeight w:val="522"/>
        </w:trPr>
        <w:tc>
          <w:tcPr>
            <w:tcW w:w="3682"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6B531B13" w14:textId="77777777" w:rsidR="00C41162" w:rsidRPr="00754671" w:rsidRDefault="00C41162" w:rsidP="00034CE7">
            <w:pPr>
              <w:textAlignment w:val="center"/>
              <w:rPr>
                <w:rFonts w:ascii="Times New Roman" w:hAnsi="Times New Roman" w:cs="Times New Roman"/>
                <w:szCs w:val="21"/>
              </w:rPr>
            </w:pPr>
            <w:r w:rsidRPr="00754671">
              <w:rPr>
                <w:rFonts w:ascii="Times New Roman" w:hAnsi="Times New Roman" w:cs="Times New Roman"/>
                <w:color w:val="000000"/>
                <w:kern w:val="24"/>
                <w:szCs w:val="21"/>
              </w:rPr>
              <w:t xml:space="preserve">Completion of all </w:t>
            </w:r>
            <w:r w:rsidRPr="00754671">
              <w:rPr>
                <w:rFonts w:ascii="Times New Roman" w:hAnsi="Times New Roman" w:cs="Times New Roman" w:hint="eastAsia"/>
                <w:color w:val="000000"/>
                <w:kern w:val="24"/>
                <w:szCs w:val="21"/>
              </w:rPr>
              <w:t>c</w:t>
            </w:r>
            <w:r w:rsidRPr="00754671">
              <w:rPr>
                <w:rFonts w:ascii="Times New Roman" w:hAnsi="Times New Roman" w:cs="Times New Roman"/>
                <w:color w:val="000000"/>
                <w:kern w:val="24"/>
                <w:szCs w:val="21"/>
              </w:rPr>
              <w:t>omponents</w:t>
            </w:r>
          </w:p>
        </w:tc>
        <w:tc>
          <w:tcPr>
            <w:tcW w:w="1381"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6E429179"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w:t>
            </w:r>
          </w:p>
        </w:tc>
        <w:tc>
          <w:tcPr>
            <w:tcW w:w="1240"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0AD3CC9E"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89 (50.3%)</w:t>
            </w:r>
          </w:p>
        </w:tc>
        <w:tc>
          <w:tcPr>
            <w:tcW w:w="1240"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7A5D6E09"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35 (19.8%)</w:t>
            </w:r>
          </w:p>
        </w:tc>
        <w:tc>
          <w:tcPr>
            <w:tcW w:w="1240"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6D5348A7"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21 (11.9%)</w:t>
            </w:r>
          </w:p>
        </w:tc>
        <w:tc>
          <w:tcPr>
            <w:tcW w:w="10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2F171266"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7 (4%)</w:t>
            </w:r>
          </w:p>
        </w:tc>
        <w:tc>
          <w:tcPr>
            <w:tcW w:w="10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2329A3E8"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7 (4%)</w:t>
            </w:r>
          </w:p>
        </w:tc>
        <w:tc>
          <w:tcPr>
            <w:tcW w:w="10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0F81AE63"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5 (2.8%)</w:t>
            </w:r>
          </w:p>
        </w:tc>
        <w:tc>
          <w:tcPr>
            <w:tcW w:w="10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14:paraId="7D0BBACB" w14:textId="77777777" w:rsidR="00C41162" w:rsidRPr="00754671" w:rsidRDefault="00C41162" w:rsidP="00034CE7">
            <w:pPr>
              <w:jc w:val="center"/>
              <w:textAlignment w:val="center"/>
              <w:rPr>
                <w:rFonts w:ascii="Times New Roman" w:hAnsi="Times New Roman" w:cs="Times New Roman"/>
                <w:szCs w:val="21"/>
              </w:rPr>
            </w:pPr>
            <w:r w:rsidRPr="00754671">
              <w:rPr>
                <w:rFonts w:ascii="Times New Roman" w:hAnsi="Times New Roman" w:cs="Times New Roman"/>
                <w:color w:val="000000"/>
                <w:kern w:val="24"/>
                <w:szCs w:val="21"/>
              </w:rPr>
              <w:t>13 (7.3%)</w:t>
            </w:r>
          </w:p>
        </w:tc>
      </w:tr>
      <w:tr w:rsidR="00C41162" w:rsidRPr="00754671" w14:paraId="3E9FD43C" w14:textId="77777777" w:rsidTr="00034CE7">
        <w:trPr>
          <w:trHeight w:val="522"/>
        </w:trPr>
        <w:tc>
          <w:tcPr>
            <w:tcW w:w="13007" w:type="dxa"/>
            <w:gridSpan w:val="9"/>
            <w:tcBorders>
              <w:top w:val="single" w:sz="4" w:space="0" w:color="auto"/>
              <w:left w:val="nil"/>
              <w:right w:val="nil"/>
            </w:tcBorders>
            <w:shd w:val="clear" w:color="auto" w:fill="auto"/>
            <w:tcMar>
              <w:top w:w="12" w:type="dxa"/>
              <w:left w:w="12" w:type="dxa"/>
              <w:bottom w:w="0" w:type="dxa"/>
              <w:right w:w="12" w:type="dxa"/>
            </w:tcMar>
            <w:vAlign w:val="center"/>
          </w:tcPr>
          <w:p w14:paraId="05A5A461" w14:textId="77777777" w:rsidR="00C41162" w:rsidRPr="00754671" w:rsidRDefault="00C41162" w:rsidP="00034CE7">
            <w:pPr>
              <w:textAlignment w:val="center"/>
              <w:rPr>
                <w:rFonts w:ascii="Times New Roman" w:hAnsi="Times New Roman" w:cs="Times New Roman"/>
                <w:color w:val="000000"/>
                <w:kern w:val="24"/>
                <w:szCs w:val="21"/>
              </w:rPr>
            </w:pPr>
            <w:r w:rsidRPr="00754671">
              <w:rPr>
                <w:rFonts w:ascii="Times New Roman" w:eastAsia="游ゴシック" w:hAnsi="Times New Roman" w:cs="Times New Roman"/>
                <w:color w:val="000000"/>
                <w:kern w:val="24"/>
                <w:szCs w:val="21"/>
              </w:rPr>
              <w:t>Missing data:</w:t>
            </w:r>
            <w:r w:rsidRPr="00754671">
              <w:rPr>
                <w:rFonts w:ascii="Times New Roman" w:hAnsi="Times New Roman" w:cs="Times New Roman"/>
                <w:color w:val="000000"/>
                <w:kern w:val="24"/>
                <w:szCs w:val="21"/>
              </w:rPr>
              <w:t xml:space="preserve"> Obtain blood cultures</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4; Administration of crystalloid</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1; Apply vasopressors</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2; completion of all elements</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w:t>
            </w:r>
            <w:r>
              <w:rPr>
                <w:rFonts w:ascii="Times New Roman" w:hAnsi="Times New Roman" w:cs="Times New Roman"/>
                <w:color w:val="000000"/>
                <w:kern w:val="24"/>
                <w:szCs w:val="21"/>
              </w:rPr>
              <w:t xml:space="preserve"> </w:t>
            </w:r>
            <w:r w:rsidRPr="00754671">
              <w:rPr>
                <w:rFonts w:ascii="Times New Roman" w:hAnsi="Times New Roman" w:cs="Times New Roman"/>
                <w:color w:val="000000"/>
                <w:kern w:val="24"/>
                <w:szCs w:val="21"/>
              </w:rPr>
              <w:t>1</w:t>
            </w:r>
          </w:p>
        </w:tc>
      </w:tr>
    </w:tbl>
    <w:p w14:paraId="30938CA5" w14:textId="27876046" w:rsidR="00C41162" w:rsidRPr="00C41162" w:rsidRDefault="00C41162" w:rsidP="00E64215">
      <w:pPr>
        <w:snapToGrid w:val="0"/>
        <w:spacing w:line="480" w:lineRule="auto"/>
        <w:jc w:val="left"/>
        <w:rPr>
          <w:rFonts w:ascii="Times New Roman" w:eastAsia="ＭＳ 明朝" w:hAnsi="Times New Roman" w:cs="Angsana New"/>
          <w:color w:val="000000"/>
          <w:sz w:val="24"/>
          <w:szCs w:val="24"/>
        </w:rPr>
      </w:pPr>
    </w:p>
    <w:p w14:paraId="0F85181A" w14:textId="7FFA5989" w:rsidR="00C41162" w:rsidRDefault="00C41162" w:rsidP="00E64215">
      <w:pPr>
        <w:snapToGrid w:val="0"/>
        <w:spacing w:line="480" w:lineRule="auto"/>
        <w:jc w:val="left"/>
        <w:rPr>
          <w:rFonts w:ascii="Times New Roman" w:eastAsia="ＭＳ 明朝" w:hAnsi="Times New Roman" w:cs="Angsana New"/>
          <w:color w:val="000000"/>
          <w:sz w:val="24"/>
          <w:szCs w:val="24"/>
        </w:rPr>
      </w:pPr>
    </w:p>
    <w:p w14:paraId="10A9DDA9" w14:textId="77777777" w:rsidR="000A1CD5" w:rsidRDefault="000A1CD5"/>
    <w:sectPr w:rsidR="000A1CD5" w:rsidSect="00C41162">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52E7" w14:textId="77777777" w:rsidR="0053456B" w:rsidRDefault="0053456B" w:rsidP="007C26C5">
      <w:r>
        <w:separator/>
      </w:r>
    </w:p>
  </w:endnote>
  <w:endnote w:type="continuationSeparator" w:id="0">
    <w:p w14:paraId="5CF15BBB" w14:textId="77777777" w:rsidR="0053456B" w:rsidRDefault="0053456B" w:rsidP="007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0000000"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8574" w14:textId="77777777" w:rsidR="0053456B" w:rsidRDefault="0053456B" w:rsidP="007C26C5">
      <w:r>
        <w:separator/>
      </w:r>
    </w:p>
  </w:footnote>
  <w:footnote w:type="continuationSeparator" w:id="0">
    <w:p w14:paraId="064D61AD" w14:textId="77777777" w:rsidR="0053456B" w:rsidRDefault="0053456B" w:rsidP="007C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5"/>
    <w:rsid w:val="000802D8"/>
    <w:rsid w:val="000A1CD5"/>
    <w:rsid w:val="000E280A"/>
    <w:rsid w:val="0013091D"/>
    <w:rsid w:val="00221757"/>
    <w:rsid w:val="00243E90"/>
    <w:rsid w:val="003E40C7"/>
    <w:rsid w:val="00447E0A"/>
    <w:rsid w:val="0053456B"/>
    <w:rsid w:val="007A4B5E"/>
    <w:rsid w:val="007B6E83"/>
    <w:rsid w:val="007C26C5"/>
    <w:rsid w:val="008846FB"/>
    <w:rsid w:val="00936058"/>
    <w:rsid w:val="00A83918"/>
    <w:rsid w:val="00B470E6"/>
    <w:rsid w:val="00B502C9"/>
    <w:rsid w:val="00BA5709"/>
    <w:rsid w:val="00C41162"/>
    <w:rsid w:val="00C71313"/>
    <w:rsid w:val="00E64215"/>
    <w:rsid w:val="00E732D2"/>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64C1A"/>
  <w15:chartTrackingRefBased/>
  <w15:docId w15:val="{EC812C2A-E9D4-4DB9-9179-D511B0C1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26C5"/>
    <w:pPr>
      <w:tabs>
        <w:tab w:val="center" w:pos="4252"/>
        <w:tab w:val="right" w:pos="8504"/>
      </w:tabs>
      <w:snapToGrid w:val="0"/>
    </w:pPr>
  </w:style>
  <w:style w:type="character" w:customStyle="1" w:styleId="a5">
    <w:name w:val="ヘッダー (文字)"/>
    <w:basedOn w:val="a0"/>
    <w:link w:val="a4"/>
    <w:uiPriority w:val="99"/>
    <w:rsid w:val="007C26C5"/>
  </w:style>
  <w:style w:type="paragraph" w:styleId="a6">
    <w:name w:val="footer"/>
    <w:basedOn w:val="a"/>
    <w:link w:val="a7"/>
    <w:uiPriority w:val="99"/>
    <w:unhideWhenUsed/>
    <w:rsid w:val="007C26C5"/>
    <w:pPr>
      <w:tabs>
        <w:tab w:val="center" w:pos="4252"/>
        <w:tab w:val="right" w:pos="8504"/>
      </w:tabs>
      <w:snapToGrid w:val="0"/>
    </w:pPr>
  </w:style>
  <w:style w:type="character" w:customStyle="1" w:styleId="a7">
    <w:name w:val="フッター (文字)"/>
    <w:basedOn w:val="a0"/>
    <w:link w:val="a6"/>
    <w:uiPriority w:val="99"/>
    <w:rsid w:val="007C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55690">
      <w:bodyDiv w:val="1"/>
      <w:marLeft w:val="0"/>
      <w:marRight w:val="0"/>
      <w:marTop w:val="0"/>
      <w:marBottom w:val="0"/>
      <w:divBdr>
        <w:top w:val="none" w:sz="0" w:space="0" w:color="auto"/>
        <w:left w:val="none" w:sz="0" w:space="0" w:color="auto"/>
        <w:bottom w:val="none" w:sz="0" w:space="0" w:color="auto"/>
        <w:right w:val="none" w:sz="0" w:space="0" w:color="auto"/>
      </w:divBdr>
    </w:div>
    <w:div w:id="1560047122">
      <w:bodyDiv w:val="1"/>
      <w:marLeft w:val="0"/>
      <w:marRight w:val="0"/>
      <w:marTop w:val="0"/>
      <w:marBottom w:val="0"/>
      <w:divBdr>
        <w:top w:val="none" w:sz="0" w:space="0" w:color="auto"/>
        <w:left w:val="none" w:sz="0" w:space="0" w:color="auto"/>
        <w:bottom w:val="none" w:sz="0" w:space="0" w:color="auto"/>
        <w:right w:val="none" w:sz="0" w:space="0" w:color="auto"/>
      </w:divBdr>
    </w:div>
    <w:div w:id="19764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Umemura Yutaka</dc:creator>
  <cp:keywords/>
  <dc:description/>
  <cp:lastModifiedBy>Umemura Yutaka</cp:lastModifiedBy>
  <cp:revision>13</cp:revision>
  <dcterms:created xsi:type="dcterms:W3CDTF">2021-05-11T03:14:00Z</dcterms:created>
  <dcterms:modified xsi:type="dcterms:W3CDTF">2021-09-01T07:49:00Z</dcterms:modified>
</cp:coreProperties>
</file>