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5025" w14:textId="77777777" w:rsidR="00701448" w:rsidRPr="00923EDA" w:rsidRDefault="00701448" w:rsidP="00701448">
      <w:pPr>
        <w:spacing w:line="360" w:lineRule="auto"/>
        <w:rPr>
          <w:rFonts w:ascii="Times New Roman" w:hAnsi="Times New Roman" w:cs="Times New Roman"/>
          <w:b/>
          <w:bCs/>
          <w:sz w:val="24"/>
          <w:szCs w:val="24"/>
        </w:rPr>
      </w:pPr>
      <w:r w:rsidRPr="00AD303A">
        <w:rPr>
          <w:rFonts w:ascii="Times New Roman" w:hAnsi="Times New Roman" w:cs="Times New Roman"/>
          <w:b/>
          <w:bCs/>
          <w:sz w:val="24"/>
          <w:szCs w:val="24"/>
        </w:rPr>
        <w:t xml:space="preserve">Supplementary Table </w:t>
      </w:r>
      <w:r>
        <w:rPr>
          <w:rFonts w:ascii="Times New Roman" w:hAnsi="Times New Roman" w:cs="Times New Roman"/>
          <w:b/>
          <w:bCs/>
          <w:sz w:val="24"/>
          <w:szCs w:val="24"/>
        </w:rPr>
        <w:t>1</w:t>
      </w:r>
      <w:r w:rsidRPr="00AD303A">
        <w:rPr>
          <w:rFonts w:ascii="Times New Roman" w:hAnsi="Times New Roman" w:cs="Times New Roman"/>
          <w:b/>
          <w:bCs/>
          <w:sz w:val="24"/>
          <w:szCs w:val="24"/>
        </w:rPr>
        <w:t xml:space="preserve">. </w:t>
      </w:r>
      <w:r w:rsidRPr="00923EDA">
        <w:rPr>
          <w:rFonts w:ascii="Times New Roman" w:hAnsi="Times New Roman" w:cs="Times New Roman"/>
          <w:b/>
          <w:bCs/>
          <w:sz w:val="24"/>
          <w:szCs w:val="24"/>
        </w:rPr>
        <w:t>Overview of details for original studies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536"/>
        <w:gridCol w:w="1270"/>
        <w:gridCol w:w="8319"/>
        <w:gridCol w:w="1376"/>
      </w:tblGrid>
      <w:tr w:rsidR="00701448" w:rsidRPr="00EE22EA" w14:paraId="5EFDAB52" w14:textId="77777777" w:rsidTr="00657D28">
        <w:tc>
          <w:tcPr>
            <w:tcW w:w="0" w:type="auto"/>
            <w:tcBorders>
              <w:top w:val="single" w:sz="12" w:space="0" w:color="auto"/>
              <w:bottom w:val="single" w:sz="4" w:space="0" w:color="auto"/>
            </w:tcBorders>
            <w:shd w:val="clear" w:color="auto" w:fill="AEAAAA" w:themeFill="background2" w:themeFillShade="BF"/>
          </w:tcPr>
          <w:p w14:paraId="6E9158E1" w14:textId="77777777" w:rsidR="00701448" w:rsidRPr="00EE22EA" w:rsidRDefault="00701448" w:rsidP="00657D28">
            <w:pPr>
              <w:rPr>
                <w:rFonts w:ascii="Times New Roman" w:hAnsi="Times New Roman" w:cs="Times New Roman"/>
                <w:b/>
                <w:sz w:val="24"/>
                <w:szCs w:val="24"/>
              </w:rPr>
            </w:pPr>
            <w:r w:rsidRPr="00EE22EA">
              <w:rPr>
                <w:rFonts w:ascii="Times New Roman" w:hAnsi="Times New Roman" w:cs="Times New Roman" w:hint="eastAsia"/>
                <w:b/>
                <w:sz w:val="24"/>
                <w:szCs w:val="24"/>
              </w:rPr>
              <w:t>GEO</w:t>
            </w:r>
            <w:r w:rsidRPr="00EE22EA">
              <w:rPr>
                <w:rFonts w:ascii="Times New Roman" w:hAnsi="Times New Roman" w:cs="Times New Roman"/>
                <w:b/>
                <w:sz w:val="24"/>
                <w:szCs w:val="24"/>
              </w:rPr>
              <w:t xml:space="preserve"> database</w:t>
            </w:r>
          </w:p>
        </w:tc>
        <w:tc>
          <w:tcPr>
            <w:tcW w:w="0" w:type="auto"/>
            <w:tcBorders>
              <w:top w:val="single" w:sz="12" w:space="0" w:color="auto"/>
              <w:bottom w:val="single" w:sz="4" w:space="0" w:color="auto"/>
            </w:tcBorders>
            <w:shd w:val="clear" w:color="auto" w:fill="AEAAAA" w:themeFill="background2" w:themeFillShade="BF"/>
          </w:tcPr>
          <w:p w14:paraId="590BADD7" w14:textId="77777777" w:rsidR="00701448" w:rsidRPr="00EE22EA" w:rsidRDefault="00701448" w:rsidP="00657D28">
            <w:pPr>
              <w:rPr>
                <w:rFonts w:ascii="Times New Roman" w:hAnsi="Times New Roman" w:cs="Times New Roman"/>
                <w:b/>
                <w:sz w:val="24"/>
                <w:szCs w:val="24"/>
              </w:rPr>
            </w:pPr>
            <w:r w:rsidRPr="00DC45A2">
              <w:rPr>
                <w:rFonts w:ascii="Times New Roman" w:hAnsi="Times New Roman" w:cs="Times New Roman"/>
                <w:b/>
                <w:sz w:val="24"/>
                <w:szCs w:val="24"/>
              </w:rPr>
              <w:t>Region</w:t>
            </w:r>
          </w:p>
        </w:tc>
        <w:tc>
          <w:tcPr>
            <w:tcW w:w="0" w:type="auto"/>
            <w:tcBorders>
              <w:top w:val="single" w:sz="12" w:space="0" w:color="auto"/>
              <w:bottom w:val="single" w:sz="4" w:space="0" w:color="auto"/>
            </w:tcBorders>
            <w:shd w:val="clear" w:color="auto" w:fill="AEAAAA" w:themeFill="background2" w:themeFillShade="BF"/>
          </w:tcPr>
          <w:p w14:paraId="301905EC" w14:textId="77777777" w:rsidR="00701448" w:rsidRPr="00EE22EA" w:rsidRDefault="00701448" w:rsidP="00657D28">
            <w:pPr>
              <w:rPr>
                <w:rFonts w:ascii="Times New Roman" w:hAnsi="Times New Roman" w:cs="Times New Roman"/>
                <w:b/>
                <w:sz w:val="24"/>
                <w:szCs w:val="24"/>
              </w:rPr>
            </w:pPr>
            <w:r w:rsidRPr="00DC45A2">
              <w:rPr>
                <w:rFonts w:ascii="Times New Roman" w:hAnsi="Times New Roman" w:cs="Times New Roman"/>
                <w:b/>
                <w:sz w:val="24"/>
                <w:szCs w:val="24"/>
              </w:rPr>
              <w:t>Platform</w:t>
            </w:r>
          </w:p>
        </w:tc>
        <w:tc>
          <w:tcPr>
            <w:tcW w:w="0" w:type="auto"/>
            <w:tcBorders>
              <w:top w:val="single" w:sz="12" w:space="0" w:color="auto"/>
              <w:bottom w:val="single" w:sz="4" w:space="0" w:color="auto"/>
            </w:tcBorders>
            <w:shd w:val="clear" w:color="auto" w:fill="AEAAAA" w:themeFill="background2" w:themeFillShade="BF"/>
          </w:tcPr>
          <w:p w14:paraId="4B04E907" w14:textId="77777777" w:rsidR="00701448" w:rsidRPr="00EE22EA" w:rsidRDefault="00701448" w:rsidP="00657D28">
            <w:pPr>
              <w:rPr>
                <w:rFonts w:ascii="Times New Roman" w:hAnsi="Times New Roman" w:cs="Times New Roman"/>
                <w:b/>
                <w:sz w:val="24"/>
                <w:szCs w:val="24"/>
              </w:rPr>
            </w:pPr>
            <w:r>
              <w:rPr>
                <w:rFonts w:ascii="Times New Roman" w:hAnsi="Times New Roman" w:cs="Times New Roman"/>
                <w:b/>
                <w:sz w:val="24"/>
                <w:szCs w:val="24"/>
              </w:rPr>
              <w:t>Description</w:t>
            </w:r>
          </w:p>
        </w:tc>
        <w:tc>
          <w:tcPr>
            <w:tcW w:w="0" w:type="auto"/>
            <w:tcBorders>
              <w:top w:val="single" w:sz="12" w:space="0" w:color="auto"/>
              <w:bottom w:val="single" w:sz="4" w:space="0" w:color="auto"/>
            </w:tcBorders>
            <w:shd w:val="clear" w:color="auto" w:fill="AEAAAA" w:themeFill="background2" w:themeFillShade="BF"/>
          </w:tcPr>
          <w:p w14:paraId="166C9786" w14:textId="77777777" w:rsidR="00701448" w:rsidRPr="00EE22EA" w:rsidRDefault="00701448" w:rsidP="00657D28">
            <w:pPr>
              <w:rPr>
                <w:rFonts w:ascii="Times New Roman" w:hAnsi="Times New Roman" w:cs="Times New Roman"/>
                <w:b/>
                <w:sz w:val="24"/>
                <w:szCs w:val="24"/>
              </w:rPr>
            </w:pPr>
            <w:r w:rsidRPr="00DC45A2">
              <w:rPr>
                <w:rFonts w:ascii="Times New Roman" w:hAnsi="Times New Roman" w:cs="Times New Roman"/>
                <w:b/>
                <w:sz w:val="24"/>
                <w:szCs w:val="24"/>
              </w:rPr>
              <w:t>Sample size</w:t>
            </w:r>
          </w:p>
        </w:tc>
      </w:tr>
      <w:tr w:rsidR="00701448" w:rsidRPr="003A3E08" w14:paraId="12C647FE" w14:textId="77777777" w:rsidTr="00657D28">
        <w:tc>
          <w:tcPr>
            <w:tcW w:w="0" w:type="auto"/>
            <w:tcBorders>
              <w:top w:val="single" w:sz="4" w:space="0" w:color="auto"/>
            </w:tcBorders>
          </w:tcPr>
          <w:p w14:paraId="44A2591B" w14:textId="77777777" w:rsidR="00701448" w:rsidRPr="003A3E08" w:rsidRDefault="00701448" w:rsidP="00657D28">
            <w:pPr>
              <w:rPr>
                <w:rFonts w:ascii="Times New Roman" w:hAnsi="Times New Roman" w:cs="Times New Roman"/>
                <w:sz w:val="24"/>
                <w:szCs w:val="24"/>
              </w:rPr>
            </w:pPr>
            <w:r w:rsidRPr="00DC45A2">
              <w:rPr>
                <w:rFonts w:ascii="Times New Roman" w:hAnsi="Times New Roman" w:cs="Times New Roman"/>
                <w:sz w:val="24"/>
                <w:szCs w:val="24"/>
              </w:rPr>
              <w:t>GSE58144</w:t>
            </w:r>
          </w:p>
        </w:tc>
        <w:tc>
          <w:tcPr>
            <w:tcW w:w="0" w:type="auto"/>
            <w:tcBorders>
              <w:top w:val="single" w:sz="4" w:space="0" w:color="auto"/>
            </w:tcBorders>
          </w:tcPr>
          <w:p w14:paraId="2341455D" w14:textId="77777777" w:rsidR="00701448" w:rsidRPr="003A3E08" w:rsidRDefault="00701448" w:rsidP="00657D28">
            <w:pPr>
              <w:rPr>
                <w:rFonts w:ascii="Times New Roman" w:hAnsi="Times New Roman" w:cs="Times New Roman"/>
                <w:sz w:val="24"/>
                <w:szCs w:val="24"/>
              </w:rPr>
            </w:pPr>
            <w:r>
              <w:rPr>
                <w:rFonts w:ascii="Times New Roman" w:hAnsi="Times New Roman" w:cs="Times New Roman"/>
                <w:bCs/>
                <w:sz w:val="24"/>
                <w:szCs w:val="24"/>
              </w:rPr>
              <w:t>E</w:t>
            </w:r>
            <w:r w:rsidRPr="003A3E08">
              <w:rPr>
                <w:rFonts w:ascii="Times New Roman" w:hAnsi="Times New Roman" w:cs="Times New Roman"/>
                <w:bCs/>
                <w:sz w:val="24"/>
                <w:szCs w:val="24"/>
              </w:rPr>
              <w:t>ndometrium</w:t>
            </w:r>
          </w:p>
        </w:tc>
        <w:tc>
          <w:tcPr>
            <w:tcW w:w="0" w:type="auto"/>
            <w:tcBorders>
              <w:top w:val="single" w:sz="4" w:space="0" w:color="auto"/>
            </w:tcBorders>
          </w:tcPr>
          <w:p w14:paraId="1A0ED17C" w14:textId="77777777" w:rsidR="00701448" w:rsidRPr="003A3E08" w:rsidRDefault="00701448" w:rsidP="00657D28">
            <w:pPr>
              <w:rPr>
                <w:rFonts w:ascii="Times New Roman" w:hAnsi="Times New Roman" w:cs="Times New Roman"/>
                <w:sz w:val="24"/>
                <w:szCs w:val="24"/>
              </w:rPr>
            </w:pPr>
            <w:r w:rsidRPr="00BF3D44">
              <w:rPr>
                <w:rFonts w:ascii="Times New Roman" w:hAnsi="Times New Roman" w:cs="Times New Roman"/>
                <w:bCs/>
                <w:sz w:val="24"/>
                <w:szCs w:val="24"/>
              </w:rPr>
              <w:t>GPL15789</w:t>
            </w:r>
          </w:p>
        </w:tc>
        <w:tc>
          <w:tcPr>
            <w:tcW w:w="0" w:type="auto"/>
            <w:tcBorders>
              <w:top w:val="single" w:sz="4" w:space="0" w:color="auto"/>
            </w:tcBorders>
          </w:tcPr>
          <w:p w14:paraId="45874D93" w14:textId="77777777" w:rsidR="00701448" w:rsidRPr="003A3E08" w:rsidRDefault="00701448" w:rsidP="00657D28">
            <w:pPr>
              <w:rPr>
                <w:rFonts w:ascii="Times New Roman" w:hAnsi="Times New Roman" w:cs="Times New Roman"/>
                <w:sz w:val="24"/>
                <w:szCs w:val="24"/>
              </w:rPr>
            </w:pPr>
            <w:r w:rsidRPr="008D1150">
              <w:rPr>
                <w:rFonts w:ascii="Times New Roman" w:hAnsi="Times New Roman" w:cs="Times New Roman"/>
                <w:bCs/>
                <w:sz w:val="24"/>
                <w:szCs w:val="24"/>
              </w:rPr>
              <w:t>Between 2006 and 2013, mid-luteal phase endometrial biopsies were taken in the natural cycle from two serial cohorts, each consisting of women with RIF, defined as ≥3 failed IVF/ICSI treatments or replacement ≥10 embryos without the occurrence of pregnancy and controls. All subjects had undergone IVF/ICSI treatment in two tertiary hospitals. The control group had all conceived within the first two cycles of ICSI</w:t>
            </w:r>
            <w:r>
              <w:rPr>
                <w:rFonts w:ascii="Times New Roman" w:hAnsi="Times New Roman" w:cs="Times New Roman"/>
                <w:bCs/>
                <w:sz w:val="24"/>
                <w:szCs w:val="24"/>
              </w:rPr>
              <w:t xml:space="preserve"> </w:t>
            </w:r>
            <w:r w:rsidRPr="008D1150">
              <w:rPr>
                <w:rFonts w:ascii="Times New Roman" w:hAnsi="Times New Roman" w:cs="Times New Roman"/>
                <w:bCs/>
                <w:sz w:val="24"/>
                <w:szCs w:val="24"/>
              </w:rPr>
              <w:t>or first three cycles of IVF treatment, and were therefore considered unlikely to have an endometrial factor. Microarray profiling and subsequent analysis sought to identify a gene expression signature predictive of RIF.</w:t>
            </w:r>
          </w:p>
        </w:tc>
        <w:tc>
          <w:tcPr>
            <w:tcW w:w="0" w:type="auto"/>
            <w:tcBorders>
              <w:top w:val="single" w:sz="4" w:space="0" w:color="auto"/>
            </w:tcBorders>
          </w:tcPr>
          <w:p w14:paraId="72B7DDD6" w14:textId="3A7FE5E8" w:rsidR="00701448" w:rsidRPr="003A3E08" w:rsidRDefault="00701448" w:rsidP="00657D28">
            <w:pP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3(R</w:t>
            </w:r>
            <w:r w:rsidR="0010007D">
              <w:rPr>
                <w:rFonts w:ascii="Times New Roman" w:hAnsi="Times New Roman" w:cs="Times New Roman"/>
                <w:sz w:val="24"/>
                <w:szCs w:val="24"/>
              </w:rPr>
              <w:t>PL</w:t>
            </w:r>
            <w:r>
              <w:rPr>
                <w:rFonts w:ascii="Times New Roman" w:hAnsi="Times New Roman" w:cs="Times New Roman"/>
                <w:sz w:val="24"/>
                <w:szCs w:val="24"/>
              </w:rPr>
              <w:t>) vs. 72(CON)</w:t>
            </w:r>
          </w:p>
        </w:tc>
      </w:tr>
      <w:tr w:rsidR="00701448" w:rsidRPr="003A3E08" w14:paraId="301B289D" w14:textId="77777777" w:rsidTr="00657D28">
        <w:tc>
          <w:tcPr>
            <w:tcW w:w="0" w:type="auto"/>
            <w:shd w:val="clear" w:color="auto" w:fill="D0CECE" w:themeFill="background2" w:themeFillShade="E6"/>
          </w:tcPr>
          <w:p w14:paraId="5BC48874" w14:textId="77777777" w:rsidR="00701448" w:rsidRPr="003A3E08" w:rsidRDefault="00701448" w:rsidP="00657D28">
            <w:pPr>
              <w:rPr>
                <w:rFonts w:ascii="Times New Roman" w:hAnsi="Times New Roman" w:cs="Times New Roman"/>
                <w:sz w:val="24"/>
                <w:szCs w:val="24"/>
              </w:rPr>
            </w:pPr>
            <w:r w:rsidRPr="00DC45A2">
              <w:rPr>
                <w:rFonts w:ascii="Times New Roman" w:hAnsi="Times New Roman" w:cs="Times New Roman"/>
                <w:sz w:val="24"/>
                <w:szCs w:val="24"/>
              </w:rPr>
              <w:t>GSE5099</w:t>
            </w:r>
          </w:p>
        </w:tc>
        <w:tc>
          <w:tcPr>
            <w:tcW w:w="0" w:type="auto"/>
            <w:shd w:val="clear" w:color="auto" w:fill="D0CECE" w:themeFill="background2" w:themeFillShade="E6"/>
          </w:tcPr>
          <w:p w14:paraId="1DB3B84A" w14:textId="77777777" w:rsidR="00701448" w:rsidRPr="003A3E08" w:rsidRDefault="00701448" w:rsidP="00657D28">
            <w:pPr>
              <w:rPr>
                <w:rFonts w:ascii="Times New Roman" w:hAnsi="Times New Roman" w:cs="Times New Roman"/>
                <w:sz w:val="24"/>
                <w:szCs w:val="24"/>
              </w:rPr>
            </w:pPr>
            <w:r>
              <w:rPr>
                <w:rFonts w:ascii="Times New Roman" w:hAnsi="Times New Roman" w:cs="Times New Roman"/>
                <w:sz w:val="24"/>
                <w:szCs w:val="24"/>
              </w:rPr>
              <w:t>M</w:t>
            </w:r>
            <w:r w:rsidRPr="00DC45A2">
              <w:rPr>
                <w:rFonts w:ascii="Times New Roman" w:hAnsi="Times New Roman" w:cs="Times New Roman"/>
                <w:sz w:val="24"/>
                <w:szCs w:val="24"/>
              </w:rPr>
              <w:t>acrophage</w:t>
            </w:r>
          </w:p>
        </w:tc>
        <w:tc>
          <w:tcPr>
            <w:tcW w:w="0" w:type="auto"/>
            <w:shd w:val="clear" w:color="auto" w:fill="D0CECE" w:themeFill="background2" w:themeFillShade="E6"/>
          </w:tcPr>
          <w:p w14:paraId="12B1A2D0" w14:textId="77777777" w:rsidR="00701448" w:rsidRPr="003A3E08" w:rsidRDefault="00701448" w:rsidP="00657D28">
            <w:pPr>
              <w:rPr>
                <w:rFonts w:ascii="Times New Roman" w:hAnsi="Times New Roman" w:cs="Times New Roman"/>
                <w:sz w:val="24"/>
                <w:szCs w:val="24"/>
              </w:rPr>
            </w:pPr>
            <w:r w:rsidRPr="00BF3D44">
              <w:rPr>
                <w:rFonts w:ascii="Times New Roman" w:hAnsi="Times New Roman" w:cs="Times New Roman"/>
                <w:sz w:val="24"/>
                <w:szCs w:val="24"/>
              </w:rPr>
              <w:t>GPL96</w:t>
            </w:r>
            <w:r w:rsidRPr="00BF3D44">
              <w:rPr>
                <w:rFonts w:ascii="Times New Roman" w:hAnsi="Times New Roman" w:cs="Times New Roman"/>
                <w:sz w:val="24"/>
                <w:szCs w:val="24"/>
              </w:rPr>
              <w:tab/>
            </w:r>
          </w:p>
        </w:tc>
        <w:tc>
          <w:tcPr>
            <w:tcW w:w="0" w:type="auto"/>
            <w:shd w:val="clear" w:color="auto" w:fill="D0CECE" w:themeFill="background2" w:themeFillShade="E6"/>
          </w:tcPr>
          <w:p w14:paraId="43BFB451" w14:textId="77777777" w:rsidR="00701448" w:rsidRPr="003A3E08" w:rsidRDefault="00701448" w:rsidP="00657D28">
            <w:pPr>
              <w:rPr>
                <w:rFonts w:ascii="Times New Roman" w:hAnsi="Times New Roman" w:cs="Times New Roman"/>
                <w:sz w:val="24"/>
                <w:szCs w:val="24"/>
              </w:rPr>
            </w:pPr>
            <w:r w:rsidRPr="00F307A5">
              <w:rPr>
                <w:rFonts w:ascii="Times New Roman" w:hAnsi="Times New Roman" w:cs="Times New Roman"/>
                <w:bCs/>
                <w:sz w:val="24"/>
                <w:szCs w:val="24"/>
              </w:rPr>
              <w:t>Monocytes were induced to mature to macrophages with M-CSF. Cells were then activated with Interferon gamma and LPS or IL-4.</w:t>
            </w:r>
          </w:p>
        </w:tc>
        <w:tc>
          <w:tcPr>
            <w:tcW w:w="0" w:type="auto"/>
            <w:shd w:val="clear" w:color="auto" w:fill="D0CECE" w:themeFill="background2" w:themeFillShade="E6"/>
          </w:tcPr>
          <w:p w14:paraId="2C756E74" w14:textId="77777777" w:rsidR="00701448" w:rsidRPr="003A3E08" w:rsidRDefault="00701448" w:rsidP="00657D28">
            <w:pP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(M1) vs. 3(M2)</w:t>
            </w:r>
          </w:p>
        </w:tc>
      </w:tr>
      <w:tr w:rsidR="00701448" w:rsidRPr="003A3E08" w14:paraId="595C0673" w14:textId="77777777" w:rsidTr="00657D28">
        <w:tc>
          <w:tcPr>
            <w:tcW w:w="0" w:type="auto"/>
          </w:tcPr>
          <w:p w14:paraId="1CF1EC06" w14:textId="77777777" w:rsidR="00701448" w:rsidRPr="003A3E08" w:rsidRDefault="00701448" w:rsidP="00657D28">
            <w:pPr>
              <w:rPr>
                <w:rFonts w:ascii="Times New Roman" w:hAnsi="Times New Roman" w:cs="Times New Roman"/>
                <w:sz w:val="24"/>
                <w:szCs w:val="24"/>
              </w:rPr>
            </w:pPr>
            <w:r w:rsidRPr="00DC45A2">
              <w:rPr>
                <w:rFonts w:ascii="Times New Roman" w:hAnsi="Times New Roman" w:cs="Times New Roman"/>
                <w:sz w:val="24"/>
                <w:szCs w:val="24"/>
              </w:rPr>
              <w:t>GSE165004</w:t>
            </w:r>
          </w:p>
        </w:tc>
        <w:tc>
          <w:tcPr>
            <w:tcW w:w="0" w:type="auto"/>
          </w:tcPr>
          <w:p w14:paraId="07F8659E" w14:textId="77777777" w:rsidR="00701448" w:rsidRPr="003A3E08" w:rsidRDefault="00701448" w:rsidP="00657D28">
            <w:pPr>
              <w:rPr>
                <w:rFonts w:ascii="Times New Roman" w:hAnsi="Times New Roman" w:cs="Times New Roman"/>
                <w:sz w:val="24"/>
                <w:szCs w:val="24"/>
              </w:rPr>
            </w:pPr>
            <w:r>
              <w:rPr>
                <w:rFonts w:ascii="Times New Roman" w:hAnsi="Times New Roman" w:cs="Times New Roman"/>
                <w:bCs/>
                <w:sz w:val="24"/>
                <w:szCs w:val="24"/>
              </w:rPr>
              <w:t>E</w:t>
            </w:r>
            <w:r w:rsidRPr="003A3E08">
              <w:rPr>
                <w:rFonts w:ascii="Times New Roman" w:hAnsi="Times New Roman" w:cs="Times New Roman"/>
                <w:bCs/>
                <w:sz w:val="24"/>
                <w:szCs w:val="24"/>
              </w:rPr>
              <w:t>ndometrium</w:t>
            </w:r>
          </w:p>
        </w:tc>
        <w:tc>
          <w:tcPr>
            <w:tcW w:w="0" w:type="auto"/>
          </w:tcPr>
          <w:p w14:paraId="5F5F2428" w14:textId="77777777" w:rsidR="00701448" w:rsidRPr="003A3E08" w:rsidRDefault="00701448" w:rsidP="00657D28">
            <w:pPr>
              <w:rPr>
                <w:rFonts w:ascii="Times New Roman" w:hAnsi="Times New Roman" w:cs="Times New Roman"/>
                <w:sz w:val="24"/>
                <w:szCs w:val="24"/>
              </w:rPr>
            </w:pPr>
            <w:r w:rsidRPr="00BF3D44">
              <w:rPr>
                <w:rFonts w:ascii="Times New Roman" w:hAnsi="Times New Roman" w:cs="Times New Roman"/>
                <w:sz w:val="24"/>
                <w:szCs w:val="24"/>
              </w:rPr>
              <w:t>GPL16699</w:t>
            </w:r>
          </w:p>
        </w:tc>
        <w:tc>
          <w:tcPr>
            <w:tcW w:w="0" w:type="auto"/>
          </w:tcPr>
          <w:p w14:paraId="5FFAF07D" w14:textId="3E87D563" w:rsidR="00701448" w:rsidRPr="003A3E08" w:rsidRDefault="00701448" w:rsidP="00657D28">
            <w:pPr>
              <w:rPr>
                <w:rFonts w:ascii="Times New Roman" w:hAnsi="Times New Roman" w:cs="Times New Roman"/>
                <w:sz w:val="24"/>
                <w:szCs w:val="24"/>
              </w:rPr>
            </w:pPr>
            <w:r w:rsidRPr="00F307A5">
              <w:rPr>
                <w:rFonts w:ascii="Times New Roman" w:hAnsi="Times New Roman" w:cs="Times New Roman"/>
                <w:sz w:val="24"/>
                <w:szCs w:val="24"/>
              </w:rPr>
              <w:t xml:space="preserve">All patients involved in this prospective cohort study were recruited from Istanbul University School of Medicine between August 2014 and August 2015. Three cohorts (fertile controls, patients with RPL and UI) were studied. None of the patients has received a prior infertility treatment and were not under a current treatment. The first cohort comprised fertile control patients who presented to our gynecology department for well woman examinations. The inclusion criteria were regularly cycling women aged under 35 years with at least one live birth, no history of infertility/treatment, no previous miscarriages and no associated gynecologic (endometriosis, fibroids, active or history of pelvic inflammatory disease) or other medical comorbidities (hyperprolactinemia, thyroid disease </w:t>
            </w:r>
            <w:proofErr w:type="spellStart"/>
            <w:r w:rsidRPr="00F307A5">
              <w:rPr>
                <w:rFonts w:ascii="Times New Roman" w:hAnsi="Times New Roman" w:cs="Times New Roman"/>
                <w:sz w:val="24"/>
                <w:szCs w:val="24"/>
              </w:rPr>
              <w:t>etc</w:t>
            </w:r>
            <w:proofErr w:type="spellEnd"/>
            <w:r w:rsidRPr="00F307A5">
              <w:rPr>
                <w:rFonts w:ascii="Times New Roman" w:hAnsi="Times New Roman" w:cs="Times New Roman"/>
                <w:sz w:val="24"/>
                <w:szCs w:val="24"/>
              </w:rPr>
              <w:t xml:space="preserve">). The remaining cohorts constituted patients who presented to our in vitro fertilization (IVF) unit. The second cohort included patients with RPL with no history of successful pregnancies. The inclusion criteria </w:t>
            </w:r>
            <w:r w:rsidRPr="00F307A5">
              <w:rPr>
                <w:rFonts w:ascii="Times New Roman" w:hAnsi="Times New Roman" w:cs="Times New Roman"/>
                <w:sz w:val="24"/>
                <w:szCs w:val="24"/>
              </w:rPr>
              <w:lastRenderedPageBreak/>
              <w:t xml:space="preserve">for this group were regularly cycling women aged under 35 years with at least two consecutive pregnancy losses of 20 weeks or less, normal follicle-stimulating hormone (FSH), luteinizing hormone (LH), estradiol (E2), prolactin (PRL), and thyroid-stimulating hormone (TSH) levels at day 2-3, normal uterine cavity shape and size, and bilateral tubal patency observed on hysterosalpingogram, no mutations detected in Factor V (Leiden) and prothrombin gene analysis, normal antithrombin III, protein C and S activity, negative results for lupus anticoagulant evaluation, cardiolipin antibody (IgM and IgG), and beta2-glycoprotein antibody (IgM and IgG) and normal karyotype. Their partners have normal </w:t>
            </w:r>
            <w:proofErr w:type="spellStart"/>
            <w:r w:rsidRPr="00F307A5">
              <w:rPr>
                <w:rFonts w:ascii="Times New Roman" w:hAnsi="Times New Roman" w:cs="Times New Roman"/>
                <w:sz w:val="24"/>
                <w:szCs w:val="24"/>
              </w:rPr>
              <w:t>spermiogram</w:t>
            </w:r>
            <w:proofErr w:type="spellEnd"/>
            <w:r w:rsidRPr="00F307A5">
              <w:rPr>
                <w:rFonts w:ascii="Times New Roman" w:hAnsi="Times New Roman" w:cs="Times New Roman"/>
                <w:sz w:val="24"/>
                <w:szCs w:val="24"/>
              </w:rPr>
              <w:t xml:space="preserve"> results and normal karyotype. </w:t>
            </w:r>
          </w:p>
        </w:tc>
        <w:tc>
          <w:tcPr>
            <w:tcW w:w="0" w:type="auto"/>
          </w:tcPr>
          <w:p w14:paraId="38E8E312" w14:textId="57A3B5F1" w:rsidR="00701448" w:rsidRPr="003A3E08" w:rsidRDefault="00701448" w:rsidP="00657D28">
            <w:pPr>
              <w:rPr>
                <w:rFonts w:ascii="Times New Roman" w:hAnsi="Times New Roman" w:cs="Times New Roman"/>
                <w:sz w:val="24"/>
                <w:szCs w:val="24"/>
              </w:rPr>
            </w:pPr>
            <w:r>
              <w:rPr>
                <w:rFonts w:ascii="Times New Roman" w:hAnsi="Times New Roman" w:cs="Times New Roman" w:hint="eastAsia"/>
                <w:sz w:val="24"/>
                <w:szCs w:val="24"/>
              </w:rPr>
              <w:lastRenderedPageBreak/>
              <w:t>4</w:t>
            </w:r>
            <w:r>
              <w:rPr>
                <w:rFonts w:ascii="Times New Roman" w:hAnsi="Times New Roman" w:cs="Times New Roman"/>
                <w:sz w:val="24"/>
                <w:szCs w:val="24"/>
              </w:rPr>
              <w:t>8(RPL) vs. 24(CON)</w:t>
            </w:r>
          </w:p>
        </w:tc>
      </w:tr>
    </w:tbl>
    <w:p w14:paraId="3A704C9C" w14:textId="77777777" w:rsidR="00701448" w:rsidRDefault="00701448" w:rsidP="00701448"/>
    <w:p w14:paraId="18A26627" w14:textId="77777777" w:rsidR="006A184D" w:rsidRDefault="006A184D">
      <w:pPr>
        <w:sectPr w:rsidR="006A184D" w:rsidSect="00701448">
          <w:pgSz w:w="16838" w:h="11906" w:orient="landscape"/>
          <w:pgMar w:top="1800" w:right="1440" w:bottom="1800" w:left="1440" w:header="851" w:footer="992" w:gutter="0"/>
          <w:cols w:space="425"/>
          <w:docGrid w:type="lines" w:linePitch="312"/>
        </w:sectPr>
      </w:pPr>
    </w:p>
    <w:p w14:paraId="0589D8BF" w14:textId="77777777" w:rsidR="006A184D" w:rsidRPr="00AD303A" w:rsidRDefault="006A184D" w:rsidP="006A184D">
      <w:pPr>
        <w:spacing w:line="360" w:lineRule="auto"/>
        <w:rPr>
          <w:rFonts w:ascii="Times New Roman" w:hAnsi="Times New Roman" w:cs="Times New Roman"/>
          <w:b/>
          <w:bCs/>
          <w:sz w:val="24"/>
          <w:szCs w:val="24"/>
        </w:rPr>
      </w:pPr>
      <w:r w:rsidRPr="00AD303A">
        <w:rPr>
          <w:rFonts w:ascii="Times New Roman" w:hAnsi="Times New Roman" w:cs="Times New Roman"/>
          <w:b/>
          <w:bCs/>
          <w:sz w:val="24"/>
          <w:szCs w:val="24"/>
        </w:rPr>
        <w:lastRenderedPageBreak/>
        <w:t>Supplementary Table 2. Overview of the demographics and other characteristics of the recruited patients</w:t>
      </w:r>
    </w:p>
    <w:tbl>
      <w:tblPr>
        <w:tblStyle w:val="211"/>
        <w:tblW w:w="5000" w:type="pct"/>
        <w:tblBorders>
          <w:top w:val="single" w:sz="4" w:space="0" w:color="auto"/>
          <w:bottom w:val="none" w:sz="0" w:space="0" w:color="auto"/>
        </w:tblBorders>
        <w:tblLook w:val="04A0" w:firstRow="1" w:lastRow="0" w:firstColumn="1" w:lastColumn="0" w:noHBand="0" w:noVBand="1"/>
      </w:tblPr>
      <w:tblGrid>
        <w:gridCol w:w="2076"/>
        <w:gridCol w:w="2076"/>
        <w:gridCol w:w="2077"/>
        <w:gridCol w:w="2077"/>
      </w:tblGrid>
      <w:tr w:rsidR="006A184D" w:rsidRPr="00AD303A" w14:paraId="11220B91" w14:textId="77777777" w:rsidTr="00B0636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single" w:sz="12" w:space="0" w:color="auto"/>
              <w:bottom w:val="single" w:sz="8" w:space="0" w:color="auto"/>
            </w:tcBorders>
          </w:tcPr>
          <w:p w14:paraId="144CBD27" w14:textId="77777777" w:rsidR="006A184D" w:rsidRPr="00AD303A" w:rsidRDefault="006A184D" w:rsidP="00B06367">
            <w:pPr>
              <w:spacing w:line="360" w:lineRule="auto"/>
              <w:jc w:val="center"/>
              <w:rPr>
                <w:rFonts w:ascii="Times New Roman" w:eastAsia="宋体" w:hAnsi="Times New Roman"/>
                <w:sz w:val="24"/>
                <w:szCs w:val="24"/>
              </w:rPr>
            </w:pPr>
            <w:r w:rsidRPr="00AD303A">
              <w:rPr>
                <w:rFonts w:ascii="Times New Roman" w:eastAsia="宋体" w:hAnsi="Times New Roman"/>
                <w:sz w:val="24"/>
                <w:szCs w:val="24"/>
              </w:rPr>
              <w:t>Parameter</w:t>
            </w:r>
          </w:p>
        </w:tc>
        <w:tc>
          <w:tcPr>
            <w:tcW w:w="1250" w:type="pct"/>
            <w:tcBorders>
              <w:top w:val="single" w:sz="12" w:space="0" w:color="auto"/>
              <w:bottom w:val="single" w:sz="8" w:space="0" w:color="auto"/>
            </w:tcBorders>
          </w:tcPr>
          <w:p w14:paraId="5F01499F" w14:textId="77777777" w:rsidR="006A184D" w:rsidRPr="00AD303A" w:rsidRDefault="006A184D" w:rsidP="00B063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DER</w:t>
            </w:r>
          </w:p>
          <w:p w14:paraId="4F724B67" w14:textId="77777777" w:rsidR="006A184D" w:rsidRPr="00AD303A" w:rsidRDefault="006A184D" w:rsidP="00B063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N=16</w:t>
            </w:r>
          </w:p>
        </w:tc>
        <w:tc>
          <w:tcPr>
            <w:tcW w:w="1250" w:type="pct"/>
            <w:tcBorders>
              <w:top w:val="single" w:sz="12" w:space="0" w:color="auto"/>
              <w:bottom w:val="single" w:sz="8" w:space="0" w:color="auto"/>
            </w:tcBorders>
          </w:tcPr>
          <w:p w14:paraId="6EC384CF" w14:textId="77777777" w:rsidR="006A184D" w:rsidRPr="00AD303A" w:rsidRDefault="006A184D" w:rsidP="00B063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 xml:space="preserve">Control </w:t>
            </w:r>
          </w:p>
          <w:p w14:paraId="5DCAE399" w14:textId="77777777" w:rsidR="006A184D" w:rsidRPr="00AD303A" w:rsidRDefault="006A184D" w:rsidP="00B063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N=14</w:t>
            </w:r>
          </w:p>
        </w:tc>
        <w:tc>
          <w:tcPr>
            <w:tcW w:w="1250" w:type="pct"/>
            <w:tcBorders>
              <w:top w:val="single" w:sz="12" w:space="0" w:color="auto"/>
              <w:bottom w:val="single" w:sz="8" w:space="0" w:color="auto"/>
            </w:tcBorders>
          </w:tcPr>
          <w:p w14:paraId="4B8A3BB9" w14:textId="77777777" w:rsidR="006A184D" w:rsidRPr="00AD303A" w:rsidRDefault="006A184D" w:rsidP="00B063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i/>
                <w:iCs/>
                <w:sz w:val="24"/>
                <w:szCs w:val="24"/>
              </w:rPr>
            </w:pPr>
            <w:r w:rsidRPr="00AD303A">
              <w:rPr>
                <w:rFonts w:ascii="Times New Roman" w:eastAsia="宋体" w:hAnsi="Times New Roman"/>
                <w:i/>
                <w:iCs/>
                <w:sz w:val="24"/>
                <w:szCs w:val="24"/>
              </w:rPr>
              <w:t>P</w:t>
            </w:r>
          </w:p>
        </w:tc>
      </w:tr>
      <w:tr w:rsidR="006A184D" w:rsidRPr="00AD303A" w14:paraId="0E3BDB3C" w14:textId="77777777" w:rsidTr="00B0636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single" w:sz="8" w:space="0" w:color="auto"/>
              <w:bottom w:val="nil"/>
            </w:tcBorders>
          </w:tcPr>
          <w:p w14:paraId="6222679B" w14:textId="77777777" w:rsidR="006A184D" w:rsidRPr="00AD303A" w:rsidRDefault="006A184D" w:rsidP="00B06367">
            <w:pPr>
              <w:spacing w:line="360" w:lineRule="auto"/>
              <w:rPr>
                <w:rFonts w:ascii="Times New Roman" w:eastAsia="宋体" w:hAnsi="Times New Roman"/>
                <w:sz w:val="24"/>
                <w:szCs w:val="24"/>
              </w:rPr>
            </w:pPr>
            <w:r w:rsidRPr="00AD303A">
              <w:rPr>
                <w:rFonts w:ascii="Times New Roman" w:eastAsia="宋体" w:hAnsi="Times New Roman"/>
                <w:sz w:val="24"/>
                <w:szCs w:val="24"/>
              </w:rPr>
              <w:t>Age, mean (SD)</w:t>
            </w:r>
          </w:p>
        </w:tc>
        <w:tc>
          <w:tcPr>
            <w:tcW w:w="1250" w:type="pct"/>
            <w:tcBorders>
              <w:top w:val="single" w:sz="8" w:space="0" w:color="auto"/>
              <w:bottom w:val="nil"/>
            </w:tcBorders>
          </w:tcPr>
          <w:p w14:paraId="5CED8C69" w14:textId="77777777" w:rsidR="006A184D" w:rsidRPr="00AD303A" w:rsidRDefault="006A184D" w:rsidP="00B063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32.06 (3.91)</w:t>
            </w:r>
          </w:p>
        </w:tc>
        <w:tc>
          <w:tcPr>
            <w:tcW w:w="1250" w:type="pct"/>
            <w:tcBorders>
              <w:top w:val="single" w:sz="8" w:space="0" w:color="auto"/>
              <w:bottom w:val="nil"/>
            </w:tcBorders>
          </w:tcPr>
          <w:p w14:paraId="20306F97" w14:textId="77777777" w:rsidR="006A184D" w:rsidRPr="00AD303A" w:rsidRDefault="006A184D" w:rsidP="00B063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30.64 (4.63)</w:t>
            </w:r>
          </w:p>
        </w:tc>
        <w:tc>
          <w:tcPr>
            <w:tcW w:w="1250" w:type="pct"/>
            <w:tcBorders>
              <w:top w:val="single" w:sz="8" w:space="0" w:color="auto"/>
              <w:bottom w:val="nil"/>
            </w:tcBorders>
          </w:tcPr>
          <w:p w14:paraId="7D35A65B" w14:textId="77777777" w:rsidR="006A184D" w:rsidRPr="00AD303A" w:rsidRDefault="006A184D" w:rsidP="00B063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i/>
                <w:iCs/>
                <w:sz w:val="24"/>
                <w:szCs w:val="24"/>
              </w:rPr>
              <w:t>P</w:t>
            </w:r>
            <w:r w:rsidRPr="00AD303A">
              <w:rPr>
                <w:rFonts w:ascii="Times New Roman" w:eastAsia="宋体" w:hAnsi="Times New Roman"/>
                <w:sz w:val="24"/>
                <w:szCs w:val="24"/>
              </w:rPr>
              <w:t xml:space="preserve"> = 0.37</w:t>
            </w:r>
          </w:p>
        </w:tc>
      </w:tr>
      <w:tr w:rsidR="006A184D" w:rsidRPr="00AD303A" w14:paraId="6FC464C7" w14:textId="77777777" w:rsidTr="00B06367">
        <w:trPr>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tcBorders>
          </w:tcPr>
          <w:p w14:paraId="29564F1C" w14:textId="77777777" w:rsidR="006A184D" w:rsidRPr="00AD303A" w:rsidRDefault="006A184D" w:rsidP="00B06367">
            <w:pPr>
              <w:spacing w:line="360" w:lineRule="auto"/>
              <w:rPr>
                <w:rFonts w:ascii="Times New Roman" w:eastAsia="宋体" w:hAnsi="Times New Roman"/>
                <w:sz w:val="24"/>
                <w:szCs w:val="24"/>
              </w:rPr>
            </w:pPr>
            <w:r w:rsidRPr="00AD303A">
              <w:rPr>
                <w:rFonts w:ascii="Times New Roman" w:eastAsia="宋体" w:hAnsi="Times New Roman"/>
                <w:sz w:val="24"/>
                <w:szCs w:val="24"/>
              </w:rPr>
              <w:t>BMI, mean (SD)</w:t>
            </w:r>
          </w:p>
        </w:tc>
        <w:tc>
          <w:tcPr>
            <w:tcW w:w="1250" w:type="pct"/>
            <w:tcBorders>
              <w:top w:val="nil"/>
              <w:bottom w:val="nil"/>
            </w:tcBorders>
          </w:tcPr>
          <w:p w14:paraId="6F25B57E" w14:textId="77777777" w:rsidR="006A184D" w:rsidRPr="00AD303A" w:rsidRDefault="006A184D" w:rsidP="00B0636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23.10 (5.12)</w:t>
            </w:r>
          </w:p>
        </w:tc>
        <w:tc>
          <w:tcPr>
            <w:tcW w:w="1250" w:type="pct"/>
            <w:tcBorders>
              <w:top w:val="nil"/>
              <w:bottom w:val="nil"/>
            </w:tcBorders>
          </w:tcPr>
          <w:p w14:paraId="14B09830" w14:textId="77777777" w:rsidR="006A184D" w:rsidRPr="00AD303A" w:rsidRDefault="006A184D" w:rsidP="00B0636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22.30 (4.90)</w:t>
            </w:r>
          </w:p>
        </w:tc>
        <w:tc>
          <w:tcPr>
            <w:tcW w:w="1250" w:type="pct"/>
            <w:tcBorders>
              <w:top w:val="nil"/>
              <w:bottom w:val="nil"/>
            </w:tcBorders>
          </w:tcPr>
          <w:p w14:paraId="55CB3530" w14:textId="77777777" w:rsidR="006A184D" w:rsidRPr="00AD303A" w:rsidRDefault="006A184D" w:rsidP="00B0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i/>
                <w:iCs/>
                <w:sz w:val="24"/>
                <w:szCs w:val="24"/>
              </w:rPr>
              <w:t>P</w:t>
            </w:r>
            <w:r w:rsidRPr="00AD303A">
              <w:rPr>
                <w:rFonts w:ascii="Times New Roman" w:eastAsia="宋体" w:hAnsi="Times New Roman"/>
                <w:sz w:val="24"/>
                <w:szCs w:val="24"/>
              </w:rPr>
              <w:t xml:space="preserve"> =0.71</w:t>
            </w:r>
          </w:p>
        </w:tc>
      </w:tr>
      <w:tr w:rsidR="006A184D" w:rsidRPr="00AD303A" w14:paraId="5B487D58" w14:textId="77777777" w:rsidTr="00B0636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tcBorders>
          </w:tcPr>
          <w:p w14:paraId="5C5B072D" w14:textId="77777777" w:rsidR="006A184D" w:rsidRPr="00AD303A" w:rsidRDefault="006A184D" w:rsidP="00B06367">
            <w:pPr>
              <w:spacing w:line="360" w:lineRule="auto"/>
              <w:rPr>
                <w:rFonts w:ascii="Times New Roman" w:eastAsia="宋体" w:hAnsi="Times New Roman"/>
                <w:sz w:val="24"/>
                <w:szCs w:val="24"/>
              </w:rPr>
            </w:pPr>
            <w:r w:rsidRPr="00AD303A">
              <w:rPr>
                <w:rFonts w:ascii="Times New Roman" w:eastAsia="宋体" w:hAnsi="Times New Roman"/>
                <w:sz w:val="24"/>
                <w:szCs w:val="24"/>
              </w:rPr>
              <w:t>Length of menstrual cycle, median (range)</w:t>
            </w:r>
          </w:p>
        </w:tc>
        <w:tc>
          <w:tcPr>
            <w:tcW w:w="1250" w:type="pct"/>
            <w:tcBorders>
              <w:top w:val="nil"/>
              <w:bottom w:val="nil"/>
            </w:tcBorders>
          </w:tcPr>
          <w:p w14:paraId="2B2F1DF1" w14:textId="77777777" w:rsidR="006A184D" w:rsidRPr="00AD303A" w:rsidRDefault="006A184D" w:rsidP="00B063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28 (23, 40)</w:t>
            </w:r>
          </w:p>
        </w:tc>
        <w:tc>
          <w:tcPr>
            <w:tcW w:w="1250" w:type="pct"/>
            <w:tcBorders>
              <w:top w:val="nil"/>
              <w:bottom w:val="nil"/>
            </w:tcBorders>
          </w:tcPr>
          <w:p w14:paraId="499C8329" w14:textId="77777777" w:rsidR="006A184D" w:rsidRPr="00AD303A" w:rsidRDefault="006A184D" w:rsidP="00B063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30 (25, 50)</w:t>
            </w:r>
          </w:p>
        </w:tc>
        <w:tc>
          <w:tcPr>
            <w:tcW w:w="1250" w:type="pct"/>
            <w:tcBorders>
              <w:top w:val="nil"/>
              <w:bottom w:val="nil"/>
            </w:tcBorders>
          </w:tcPr>
          <w:p w14:paraId="1460A938" w14:textId="77777777" w:rsidR="006A184D" w:rsidRPr="00AD303A" w:rsidRDefault="006A184D" w:rsidP="00B063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i/>
                <w:iCs/>
                <w:sz w:val="24"/>
                <w:szCs w:val="24"/>
              </w:rPr>
              <w:t>P =</w:t>
            </w:r>
            <w:r w:rsidRPr="00AD303A">
              <w:rPr>
                <w:rFonts w:ascii="Times New Roman" w:eastAsia="宋体" w:hAnsi="Times New Roman"/>
                <w:sz w:val="24"/>
                <w:szCs w:val="24"/>
              </w:rPr>
              <w:t>0.06</w:t>
            </w:r>
          </w:p>
        </w:tc>
      </w:tr>
      <w:tr w:rsidR="006A184D" w:rsidRPr="00AD303A" w14:paraId="3EA98FC4" w14:textId="77777777" w:rsidTr="00B06367">
        <w:trPr>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tcBorders>
          </w:tcPr>
          <w:p w14:paraId="06FD750F" w14:textId="77777777" w:rsidR="006A184D" w:rsidRPr="00AD303A" w:rsidRDefault="006A184D" w:rsidP="00B06367">
            <w:pPr>
              <w:spacing w:line="360" w:lineRule="auto"/>
              <w:rPr>
                <w:rFonts w:ascii="Times New Roman" w:eastAsia="宋体" w:hAnsi="Times New Roman"/>
                <w:sz w:val="24"/>
                <w:szCs w:val="24"/>
              </w:rPr>
            </w:pPr>
            <w:r w:rsidRPr="00AD303A">
              <w:rPr>
                <w:rFonts w:ascii="Times New Roman" w:eastAsia="宋体" w:hAnsi="Times New Roman"/>
                <w:sz w:val="24"/>
                <w:szCs w:val="24"/>
              </w:rPr>
              <w:t>Gravidity, median (range)</w:t>
            </w:r>
          </w:p>
        </w:tc>
        <w:tc>
          <w:tcPr>
            <w:tcW w:w="1250" w:type="pct"/>
            <w:tcBorders>
              <w:top w:val="nil"/>
              <w:bottom w:val="nil"/>
            </w:tcBorders>
          </w:tcPr>
          <w:p w14:paraId="44807CFE" w14:textId="67F5D9C2" w:rsidR="006A184D" w:rsidRPr="00AD303A" w:rsidRDefault="006A184D" w:rsidP="00B0636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2 (</w:t>
            </w:r>
            <w:r w:rsidR="00810DA5">
              <w:rPr>
                <w:rFonts w:ascii="Times New Roman" w:eastAsia="宋体" w:hAnsi="Times New Roman"/>
                <w:sz w:val="24"/>
                <w:szCs w:val="24"/>
              </w:rPr>
              <w:t>2</w:t>
            </w:r>
            <w:r w:rsidRPr="00AD303A">
              <w:rPr>
                <w:rFonts w:ascii="Times New Roman" w:eastAsia="宋体" w:hAnsi="Times New Roman"/>
                <w:sz w:val="24"/>
                <w:szCs w:val="24"/>
              </w:rPr>
              <w:t>, 4)</w:t>
            </w:r>
          </w:p>
        </w:tc>
        <w:tc>
          <w:tcPr>
            <w:tcW w:w="1250" w:type="pct"/>
            <w:tcBorders>
              <w:top w:val="nil"/>
              <w:bottom w:val="nil"/>
            </w:tcBorders>
          </w:tcPr>
          <w:p w14:paraId="1047ED20" w14:textId="72498E89" w:rsidR="006A184D" w:rsidRPr="00AD303A" w:rsidRDefault="006A184D" w:rsidP="00B0636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2 (</w:t>
            </w:r>
            <w:r w:rsidR="00810DA5">
              <w:rPr>
                <w:rFonts w:ascii="Times New Roman" w:eastAsia="宋体" w:hAnsi="Times New Roman"/>
                <w:sz w:val="24"/>
                <w:szCs w:val="24"/>
              </w:rPr>
              <w:t>1</w:t>
            </w:r>
            <w:r w:rsidRPr="00AD303A">
              <w:rPr>
                <w:rFonts w:ascii="Times New Roman" w:eastAsia="宋体" w:hAnsi="Times New Roman"/>
                <w:sz w:val="24"/>
                <w:szCs w:val="24"/>
              </w:rPr>
              <w:t>, 4)</w:t>
            </w:r>
          </w:p>
        </w:tc>
        <w:tc>
          <w:tcPr>
            <w:tcW w:w="1250" w:type="pct"/>
            <w:tcBorders>
              <w:top w:val="nil"/>
              <w:bottom w:val="nil"/>
            </w:tcBorders>
          </w:tcPr>
          <w:p w14:paraId="326097BA" w14:textId="77777777" w:rsidR="006A184D" w:rsidRPr="00AD303A" w:rsidRDefault="006A184D" w:rsidP="00B0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FF0000"/>
                <w:sz w:val="24"/>
                <w:szCs w:val="24"/>
              </w:rPr>
            </w:pPr>
            <w:r w:rsidRPr="00AD303A">
              <w:rPr>
                <w:rFonts w:ascii="Times New Roman" w:eastAsia="宋体" w:hAnsi="Times New Roman"/>
                <w:i/>
                <w:iCs/>
                <w:sz w:val="24"/>
                <w:szCs w:val="24"/>
              </w:rPr>
              <w:t>P</w:t>
            </w:r>
            <w:r w:rsidRPr="00AD303A">
              <w:rPr>
                <w:rFonts w:ascii="Times New Roman" w:eastAsia="宋体" w:hAnsi="Times New Roman"/>
                <w:sz w:val="24"/>
                <w:szCs w:val="24"/>
              </w:rPr>
              <w:t>=0.95</w:t>
            </w:r>
          </w:p>
        </w:tc>
      </w:tr>
      <w:tr w:rsidR="006A184D" w:rsidRPr="00AD303A" w14:paraId="68F14216" w14:textId="77777777" w:rsidTr="00B0636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tcBorders>
          </w:tcPr>
          <w:p w14:paraId="09FD19D7" w14:textId="77777777" w:rsidR="006A184D" w:rsidRPr="00AD303A" w:rsidRDefault="006A184D" w:rsidP="00B06367">
            <w:pPr>
              <w:spacing w:line="360" w:lineRule="auto"/>
              <w:rPr>
                <w:rFonts w:ascii="Times New Roman" w:eastAsia="宋体" w:hAnsi="Times New Roman"/>
                <w:sz w:val="24"/>
                <w:szCs w:val="24"/>
              </w:rPr>
            </w:pPr>
            <w:r w:rsidRPr="00AD303A">
              <w:rPr>
                <w:rFonts w:ascii="Times New Roman" w:eastAsia="宋体" w:hAnsi="Times New Roman"/>
                <w:sz w:val="24"/>
                <w:szCs w:val="24"/>
              </w:rPr>
              <w:t>Parity, median (range)</w:t>
            </w:r>
          </w:p>
        </w:tc>
        <w:tc>
          <w:tcPr>
            <w:tcW w:w="1250" w:type="pct"/>
            <w:tcBorders>
              <w:top w:val="nil"/>
              <w:bottom w:val="nil"/>
            </w:tcBorders>
          </w:tcPr>
          <w:p w14:paraId="4DD4F318" w14:textId="77777777" w:rsidR="006A184D" w:rsidRPr="00AD303A" w:rsidRDefault="006A184D" w:rsidP="00B063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0 (0, 1)</w:t>
            </w:r>
          </w:p>
        </w:tc>
        <w:tc>
          <w:tcPr>
            <w:tcW w:w="1250" w:type="pct"/>
            <w:tcBorders>
              <w:top w:val="nil"/>
              <w:bottom w:val="nil"/>
            </w:tcBorders>
          </w:tcPr>
          <w:p w14:paraId="7D7EBD13" w14:textId="77777777" w:rsidR="006A184D" w:rsidRPr="00AD303A" w:rsidRDefault="006A184D" w:rsidP="00B063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1 (1, 2)</w:t>
            </w:r>
          </w:p>
        </w:tc>
        <w:tc>
          <w:tcPr>
            <w:tcW w:w="1250" w:type="pct"/>
            <w:tcBorders>
              <w:top w:val="nil"/>
              <w:bottom w:val="nil"/>
            </w:tcBorders>
          </w:tcPr>
          <w:p w14:paraId="02288E8C" w14:textId="77777777" w:rsidR="006A184D" w:rsidRPr="00AD303A" w:rsidRDefault="006A184D" w:rsidP="00B063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i/>
                <w:iCs/>
                <w:sz w:val="24"/>
                <w:szCs w:val="24"/>
              </w:rPr>
              <w:t>P</w:t>
            </w:r>
            <w:r w:rsidRPr="00AD303A">
              <w:rPr>
                <w:rFonts w:ascii="Times New Roman" w:eastAsia="宋体" w:hAnsi="Times New Roman"/>
                <w:sz w:val="24"/>
                <w:szCs w:val="24"/>
              </w:rPr>
              <w:t>=6.51×10</w:t>
            </w:r>
            <w:r w:rsidRPr="00AD303A">
              <w:rPr>
                <w:rFonts w:ascii="Times New Roman" w:eastAsia="宋体" w:hAnsi="Times New Roman"/>
                <w:sz w:val="24"/>
                <w:szCs w:val="24"/>
                <w:vertAlign w:val="superscript"/>
              </w:rPr>
              <w:t>5</w:t>
            </w:r>
          </w:p>
        </w:tc>
      </w:tr>
      <w:tr w:rsidR="006A184D" w:rsidRPr="00AD303A" w14:paraId="73E3B7AD" w14:textId="77777777" w:rsidTr="00B06367">
        <w:trPr>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tcBorders>
          </w:tcPr>
          <w:p w14:paraId="0A812CCD" w14:textId="77777777" w:rsidR="006A184D" w:rsidRPr="00AD303A" w:rsidRDefault="006A184D" w:rsidP="00B06367">
            <w:pPr>
              <w:spacing w:line="360" w:lineRule="auto"/>
              <w:rPr>
                <w:rFonts w:ascii="Times New Roman" w:eastAsia="宋体" w:hAnsi="Times New Roman"/>
                <w:sz w:val="24"/>
                <w:szCs w:val="24"/>
              </w:rPr>
            </w:pPr>
            <w:r w:rsidRPr="00AD303A">
              <w:rPr>
                <w:rFonts w:ascii="Times New Roman" w:eastAsia="宋体" w:hAnsi="Times New Roman"/>
                <w:sz w:val="24"/>
                <w:szCs w:val="24"/>
              </w:rPr>
              <w:t>PBAS, median (range)</w:t>
            </w:r>
          </w:p>
        </w:tc>
        <w:tc>
          <w:tcPr>
            <w:tcW w:w="1250" w:type="pct"/>
            <w:tcBorders>
              <w:top w:val="nil"/>
              <w:bottom w:val="nil"/>
            </w:tcBorders>
          </w:tcPr>
          <w:p w14:paraId="18A060AF" w14:textId="77777777" w:rsidR="006A184D" w:rsidRPr="00AD303A" w:rsidRDefault="006A184D" w:rsidP="00B0636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vertAlign w:val="superscript"/>
              </w:rPr>
            </w:pPr>
            <w:r w:rsidRPr="00AD303A">
              <w:rPr>
                <w:rFonts w:ascii="Times New Roman" w:eastAsia="宋体" w:hAnsi="Times New Roman"/>
                <w:sz w:val="24"/>
                <w:szCs w:val="24"/>
              </w:rPr>
              <w:t>42 (15, 187)</w:t>
            </w:r>
          </w:p>
        </w:tc>
        <w:tc>
          <w:tcPr>
            <w:tcW w:w="1250" w:type="pct"/>
            <w:tcBorders>
              <w:top w:val="nil"/>
              <w:bottom w:val="nil"/>
            </w:tcBorders>
          </w:tcPr>
          <w:p w14:paraId="5BA9D37E" w14:textId="77777777" w:rsidR="006A184D" w:rsidRPr="00AD303A" w:rsidRDefault="006A184D" w:rsidP="00B0636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vertAlign w:val="superscript"/>
              </w:rPr>
            </w:pPr>
            <w:r w:rsidRPr="00AD303A">
              <w:rPr>
                <w:rFonts w:ascii="Times New Roman" w:eastAsia="宋体" w:hAnsi="Times New Roman"/>
                <w:sz w:val="24"/>
                <w:szCs w:val="24"/>
              </w:rPr>
              <w:t>46 (33, 114)</w:t>
            </w:r>
          </w:p>
        </w:tc>
        <w:tc>
          <w:tcPr>
            <w:tcW w:w="1250" w:type="pct"/>
            <w:tcBorders>
              <w:top w:val="nil"/>
              <w:bottom w:val="nil"/>
            </w:tcBorders>
          </w:tcPr>
          <w:p w14:paraId="1D237246" w14:textId="77777777" w:rsidR="006A184D" w:rsidRPr="00AD303A" w:rsidRDefault="006A184D" w:rsidP="00B0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i/>
                <w:iCs/>
                <w:sz w:val="24"/>
                <w:szCs w:val="24"/>
              </w:rPr>
              <w:t>P</w:t>
            </w:r>
            <w:r w:rsidRPr="00AD303A">
              <w:rPr>
                <w:rFonts w:ascii="Times New Roman" w:eastAsia="宋体" w:hAnsi="Times New Roman"/>
                <w:sz w:val="24"/>
                <w:szCs w:val="24"/>
              </w:rPr>
              <w:t>=0.58</w:t>
            </w:r>
          </w:p>
        </w:tc>
      </w:tr>
      <w:tr w:rsidR="006A184D" w:rsidRPr="00AD303A" w14:paraId="21F43290" w14:textId="77777777" w:rsidTr="00B0636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tcBorders>
          </w:tcPr>
          <w:p w14:paraId="020A564C" w14:textId="77777777" w:rsidR="006A184D" w:rsidRPr="00AD303A" w:rsidRDefault="006A184D" w:rsidP="00B06367">
            <w:pPr>
              <w:spacing w:line="360" w:lineRule="auto"/>
              <w:rPr>
                <w:rFonts w:ascii="Times New Roman" w:eastAsia="宋体" w:hAnsi="Times New Roman"/>
                <w:sz w:val="24"/>
                <w:szCs w:val="24"/>
              </w:rPr>
            </w:pPr>
            <w:proofErr w:type="spellStart"/>
            <w:r w:rsidRPr="00AD303A">
              <w:rPr>
                <w:rFonts w:ascii="Times New Roman" w:eastAsia="宋体" w:hAnsi="Times New Roman"/>
                <w:sz w:val="24"/>
                <w:szCs w:val="24"/>
              </w:rPr>
              <w:t>Dysmenorrhoea</w:t>
            </w:r>
            <w:proofErr w:type="spellEnd"/>
            <w:r w:rsidRPr="00AD303A">
              <w:rPr>
                <w:rFonts w:ascii="Times New Roman" w:eastAsia="宋体" w:hAnsi="Times New Roman"/>
                <w:sz w:val="24"/>
                <w:szCs w:val="24"/>
              </w:rPr>
              <w:t>, median (range)</w:t>
            </w:r>
          </w:p>
        </w:tc>
        <w:tc>
          <w:tcPr>
            <w:tcW w:w="1250" w:type="pct"/>
            <w:tcBorders>
              <w:top w:val="nil"/>
              <w:bottom w:val="nil"/>
            </w:tcBorders>
          </w:tcPr>
          <w:p w14:paraId="619D4B31" w14:textId="77777777" w:rsidR="006A184D" w:rsidRPr="00AD303A" w:rsidRDefault="006A184D" w:rsidP="00B063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0 (0, 7)</w:t>
            </w:r>
          </w:p>
        </w:tc>
        <w:tc>
          <w:tcPr>
            <w:tcW w:w="1250" w:type="pct"/>
            <w:tcBorders>
              <w:top w:val="nil"/>
              <w:bottom w:val="nil"/>
            </w:tcBorders>
          </w:tcPr>
          <w:p w14:paraId="6A5A8FBC" w14:textId="77777777" w:rsidR="006A184D" w:rsidRPr="00AD303A" w:rsidRDefault="006A184D" w:rsidP="00B063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0 (0, 4)</w:t>
            </w:r>
          </w:p>
        </w:tc>
        <w:tc>
          <w:tcPr>
            <w:tcW w:w="1250" w:type="pct"/>
            <w:tcBorders>
              <w:top w:val="nil"/>
              <w:bottom w:val="nil"/>
            </w:tcBorders>
          </w:tcPr>
          <w:p w14:paraId="2F491696" w14:textId="77777777" w:rsidR="006A184D" w:rsidRPr="00AD303A" w:rsidRDefault="006A184D" w:rsidP="00B063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i/>
                <w:iCs/>
                <w:sz w:val="24"/>
                <w:szCs w:val="24"/>
              </w:rPr>
              <w:t>P</w:t>
            </w:r>
            <w:r w:rsidRPr="00AD303A">
              <w:rPr>
                <w:rFonts w:ascii="Times New Roman" w:eastAsia="宋体" w:hAnsi="Times New Roman"/>
                <w:sz w:val="24"/>
                <w:szCs w:val="24"/>
              </w:rPr>
              <w:t xml:space="preserve"> =0.60 </w:t>
            </w:r>
          </w:p>
        </w:tc>
      </w:tr>
      <w:tr w:rsidR="006A184D" w:rsidRPr="00AD303A" w14:paraId="5A69C95D" w14:textId="77777777" w:rsidTr="00B06367">
        <w:trPr>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single" w:sz="12" w:space="0" w:color="auto"/>
            </w:tcBorders>
          </w:tcPr>
          <w:p w14:paraId="30448F63" w14:textId="77777777" w:rsidR="006A184D" w:rsidRPr="00AD303A" w:rsidRDefault="006A184D" w:rsidP="00B06367">
            <w:pPr>
              <w:spacing w:line="360" w:lineRule="auto"/>
              <w:rPr>
                <w:rFonts w:ascii="Times New Roman" w:eastAsia="宋体" w:hAnsi="Times New Roman"/>
                <w:sz w:val="24"/>
                <w:szCs w:val="24"/>
              </w:rPr>
            </w:pPr>
            <w:r w:rsidRPr="00AD303A">
              <w:rPr>
                <w:rFonts w:ascii="Times New Roman" w:eastAsia="宋体" w:hAnsi="Times New Roman"/>
                <w:sz w:val="24"/>
                <w:szCs w:val="24"/>
              </w:rPr>
              <w:t>Previous uterine procedure, median (range)</w:t>
            </w:r>
          </w:p>
        </w:tc>
        <w:tc>
          <w:tcPr>
            <w:tcW w:w="1250" w:type="pct"/>
            <w:tcBorders>
              <w:top w:val="nil"/>
              <w:bottom w:val="single" w:sz="12" w:space="0" w:color="auto"/>
            </w:tcBorders>
          </w:tcPr>
          <w:p w14:paraId="513D90F8" w14:textId="77777777" w:rsidR="006A184D" w:rsidRPr="00AD303A" w:rsidRDefault="006A184D" w:rsidP="00B0636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2 (1, 4)</w:t>
            </w:r>
          </w:p>
        </w:tc>
        <w:tc>
          <w:tcPr>
            <w:tcW w:w="1250" w:type="pct"/>
            <w:tcBorders>
              <w:top w:val="nil"/>
              <w:bottom w:val="single" w:sz="12" w:space="0" w:color="auto"/>
            </w:tcBorders>
          </w:tcPr>
          <w:p w14:paraId="41EF694A" w14:textId="77777777" w:rsidR="006A184D" w:rsidRPr="00AD303A" w:rsidRDefault="006A184D" w:rsidP="00B0636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1 (0, 3)</w:t>
            </w:r>
          </w:p>
        </w:tc>
        <w:tc>
          <w:tcPr>
            <w:tcW w:w="1250" w:type="pct"/>
            <w:tcBorders>
              <w:top w:val="nil"/>
              <w:bottom w:val="single" w:sz="12" w:space="0" w:color="auto"/>
            </w:tcBorders>
          </w:tcPr>
          <w:p w14:paraId="18A704A4" w14:textId="77777777" w:rsidR="006A184D" w:rsidRPr="00AD303A" w:rsidRDefault="006A184D" w:rsidP="00B0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FF0000"/>
                <w:sz w:val="24"/>
                <w:szCs w:val="24"/>
              </w:rPr>
            </w:pPr>
            <w:r w:rsidRPr="00AD303A">
              <w:rPr>
                <w:rFonts w:ascii="Times New Roman" w:eastAsia="宋体" w:hAnsi="Times New Roman"/>
                <w:i/>
                <w:iCs/>
                <w:sz w:val="24"/>
                <w:szCs w:val="24"/>
              </w:rPr>
              <w:t>P</w:t>
            </w:r>
            <w:r w:rsidRPr="00AD303A">
              <w:rPr>
                <w:rFonts w:ascii="Times New Roman" w:eastAsia="宋体" w:hAnsi="Times New Roman"/>
                <w:sz w:val="24"/>
                <w:szCs w:val="24"/>
              </w:rPr>
              <w:t>=0.10</w:t>
            </w:r>
          </w:p>
        </w:tc>
      </w:tr>
    </w:tbl>
    <w:p w14:paraId="275EE10F" w14:textId="77777777" w:rsidR="006A184D" w:rsidRPr="00AD303A" w:rsidRDefault="006A184D" w:rsidP="006A184D">
      <w:pPr>
        <w:spacing w:line="360" w:lineRule="auto"/>
        <w:rPr>
          <w:rFonts w:ascii="Times New Roman" w:hAnsi="Times New Roman" w:cs="Times New Roman"/>
          <w:sz w:val="24"/>
          <w:szCs w:val="24"/>
        </w:rPr>
      </w:pPr>
      <w:r w:rsidRPr="00AD303A">
        <w:rPr>
          <w:rFonts w:ascii="Times New Roman" w:hAnsi="Times New Roman" w:cs="Times New Roman"/>
          <w:b/>
          <w:bCs/>
          <w:sz w:val="24"/>
          <w:szCs w:val="24"/>
        </w:rPr>
        <w:t xml:space="preserve">Abbreviations: </w:t>
      </w:r>
      <w:r w:rsidRPr="00AD303A">
        <w:rPr>
          <w:rFonts w:ascii="Times New Roman" w:hAnsi="Times New Roman" w:cs="Times New Roman"/>
          <w:sz w:val="24"/>
          <w:szCs w:val="24"/>
        </w:rPr>
        <w:t>AFS, American Fertility Society; PBAC, pictorial blood loss assessment chart.</w:t>
      </w:r>
    </w:p>
    <w:p w14:paraId="7DECC1FB" w14:textId="77777777" w:rsidR="006A184D" w:rsidRPr="0068315B" w:rsidRDefault="006A184D" w:rsidP="006A184D"/>
    <w:p w14:paraId="25A956AF" w14:textId="77777777" w:rsidR="006A184D" w:rsidRDefault="006A184D">
      <w:pPr>
        <w:sectPr w:rsidR="006A184D">
          <w:pgSz w:w="11906" w:h="16838"/>
          <w:pgMar w:top="1440" w:right="1800" w:bottom="1440" w:left="1800" w:header="851" w:footer="992" w:gutter="0"/>
          <w:cols w:space="425"/>
          <w:docGrid w:type="lines" w:linePitch="312"/>
        </w:sectPr>
      </w:pPr>
    </w:p>
    <w:p w14:paraId="36532B47" w14:textId="77777777" w:rsidR="006A184D" w:rsidRPr="00923EDA" w:rsidRDefault="006A184D" w:rsidP="006A184D">
      <w:pPr>
        <w:pStyle w:val="2"/>
        <w:adjustRightInd w:val="0"/>
        <w:snapToGrid w:val="0"/>
        <w:spacing w:line="360" w:lineRule="auto"/>
        <w:ind w:leftChars="23" w:left="432" w:hangingChars="160"/>
        <w:jc w:val="center"/>
        <w:rPr>
          <w:rFonts w:ascii="Times New Roman" w:hAnsi="Times New Roman" w:cs="Times New Roman"/>
          <w:b/>
          <w:bCs/>
          <w:szCs w:val="24"/>
        </w:rPr>
      </w:pPr>
      <w:r w:rsidRPr="00923EDA">
        <w:rPr>
          <w:rFonts w:ascii="Times New Roman" w:hAnsi="Times New Roman" w:cs="Times New Roman"/>
          <w:b/>
          <w:bCs/>
          <w:szCs w:val="24"/>
        </w:rPr>
        <w:lastRenderedPageBreak/>
        <w:t>Supplementary Table 3</w:t>
      </w:r>
      <w:r w:rsidRPr="00923EDA">
        <w:rPr>
          <w:rFonts w:ascii="Times New Roman" w:hAnsi="Times New Roman" w:cs="Times New Roman"/>
          <w:b/>
          <w:bCs/>
          <w:szCs w:val="24"/>
          <w:lang w:eastAsia="zh-CN"/>
        </w:rPr>
        <w:t>.</w:t>
      </w:r>
      <w:r w:rsidRPr="00923EDA">
        <w:rPr>
          <w:rFonts w:ascii="Times New Roman" w:hAnsi="Times New Roman" w:cs="Times New Roman"/>
          <w:b/>
          <w:bCs/>
          <w:szCs w:val="24"/>
        </w:rPr>
        <w:t xml:space="preserve"> Specific primers used in </w:t>
      </w:r>
      <w:proofErr w:type="spellStart"/>
      <w:r w:rsidRPr="00923EDA">
        <w:rPr>
          <w:rFonts w:ascii="Times New Roman" w:hAnsi="Times New Roman" w:cs="Times New Roman"/>
          <w:b/>
          <w:bCs/>
          <w:szCs w:val="24"/>
        </w:rPr>
        <w:t>qRT</w:t>
      </w:r>
      <w:proofErr w:type="spellEnd"/>
      <w:r w:rsidRPr="00923EDA">
        <w:rPr>
          <w:rFonts w:ascii="Times New Roman" w:hAnsi="Times New Roman" w:cs="Times New Roman"/>
          <w:b/>
          <w:bCs/>
          <w:szCs w:val="24"/>
        </w:rPr>
        <w:t>-PCR analysis.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272"/>
        <w:gridCol w:w="5551"/>
      </w:tblGrid>
      <w:tr w:rsidR="006A184D" w:rsidRPr="00923EDA" w14:paraId="707DCAC6" w14:textId="77777777" w:rsidTr="00B06367">
        <w:tc>
          <w:tcPr>
            <w:tcW w:w="1483" w:type="dxa"/>
            <w:tcBorders>
              <w:top w:val="single" w:sz="12" w:space="0" w:color="auto"/>
              <w:left w:val="nil"/>
              <w:bottom w:val="single" w:sz="8" w:space="0" w:color="auto"/>
              <w:right w:val="nil"/>
            </w:tcBorders>
          </w:tcPr>
          <w:p w14:paraId="2FB02301" w14:textId="77777777" w:rsidR="006A184D" w:rsidRPr="00923EDA" w:rsidRDefault="006A184D" w:rsidP="00B06367">
            <w:pPr>
              <w:adjustRightInd w:val="0"/>
              <w:snapToGrid w:val="0"/>
              <w:spacing w:line="360" w:lineRule="auto"/>
              <w:rPr>
                <w:rFonts w:ascii="Times New Roman" w:hAnsi="Times New Roman" w:cs="Times New Roman"/>
                <w:b/>
                <w:bCs/>
                <w:sz w:val="24"/>
                <w:szCs w:val="24"/>
                <w:shd w:val="clear" w:color="auto" w:fill="FFFFFF"/>
                <w:lang w:eastAsia="en-GB"/>
              </w:rPr>
            </w:pPr>
            <w:r w:rsidRPr="00923EDA">
              <w:rPr>
                <w:rFonts w:ascii="Times New Roman" w:hAnsi="Times New Roman" w:cs="Times New Roman"/>
                <w:b/>
                <w:bCs/>
                <w:sz w:val="24"/>
                <w:szCs w:val="24"/>
                <w:shd w:val="clear" w:color="auto" w:fill="FFFFFF"/>
              </w:rPr>
              <w:t>Gene</w:t>
            </w:r>
          </w:p>
        </w:tc>
        <w:tc>
          <w:tcPr>
            <w:tcW w:w="6823" w:type="dxa"/>
            <w:gridSpan w:val="2"/>
            <w:tcBorders>
              <w:top w:val="single" w:sz="12" w:space="0" w:color="auto"/>
              <w:left w:val="nil"/>
              <w:bottom w:val="single" w:sz="8" w:space="0" w:color="auto"/>
              <w:right w:val="nil"/>
            </w:tcBorders>
          </w:tcPr>
          <w:p w14:paraId="133B9989" w14:textId="77777777" w:rsidR="006A184D" w:rsidRPr="00923EDA" w:rsidRDefault="006A184D" w:rsidP="00B06367">
            <w:pPr>
              <w:adjustRightInd w:val="0"/>
              <w:snapToGrid w:val="0"/>
              <w:spacing w:line="360" w:lineRule="auto"/>
              <w:jc w:val="center"/>
              <w:rPr>
                <w:rFonts w:ascii="Times New Roman" w:hAnsi="Times New Roman" w:cs="Times New Roman"/>
                <w:b/>
                <w:bCs/>
                <w:sz w:val="24"/>
                <w:szCs w:val="24"/>
                <w:shd w:val="clear" w:color="auto" w:fill="FFFFFF"/>
                <w:lang w:eastAsia="en-GB"/>
              </w:rPr>
            </w:pPr>
            <w:r w:rsidRPr="00923EDA">
              <w:rPr>
                <w:rFonts w:ascii="Times New Roman" w:hAnsi="Times New Roman" w:cs="Times New Roman"/>
                <w:b/>
                <w:bCs/>
                <w:sz w:val="24"/>
                <w:szCs w:val="24"/>
                <w:shd w:val="clear" w:color="auto" w:fill="FFFFFF"/>
              </w:rPr>
              <w:t>Sequence (5′-3′)</w:t>
            </w:r>
          </w:p>
        </w:tc>
      </w:tr>
      <w:tr w:rsidR="006A184D" w:rsidRPr="00923EDA" w14:paraId="2F9DAB16" w14:textId="77777777" w:rsidTr="00B06367">
        <w:tc>
          <w:tcPr>
            <w:tcW w:w="1483" w:type="dxa"/>
            <w:vMerge w:val="restart"/>
            <w:tcBorders>
              <w:top w:val="single" w:sz="8" w:space="0" w:color="auto"/>
              <w:left w:val="nil"/>
              <w:right w:val="nil"/>
            </w:tcBorders>
            <w:vAlign w:val="center"/>
          </w:tcPr>
          <w:p w14:paraId="24D8FC00" w14:textId="77777777" w:rsidR="006A184D" w:rsidRPr="00923EDA" w:rsidRDefault="006A184D" w:rsidP="00B06367">
            <w:pPr>
              <w:adjustRightInd w:val="0"/>
              <w:snapToGrid w:val="0"/>
              <w:spacing w:line="360" w:lineRule="auto"/>
              <w:rPr>
                <w:rFonts w:ascii="Times New Roman" w:hAnsi="Times New Roman" w:cs="Times New Roman"/>
                <w:b/>
                <w:bCs/>
                <w:sz w:val="24"/>
                <w:szCs w:val="24"/>
                <w:shd w:val="clear" w:color="auto" w:fill="FFFFFF"/>
              </w:rPr>
            </w:pPr>
            <w:r w:rsidRPr="00923EDA">
              <w:rPr>
                <w:rFonts w:ascii="Times New Roman" w:hAnsi="Times New Roman" w:cs="Times New Roman"/>
                <w:b/>
                <w:bCs/>
                <w:sz w:val="24"/>
                <w:szCs w:val="24"/>
                <w:shd w:val="clear" w:color="auto" w:fill="FFFFFF"/>
              </w:rPr>
              <w:t>DUT</w:t>
            </w:r>
          </w:p>
        </w:tc>
        <w:tc>
          <w:tcPr>
            <w:tcW w:w="1272" w:type="dxa"/>
            <w:tcBorders>
              <w:top w:val="single" w:sz="8" w:space="0" w:color="auto"/>
              <w:left w:val="nil"/>
              <w:bottom w:val="nil"/>
              <w:right w:val="nil"/>
            </w:tcBorders>
          </w:tcPr>
          <w:p w14:paraId="33485F65"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rPr>
            </w:pPr>
            <w:r w:rsidRPr="00923EDA">
              <w:rPr>
                <w:rFonts w:ascii="Times New Roman" w:hAnsi="Times New Roman" w:cs="Times New Roman"/>
                <w:sz w:val="24"/>
                <w:szCs w:val="24"/>
                <w:shd w:val="clear" w:color="auto" w:fill="FFFFFF"/>
              </w:rPr>
              <w:t>Forward</w:t>
            </w:r>
          </w:p>
        </w:tc>
        <w:tc>
          <w:tcPr>
            <w:tcW w:w="5551" w:type="dxa"/>
            <w:tcBorders>
              <w:top w:val="single" w:sz="8" w:space="0" w:color="auto"/>
              <w:left w:val="nil"/>
              <w:bottom w:val="nil"/>
              <w:right w:val="nil"/>
            </w:tcBorders>
          </w:tcPr>
          <w:p w14:paraId="7A8085E5"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rPr>
            </w:pPr>
            <w:r w:rsidRPr="00923EDA">
              <w:rPr>
                <w:rFonts w:ascii="Times New Roman" w:hAnsi="Times New Roman" w:cs="Times New Roman"/>
                <w:sz w:val="24"/>
                <w:szCs w:val="24"/>
                <w:shd w:val="clear" w:color="auto" w:fill="FFFFFF"/>
              </w:rPr>
              <w:t>5′-GGTGATCGAATTGCACAGCTC-3′</w:t>
            </w:r>
          </w:p>
        </w:tc>
      </w:tr>
      <w:tr w:rsidR="006A184D" w:rsidRPr="00923EDA" w14:paraId="67AA6D29" w14:textId="77777777" w:rsidTr="00B06367">
        <w:tc>
          <w:tcPr>
            <w:tcW w:w="1483" w:type="dxa"/>
            <w:vMerge/>
            <w:tcBorders>
              <w:left w:val="nil"/>
              <w:bottom w:val="nil"/>
              <w:right w:val="nil"/>
            </w:tcBorders>
            <w:vAlign w:val="center"/>
          </w:tcPr>
          <w:p w14:paraId="4EB93F70" w14:textId="77777777" w:rsidR="006A184D" w:rsidRPr="00923EDA" w:rsidRDefault="006A184D" w:rsidP="00B06367">
            <w:pPr>
              <w:adjustRightInd w:val="0"/>
              <w:snapToGrid w:val="0"/>
              <w:spacing w:line="360" w:lineRule="auto"/>
              <w:jc w:val="center"/>
              <w:rPr>
                <w:rFonts w:ascii="Times New Roman" w:hAnsi="Times New Roman" w:cs="Times New Roman"/>
                <w:b/>
                <w:bCs/>
                <w:sz w:val="24"/>
                <w:szCs w:val="24"/>
                <w:shd w:val="clear" w:color="auto" w:fill="FFFFFF"/>
              </w:rPr>
            </w:pPr>
          </w:p>
        </w:tc>
        <w:tc>
          <w:tcPr>
            <w:tcW w:w="1272" w:type="dxa"/>
            <w:tcBorders>
              <w:top w:val="nil"/>
              <w:left w:val="nil"/>
              <w:bottom w:val="nil"/>
              <w:right w:val="nil"/>
            </w:tcBorders>
          </w:tcPr>
          <w:p w14:paraId="33C37A5D"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rPr>
            </w:pPr>
            <w:r w:rsidRPr="00923EDA">
              <w:rPr>
                <w:rFonts w:ascii="Times New Roman" w:hAnsi="Times New Roman" w:cs="Times New Roman"/>
                <w:sz w:val="24"/>
                <w:szCs w:val="24"/>
                <w:shd w:val="clear" w:color="auto" w:fill="FFFFFF"/>
              </w:rPr>
              <w:t>Reverse</w:t>
            </w:r>
          </w:p>
        </w:tc>
        <w:tc>
          <w:tcPr>
            <w:tcW w:w="5551" w:type="dxa"/>
            <w:tcBorders>
              <w:top w:val="nil"/>
              <w:left w:val="nil"/>
              <w:bottom w:val="nil"/>
              <w:right w:val="nil"/>
            </w:tcBorders>
          </w:tcPr>
          <w:p w14:paraId="6D3A10FB"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rPr>
            </w:pPr>
            <w:r w:rsidRPr="00923EDA">
              <w:rPr>
                <w:rFonts w:ascii="Times New Roman" w:hAnsi="Times New Roman" w:cs="Times New Roman"/>
                <w:sz w:val="24"/>
                <w:szCs w:val="24"/>
                <w:shd w:val="clear" w:color="auto" w:fill="FFFFFF"/>
              </w:rPr>
              <w:t>5′-TGAACCCCTTTCGGTGTCATC-3′</w:t>
            </w:r>
          </w:p>
        </w:tc>
      </w:tr>
      <w:tr w:rsidR="006A184D" w:rsidRPr="00923EDA" w14:paraId="6677EB6A" w14:textId="77777777" w:rsidTr="00B06367">
        <w:tc>
          <w:tcPr>
            <w:tcW w:w="1483" w:type="dxa"/>
            <w:vMerge w:val="restart"/>
            <w:tcBorders>
              <w:top w:val="nil"/>
              <w:left w:val="nil"/>
              <w:right w:val="nil"/>
            </w:tcBorders>
            <w:vAlign w:val="center"/>
          </w:tcPr>
          <w:p w14:paraId="102AA107" w14:textId="77777777" w:rsidR="006A184D" w:rsidRPr="00923EDA" w:rsidRDefault="006A184D" w:rsidP="00B06367">
            <w:pPr>
              <w:adjustRightInd w:val="0"/>
              <w:snapToGrid w:val="0"/>
              <w:spacing w:line="360" w:lineRule="auto"/>
              <w:rPr>
                <w:rFonts w:ascii="Times New Roman" w:hAnsi="Times New Roman" w:cs="Times New Roman"/>
                <w:b/>
                <w:bCs/>
                <w:sz w:val="24"/>
                <w:szCs w:val="24"/>
                <w:shd w:val="clear" w:color="auto" w:fill="FFFFFF"/>
              </w:rPr>
            </w:pPr>
            <w:r w:rsidRPr="00923EDA">
              <w:rPr>
                <w:rFonts w:ascii="Times New Roman" w:hAnsi="Times New Roman" w:cs="Times New Roman"/>
                <w:b/>
                <w:bCs/>
                <w:sz w:val="24"/>
                <w:szCs w:val="24"/>
                <w:shd w:val="clear" w:color="auto" w:fill="FFFFFF"/>
              </w:rPr>
              <w:t>RPS9</w:t>
            </w:r>
          </w:p>
        </w:tc>
        <w:tc>
          <w:tcPr>
            <w:tcW w:w="1272" w:type="dxa"/>
            <w:tcBorders>
              <w:top w:val="nil"/>
              <w:left w:val="nil"/>
              <w:bottom w:val="nil"/>
              <w:right w:val="nil"/>
            </w:tcBorders>
          </w:tcPr>
          <w:p w14:paraId="4E7048EF"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rPr>
            </w:pPr>
            <w:r w:rsidRPr="00923EDA">
              <w:rPr>
                <w:rFonts w:ascii="Times New Roman" w:hAnsi="Times New Roman" w:cs="Times New Roman"/>
                <w:sz w:val="24"/>
                <w:szCs w:val="24"/>
                <w:shd w:val="clear" w:color="auto" w:fill="FFFFFF"/>
              </w:rPr>
              <w:t>Forward</w:t>
            </w:r>
          </w:p>
        </w:tc>
        <w:tc>
          <w:tcPr>
            <w:tcW w:w="5551" w:type="dxa"/>
            <w:tcBorders>
              <w:top w:val="nil"/>
              <w:left w:val="nil"/>
              <w:bottom w:val="nil"/>
              <w:right w:val="nil"/>
            </w:tcBorders>
          </w:tcPr>
          <w:p w14:paraId="44AAC5ED"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rPr>
            </w:pPr>
            <w:r w:rsidRPr="00923EDA">
              <w:rPr>
                <w:rFonts w:ascii="Times New Roman" w:hAnsi="Times New Roman" w:cs="Times New Roman"/>
                <w:sz w:val="24"/>
                <w:szCs w:val="24"/>
                <w:shd w:val="clear" w:color="auto" w:fill="FFFFFF"/>
              </w:rPr>
              <w:t>5′-GAAATCTCGTCTCGACCAAGAG-3′</w:t>
            </w:r>
          </w:p>
        </w:tc>
      </w:tr>
      <w:tr w:rsidR="006A184D" w:rsidRPr="00923EDA" w14:paraId="27D9664B" w14:textId="77777777" w:rsidTr="00B06367">
        <w:tc>
          <w:tcPr>
            <w:tcW w:w="1483" w:type="dxa"/>
            <w:vMerge/>
            <w:tcBorders>
              <w:left w:val="nil"/>
              <w:bottom w:val="nil"/>
              <w:right w:val="nil"/>
            </w:tcBorders>
            <w:vAlign w:val="center"/>
          </w:tcPr>
          <w:p w14:paraId="218F24F1" w14:textId="77777777" w:rsidR="006A184D" w:rsidRPr="00923EDA" w:rsidRDefault="006A184D" w:rsidP="00B06367">
            <w:pPr>
              <w:adjustRightInd w:val="0"/>
              <w:snapToGrid w:val="0"/>
              <w:spacing w:line="360" w:lineRule="auto"/>
              <w:jc w:val="center"/>
              <w:rPr>
                <w:rFonts w:ascii="Times New Roman" w:hAnsi="Times New Roman" w:cs="Times New Roman"/>
                <w:b/>
                <w:bCs/>
                <w:sz w:val="24"/>
                <w:szCs w:val="24"/>
                <w:shd w:val="clear" w:color="auto" w:fill="FFFFFF"/>
              </w:rPr>
            </w:pPr>
          </w:p>
        </w:tc>
        <w:tc>
          <w:tcPr>
            <w:tcW w:w="1272" w:type="dxa"/>
            <w:tcBorders>
              <w:top w:val="nil"/>
              <w:left w:val="nil"/>
              <w:bottom w:val="nil"/>
              <w:right w:val="nil"/>
            </w:tcBorders>
          </w:tcPr>
          <w:p w14:paraId="0B88E674"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rPr>
            </w:pPr>
            <w:r w:rsidRPr="00923EDA">
              <w:rPr>
                <w:rFonts w:ascii="Times New Roman" w:hAnsi="Times New Roman" w:cs="Times New Roman"/>
                <w:sz w:val="24"/>
                <w:szCs w:val="24"/>
                <w:shd w:val="clear" w:color="auto" w:fill="FFFFFF"/>
              </w:rPr>
              <w:t>Reverse</w:t>
            </w:r>
          </w:p>
        </w:tc>
        <w:tc>
          <w:tcPr>
            <w:tcW w:w="5551" w:type="dxa"/>
            <w:tcBorders>
              <w:top w:val="nil"/>
              <w:left w:val="nil"/>
              <w:bottom w:val="nil"/>
              <w:right w:val="nil"/>
            </w:tcBorders>
          </w:tcPr>
          <w:p w14:paraId="1DFDACC3"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rPr>
            </w:pPr>
            <w:r w:rsidRPr="00923EDA">
              <w:rPr>
                <w:rFonts w:ascii="Times New Roman" w:hAnsi="Times New Roman" w:cs="Times New Roman"/>
                <w:sz w:val="24"/>
                <w:szCs w:val="24"/>
                <w:shd w:val="clear" w:color="auto" w:fill="FFFFFF"/>
              </w:rPr>
              <w:t>5′-GGTCCTTCTCATCAAGCGTCA-3′</w:t>
            </w:r>
          </w:p>
        </w:tc>
      </w:tr>
      <w:tr w:rsidR="006A184D" w:rsidRPr="00923EDA" w14:paraId="3F81F585" w14:textId="77777777" w:rsidTr="00B06367">
        <w:tc>
          <w:tcPr>
            <w:tcW w:w="1483" w:type="dxa"/>
            <w:vMerge w:val="restart"/>
            <w:tcBorders>
              <w:top w:val="nil"/>
              <w:left w:val="nil"/>
              <w:bottom w:val="nil"/>
              <w:right w:val="nil"/>
            </w:tcBorders>
            <w:vAlign w:val="center"/>
          </w:tcPr>
          <w:p w14:paraId="5A362097" w14:textId="77777777" w:rsidR="006A184D" w:rsidRPr="00923EDA" w:rsidRDefault="006A184D" w:rsidP="00B06367">
            <w:pPr>
              <w:adjustRightInd w:val="0"/>
              <w:snapToGrid w:val="0"/>
              <w:spacing w:line="360" w:lineRule="auto"/>
              <w:jc w:val="left"/>
              <w:rPr>
                <w:rFonts w:ascii="Times New Roman" w:hAnsi="Times New Roman" w:cs="Times New Roman"/>
                <w:b/>
                <w:bCs/>
                <w:sz w:val="24"/>
                <w:szCs w:val="24"/>
                <w:shd w:val="clear" w:color="auto" w:fill="FFFFFF"/>
              </w:rPr>
            </w:pPr>
            <w:r w:rsidRPr="00923EDA">
              <w:rPr>
                <w:rFonts w:ascii="Times New Roman" w:hAnsi="Times New Roman" w:cs="Times New Roman"/>
                <w:b/>
                <w:bCs/>
                <w:sz w:val="24"/>
                <w:szCs w:val="24"/>
                <w:shd w:val="clear" w:color="auto" w:fill="FFFFFF"/>
              </w:rPr>
              <w:t>MARF1</w:t>
            </w:r>
          </w:p>
          <w:p w14:paraId="698D166C" w14:textId="77777777" w:rsidR="006A184D" w:rsidRPr="00923EDA" w:rsidRDefault="006A184D" w:rsidP="00B06367">
            <w:pPr>
              <w:adjustRightInd w:val="0"/>
              <w:snapToGrid w:val="0"/>
              <w:spacing w:line="360" w:lineRule="auto"/>
              <w:jc w:val="left"/>
              <w:rPr>
                <w:rFonts w:ascii="Times New Roman" w:hAnsi="Times New Roman" w:cs="Times New Roman"/>
                <w:b/>
                <w:bCs/>
                <w:sz w:val="24"/>
                <w:szCs w:val="24"/>
                <w:shd w:val="clear" w:color="auto" w:fill="FFFFFF"/>
                <w:lang w:eastAsia="en-GB"/>
              </w:rPr>
            </w:pPr>
            <w:r w:rsidRPr="00923EDA">
              <w:rPr>
                <w:rFonts w:ascii="Times New Roman" w:hAnsi="Times New Roman" w:cs="Times New Roman"/>
                <w:b/>
                <w:bCs/>
                <w:sz w:val="24"/>
                <w:szCs w:val="24"/>
                <w:shd w:val="clear" w:color="auto" w:fill="FFFFFF"/>
              </w:rPr>
              <w:t>(KIAA0430)</w:t>
            </w:r>
          </w:p>
        </w:tc>
        <w:tc>
          <w:tcPr>
            <w:tcW w:w="1272" w:type="dxa"/>
            <w:tcBorders>
              <w:top w:val="nil"/>
              <w:left w:val="nil"/>
              <w:bottom w:val="nil"/>
              <w:right w:val="nil"/>
            </w:tcBorders>
          </w:tcPr>
          <w:p w14:paraId="64A217B5"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lang w:eastAsia="en-GB"/>
              </w:rPr>
            </w:pPr>
            <w:r w:rsidRPr="00923EDA">
              <w:rPr>
                <w:rFonts w:ascii="Times New Roman" w:hAnsi="Times New Roman" w:cs="Times New Roman"/>
                <w:sz w:val="24"/>
                <w:szCs w:val="24"/>
                <w:shd w:val="clear" w:color="auto" w:fill="FFFFFF"/>
              </w:rPr>
              <w:t>Forward</w:t>
            </w:r>
          </w:p>
        </w:tc>
        <w:tc>
          <w:tcPr>
            <w:tcW w:w="5551" w:type="dxa"/>
            <w:tcBorders>
              <w:top w:val="nil"/>
              <w:left w:val="nil"/>
              <w:bottom w:val="nil"/>
              <w:right w:val="nil"/>
            </w:tcBorders>
          </w:tcPr>
          <w:p w14:paraId="397458DD"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lang w:eastAsia="en-GB"/>
              </w:rPr>
            </w:pPr>
            <w:bookmarkStart w:id="0" w:name="OLE_LINK116"/>
            <w:bookmarkStart w:id="1" w:name="OLE_LINK117"/>
            <w:r w:rsidRPr="00923EDA">
              <w:rPr>
                <w:rFonts w:ascii="Times New Roman" w:hAnsi="Times New Roman" w:cs="Times New Roman"/>
                <w:sz w:val="24"/>
                <w:szCs w:val="24"/>
                <w:shd w:val="clear" w:color="auto" w:fill="FFFFFF"/>
              </w:rPr>
              <w:t>5′-</w:t>
            </w:r>
            <w:bookmarkEnd w:id="0"/>
            <w:bookmarkEnd w:id="1"/>
            <w:r w:rsidRPr="00923EDA">
              <w:rPr>
                <w:rFonts w:ascii="Times New Roman" w:hAnsi="Times New Roman" w:cs="Times New Roman"/>
                <w:sz w:val="24"/>
                <w:szCs w:val="24"/>
                <w:shd w:val="clear" w:color="auto" w:fill="FFFFFF"/>
              </w:rPr>
              <w:t>ACCCTCCACTTCGCCAATG</w:t>
            </w:r>
            <w:bookmarkStart w:id="2" w:name="OLE_LINK114"/>
            <w:bookmarkStart w:id="3" w:name="OLE_LINK115"/>
            <w:r w:rsidRPr="00923EDA">
              <w:rPr>
                <w:rFonts w:ascii="Times New Roman" w:hAnsi="Times New Roman" w:cs="Times New Roman"/>
                <w:sz w:val="24"/>
                <w:szCs w:val="24"/>
                <w:shd w:val="clear" w:color="auto" w:fill="FFFFFF"/>
              </w:rPr>
              <w:t>-3′</w:t>
            </w:r>
            <w:bookmarkEnd w:id="2"/>
            <w:bookmarkEnd w:id="3"/>
          </w:p>
        </w:tc>
      </w:tr>
      <w:tr w:rsidR="006A184D" w:rsidRPr="00923EDA" w14:paraId="3245AB56" w14:textId="77777777" w:rsidTr="00B06367">
        <w:tc>
          <w:tcPr>
            <w:tcW w:w="0" w:type="auto"/>
            <w:vMerge/>
            <w:tcBorders>
              <w:top w:val="single" w:sz="4" w:space="0" w:color="auto"/>
              <w:left w:val="nil"/>
              <w:bottom w:val="nil"/>
              <w:right w:val="nil"/>
            </w:tcBorders>
            <w:vAlign w:val="center"/>
          </w:tcPr>
          <w:p w14:paraId="77B4C3FB" w14:textId="77777777" w:rsidR="006A184D" w:rsidRPr="00923EDA" w:rsidRDefault="006A184D" w:rsidP="00B06367">
            <w:pPr>
              <w:spacing w:line="360" w:lineRule="auto"/>
              <w:rPr>
                <w:rFonts w:ascii="Times New Roman" w:hAnsi="Times New Roman" w:cs="Times New Roman"/>
                <w:b/>
                <w:bCs/>
                <w:sz w:val="24"/>
                <w:szCs w:val="24"/>
                <w:shd w:val="clear" w:color="auto" w:fill="FFFFFF"/>
                <w:lang w:eastAsia="en-GB"/>
              </w:rPr>
            </w:pPr>
          </w:p>
        </w:tc>
        <w:tc>
          <w:tcPr>
            <w:tcW w:w="1272" w:type="dxa"/>
            <w:tcBorders>
              <w:top w:val="nil"/>
              <w:left w:val="nil"/>
              <w:bottom w:val="nil"/>
              <w:right w:val="nil"/>
            </w:tcBorders>
          </w:tcPr>
          <w:p w14:paraId="6CCF7E20"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lang w:eastAsia="en-GB"/>
              </w:rPr>
            </w:pPr>
            <w:r w:rsidRPr="00923EDA">
              <w:rPr>
                <w:rFonts w:ascii="Times New Roman" w:hAnsi="Times New Roman" w:cs="Times New Roman"/>
                <w:sz w:val="24"/>
                <w:szCs w:val="24"/>
                <w:shd w:val="clear" w:color="auto" w:fill="FFFFFF"/>
              </w:rPr>
              <w:t>Reverse</w:t>
            </w:r>
          </w:p>
        </w:tc>
        <w:tc>
          <w:tcPr>
            <w:tcW w:w="5551" w:type="dxa"/>
            <w:tcBorders>
              <w:top w:val="nil"/>
              <w:left w:val="nil"/>
              <w:bottom w:val="nil"/>
              <w:right w:val="nil"/>
            </w:tcBorders>
          </w:tcPr>
          <w:p w14:paraId="6F267AE6"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lang w:eastAsia="en-GB"/>
              </w:rPr>
            </w:pPr>
            <w:r w:rsidRPr="00923EDA">
              <w:rPr>
                <w:rFonts w:ascii="Times New Roman" w:hAnsi="Times New Roman" w:cs="Times New Roman"/>
                <w:sz w:val="24"/>
                <w:szCs w:val="24"/>
                <w:shd w:val="clear" w:color="auto" w:fill="FFFFFF"/>
              </w:rPr>
              <w:t>5'-CTTTGCGAGTCTAACAGTGCG-3′</w:t>
            </w:r>
          </w:p>
        </w:tc>
      </w:tr>
      <w:tr w:rsidR="006A184D" w:rsidRPr="00923EDA" w14:paraId="08F1D47A" w14:textId="77777777" w:rsidTr="00B06367">
        <w:tc>
          <w:tcPr>
            <w:tcW w:w="1483" w:type="dxa"/>
            <w:vMerge w:val="restart"/>
            <w:tcBorders>
              <w:top w:val="nil"/>
              <w:left w:val="nil"/>
              <w:bottom w:val="single" w:sz="4" w:space="0" w:color="auto"/>
              <w:right w:val="nil"/>
            </w:tcBorders>
            <w:vAlign w:val="center"/>
          </w:tcPr>
          <w:p w14:paraId="35CADDBB" w14:textId="77777777" w:rsidR="006A184D" w:rsidRPr="00923EDA" w:rsidRDefault="006A184D" w:rsidP="00B06367">
            <w:pPr>
              <w:adjustRightInd w:val="0"/>
              <w:snapToGrid w:val="0"/>
              <w:spacing w:line="360" w:lineRule="auto"/>
              <w:rPr>
                <w:rFonts w:ascii="Times New Roman" w:hAnsi="Times New Roman" w:cs="Times New Roman"/>
                <w:b/>
                <w:bCs/>
                <w:sz w:val="24"/>
                <w:szCs w:val="24"/>
                <w:shd w:val="clear" w:color="auto" w:fill="FFFFFF"/>
                <w:lang w:eastAsia="en-GB"/>
              </w:rPr>
            </w:pPr>
            <w:r w:rsidRPr="00923EDA">
              <w:rPr>
                <w:rFonts w:ascii="Times New Roman" w:hAnsi="Times New Roman" w:cs="Times New Roman"/>
                <w:b/>
                <w:bCs/>
                <w:sz w:val="24"/>
                <w:szCs w:val="24"/>
                <w:shd w:val="clear" w:color="auto" w:fill="FFFFFF"/>
              </w:rPr>
              <w:t>ACTB</w:t>
            </w:r>
          </w:p>
        </w:tc>
        <w:tc>
          <w:tcPr>
            <w:tcW w:w="1272" w:type="dxa"/>
            <w:tcBorders>
              <w:top w:val="nil"/>
              <w:left w:val="nil"/>
              <w:bottom w:val="nil"/>
              <w:right w:val="nil"/>
            </w:tcBorders>
          </w:tcPr>
          <w:p w14:paraId="42A92075"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lang w:eastAsia="en-GB"/>
              </w:rPr>
            </w:pPr>
            <w:r w:rsidRPr="00923EDA">
              <w:rPr>
                <w:rFonts w:ascii="Times New Roman" w:hAnsi="Times New Roman" w:cs="Times New Roman"/>
                <w:sz w:val="24"/>
                <w:szCs w:val="24"/>
                <w:shd w:val="clear" w:color="auto" w:fill="FFFFFF"/>
              </w:rPr>
              <w:t>Forward</w:t>
            </w:r>
          </w:p>
        </w:tc>
        <w:tc>
          <w:tcPr>
            <w:tcW w:w="5551" w:type="dxa"/>
            <w:tcBorders>
              <w:top w:val="nil"/>
              <w:left w:val="nil"/>
              <w:bottom w:val="nil"/>
              <w:right w:val="nil"/>
            </w:tcBorders>
          </w:tcPr>
          <w:p w14:paraId="6D4EF3F4"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lang w:eastAsia="en-GB"/>
              </w:rPr>
            </w:pPr>
            <w:r w:rsidRPr="00923EDA">
              <w:rPr>
                <w:rFonts w:ascii="Times New Roman" w:hAnsi="Times New Roman" w:cs="Times New Roman"/>
                <w:sz w:val="24"/>
                <w:szCs w:val="24"/>
                <w:shd w:val="clear" w:color="auto" w:fill="FFFFFF"/>
              </w:rPr>
              <w:t>5′-CATGTACGTTGCTATCCAGGC-3′</w:t>
            </w:r>
          </w:p>
        </w:tc>
      </w:tr>
      <w:tr w:rsidR="006A184D" w:rsidRPr="00923EDA" w14:paraId="3EF032D8" w14:textId="77777777" w:rsidTr="00B06367">
        <w:tc>
          <w:tcPr>
            <w:tcW w:w="0" w:type="auto"/>
            <w:vMerge/>
            <w:tcBorders>
              <w:top w:val="nil"/>
              <w:left w:val="nil"/>
              <w:bottom w:val="single" w:sz="12" w:space="0" w:color="auto"/>
              <w:right w:val="nil"/>
            </w:tcBorders>
            <w:vAlign w:val="center"/>
          </w:tcPr>
          <w:p w14:paraId="4070F11C" w14:textId="77777777" w:rsidR="006A184D" w:rsidRPr="00923EDA" w:rsidRDefault="006A184D" w:rsidP="00B06367">
            <w:pPr>
              <w:spacing w:line="360" w:lineRule="auto"/>
              <w:rPr>
                <w:rFonts w:ascii="Times New Roman" w:hAnsi="Times New Roman" w:cs="Times New Roman"/>
                <w:sz w:val="24"/>
                <w:szCs w:val="24"/>
                <w:shd w:val="clear" w:color="auto" w:fill="FFFFFF"/>
                <w:lang w:eastAsia="en-GB"/>
              </w:rPr>
            </w:pPr>
          </w:p>
        </w:tc>
        <w:tc>
          <w:tcPr>
            <w:tcW w:w="1272" w:type="dxa"/>
            <w:tcBorders>
              <w:top w:val="nil"/>
              <w:left w:val="nil"/>
              <w:bottom w:val="single" w:sz="12" w:space="0" w:color="auto"/>
              <w:right w:val="nil"/>
            </w:tcBorders>
          </w:tcPr>
          <w:p w14:paraId="47DEA021"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lang w:eastAsia="en-GB"/>
              </w:rPr>
            </w:pPr>
            <w:r w:rsidRPr="00923EDA">
              <w:rPr>
                <w:rFonts w:ascii="Times New Roman" w:hAnsi="Times New Roman" w:cs="Times New Roman"/>
                <w:sz w:val="24"/>
                <w:szCs w:val="24"/>
                <w:shd w:val="clear" w:color="auto" w:fill="FFFFFF"/>
              </w:rPr>
              <w:t>Reverse</w:t>
            </w:r>
          </w:p>
        </w:tc>
        <w:tc>
          <w:tcPr>
            <w:tcW w:w="5551" w:type="dxa"/>
            <w:tcBorders>
              <w:top w:val="nil"/>
              <w:left w:val="nil"/>
              <w:bottom w:val="single" w:sz="12" w:space="0" w:color="auto"/>
              <w:right w:val="nil"/>
            </w:tcBorders>
          </w:tcPr>
          <w:p w14:paraId="42B1ED7A"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lang w:eastAsia="en-GB"/>
              </w:rPr>
            </w:pPr>
            <w:r w:rsidRPr="00923EDA">
              <w:rPr>
                <w:rFonts w:ascii="Times New Roman" w:hAnsi="Times New Roman" w:cs="Times New Roman"/>
                <w:sz w:val="24"/>
                <w:szCs w:val="24"/>
                <w:shd w:val="clear" w:color="auto" w:fill="FFFFFF"/>
              </w:rPr>
              <w:t>5′-CTCCTTAATGTCACGCACGAT-3′</w:t>
            </w:r>
          </w:p>
        </w:tc>
      </w:tr>
    </w:tbl>
    <w:p w14:paraId="4E48C9EB" w14:textId="7EDAA999" w:rsidR="00E55467" w:rsidRPr="006A184D" w:rsidRDefault="00E55467"/>
    <w:sectPr w:rsidR="00E55467" w:rsidRPr="006A184D" w:rsidSect="008A67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9691" w14:textId="77777777" w:rsidR="00FA1937" w:rsidRDefault="00FA1937" w:rsidP="006A184D">
      <w:r>
        <w:separator/>
      </w:r>
    </w:p>
  </w:endnote>
  <w:endnote w:type="continuationSeparator" w:id="0">
    <w:p w14:paraId="09F26815" w14:textId="77777777" w:rsidR="00FA1937" w:rsidRDefault="00FA1937" w:rsidP="006A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72B9" w14:textId="77777777" w:rsidR="00FA1937" w:rsidRDefault="00FA1937" w:rsidP="006A184D">
      <w:r>
        <w:separator/>
      </w:r>
    </w:p>
  </w:footnote>
  <w:footnote w:type="continuationSeparator" w:id="0">
    <w:p w14:paraId="7FBD29B0" w14:textId="77777777" w:rsidR="00FA1937" w:rsidRDefault="00FA1937" w:rsidP="006A1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2A3A7475-CFFC-477D-A3F4-C38F32832C3D}"/>
    <w:docVar w:name="KY_MEDREF_VERSION" w:val="3"/>
  </w:docVars>
  <w:rsids>
    <w:rsidRoot w:val="00701448"/>
    <w:rsid w:val="0010007D"/>
    <w:rsid w:val="00666317"/>
    <w:rsid w:val="006A184D"/>
    <w:rsid w:val="00701448"/>
    <w:rsid w:val="00810DA5"/>
    <w:rsid w:val="009A2D03"/>
    <w:rsid w:val="00D44C7A"/>
    <w:rsid w:val="00E55467"/>
    <w:rsid w:val="00FA1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27EAE"/>
  <w15:chartTrackingRefBased/>
  <w15:docId w15:val="{394AAF91-3DCD-4BE5-90AD-32A37C4B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701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18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A184D"/>
    <w:rPr>
      <w:sz w:val="18"/>
      <w:szCs w:val="18"/>
    </w:rPr>
  </w:style>
  <w:style w:type="paragraph" w:styleId="a6">
    <w:name w:val="footer"/>
    <w:basedOn w:val="a"/>
    <w:link w:val="a7"/>
    <w:uiPriority w:val="99"/>
    <w:unhideWhenUsed/>
    <w:rsid w:val="006A184D"/>
    <w:pPr>
      <w:tabs>
        <w:tab w:val="center" w:pos="4153"/>
        <w:tab w:val="right" w:pos="8306"/>
      </w:tabs>
      <w:snapToGrid w:val="0"/>
      <w:jc w:val="left"/>
    </w:pPr>
    <w:rPr>
      <w:sz w:val="18"/>
      <w:szCs w:val="18"/>
    </w:rPr>
  </w:style>
  <w:style w:type="character" w:customStyle="1" w:styleId="a7">
    <w:name w:val="页脚 字符"/>
    <w:basedOn w:val="a0"/>
    <w:link w:val="a6"/>
    <w:uiPriority w:val="99"/>
    <w:rsid w:val="006A184D"/>
    <w:rPr>
      <w:sz w:val="18"/>
      <w:szCs w:val="18"/>
    </w:rPr>
  </w:style>
  <w:style w:type="table" w:customStyle="1" w:styleId="211">
    <w:name w:val="无格式表格 211"/>
    <w:basedOn w:val="a1"/>
    <w:uiPriority w:val="42"/>
    <w:rsid w:val="006A184D"/>
    <w:rPr>
      <w:rFonts w:ascii="等线" w:eastAsia="等线" w:hAnsi="等线"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content">
    <w:name w:val="content"/>
    <w:basedOn w:val="a"/>
    <w:link w:val="content0"/>
    <w:qFormat/>
    <w:rsid w:val="006A184D"/>
    <w:pPr>
      <w:spacing w:beforeLines="50" w:before="156" w:afterLines="50" w:after="156" w:line="360" w:lineRule="auto"/>
      <w:ind w:firstLineChars="200" w:firstLine="480"/>
    </w:pPr>
    <w:rPr>
      <w:rFonts w:ascii="Times New Roman" w:eastAsia="宋体" w:hAnsi="Times New Roman" w:cs="Times New Roman"/>
      <w:sz w:val="24"/>
      <w:szCs w:val="24"/>
      <w:lang w:val="en-GB"/>
    </w:rPr>
  </w:style>
  <w:style w:type="character" w:customStyle="1" w:styleId="content0">
    <w:name w:val="content 字符"/>
    <w:basedOn w:val="a0"/>
    <w:link w:val="content"/>
    <w:rsid w:val="006A184D"/>
    <w:rPr>
      <w:rFonts w:ascii="Times New Roman" w:eastAsia="宋体" w:hAnsi="Times New Roman" w:cs="Times New Roman"/>
      <w:sz w:val="24"/>
      <w:szCs w:val="24"/>
      <w:lang w:val="en-GB"/>
    </w:rPr>
  </w:style>
  <w:style w:type="character" w:customStyle="1" w:styleId="Bibliography1">
    <w:name w:val="Bibliography 字符1"/>
    <w:basedOn w:val="a0"/>
    <w:link w:val="2"/>
    <w:qFormat/>
    <w:locked/>
    <w:rsid w:val="006A184D"/>
    <w:rPr>
      <w:sz w:val="24"/>
      <w:shd w:val="clear" w:color="auto" w:fill="FFFFFF"/>
      <w:lang w:eastAsia="en-GB"/>
    </w:rPr>
  </w:style>
  <w:style w:type="paragraph" w:customStyle="1" w:styleId="2">
    <w:name w:val="书目2"/>
    <w:basedOn w:val="a"/>
    <w:link w:val="Bibliography1"/>
    <w:qFormat/>
    <w:rsid w:val="006A184D"/>
    <w:pPr>
      <w:widowControl/>
      <w:shd w:val="clear" w:color="auto" w:fill="FFFFFF"/>
      <w:tabs>
        <w:tab w:val="left" w:pos="380"/>
      </w:tabs>
      <w:ind w:left="384" w:firstLineChars="150" w:hanging="384"/>
      <w:jc w:val="left"/>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博涵</dc:creator>
  <cp:keywords/>
  <dc:description/>
  <cp:lastModifiedBy>李 博涵</cp:lastModifiedBy>
  <cp:revision>5</cp:revision>
  <dcterms:created xsi:type="dcterms:W3CDTF">2021-07-14T07:29:00Z</dcterms:created>
  <dcterms:modified xsi:type="dcterms:W3CDTF">2021-08-11T14:53:00Z</dcterms:modified>
</cp:coreProperties>
</file>