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A3AA9" w14:textId="5CF26008" w:rsidR="00F96B89" w:rsidRPr="00F96B89" w:rsidRDefault="00F96B89" w:rsidP="001E42FE">
      <w:pPr>
        <w:pStyle w:val="a7"/>
        <w:spacing w:line="360" w:lineRule="auto"/>
        <w:rPr>
          <w:rFonts w:ascii="Times New Roman" w:hAnsi="Times New Roman" w:cs="Times New Roman"/>
          <w:b w:val="0"/>
          <w:bCs w:val="0"/>
          <w:sz w:val="36"/>
          <w:szCs w:val="36"/>
        </w:rPr>
      </w:pPr>
      <w:r w:rsidRPr="00F96B89">
        <w:rPr>
          <w:rFonts w:ascii="Times New Roman" w:hAnsi="Times New Roman" w:cs="Times New Roman"/>
          <w:b w:val="0"/>
          <w:bCs w:val="0"/>
          <w:sz w:val="36"/>
          <w:szCs w:val="36"/>
        </w:rPr>
        <w:t>Supplementary Information</w:t>
      </w:r>
    </w:p>
    <w:p w14:paraId="44B548B5" w14:textId="7F5F0B1C" w:rsidR="001E42FE" w:rsidRDefault="001E42FE" w:rsidP="001E42FE">
      <w:pPr>
        <w:pStyle w:val="a7"/>
        <w:spacing w:line="360" w:lineRule="auto"/>
        <w:rPr>
          <w:rFonts w:ascii="Times New Roman" w:hAnsi="Times New Roman" w:cs="Times New Roman"/>
        </w:rPr>
      </w:pPr>
      <w:r w:rsidRPr="005272AB">
        <w:rPr>
          <w:rFonts w:ascii="Times New Roman" w:hAnsi="Times New Roman" w:cs="Times New Roman"/>
        </w:rPr>
        <w:t>A Method for Quantitative</w:t>
      </w:r>
      <w:r>
        <w:rPr>
          <w:rFonts w:ascii="Times New Roman" w:hAnsi="Times New Roman" w:cs="Times New Roman"/>
        </w:rPr>
        <w:t>ly</w:t>
      </w:r>
      <w:r w:rsidRPr="005272AB">
        <w:rPr>
          <w:rFonts w:ascii="Times New Roman" w:hAnsi="Times New Roman" w:cs="Times New Roman"/>
        </w:rPr>
        <w:t xml:space="preserve"> </w:t>
      </w:r>
      <w:r>
        <w:rPr>
          <w:rFonts w:ascii="Times New Roman" w:hAnsi="Times New Roman" w:cs="Times New Roman"/>
        </w:rPr>
        <w:t xml:space="preserve">Separating the </w:t>
      </w:r>
      <w:r w:rsidR="00A62F06">
        <w:rPr>
          <w:rFonts w:ascii="Times New Roman" w:hAnsi="Times New Roman" w:cs="Times New Roman"/>
        </w:rPr>
        <w:t>Piezoelectric</w:t>
      </w:r>
      <w:r w:rsidRPr="005272AB">
        <w:rPr>
          <w:rFonts w:ascii="Times New Roman" w:hAnsi="Times New Roman" w:cs="Times New Roman"/>
        </w:rPr>
        <w:t xml:space="preserve"> </w:t>
      </w:r>
      <w:r>
        <w:rPr>
          <w:rFonts w:ascii="Times New Roman" w:hAnsi="Times New Roman" w:cs="Times New Roman"/>
        </w:rPr>
        <w:t>Component</w:t>
      </w:r>
      <w:r w:rsidRPr="005272AB">
        <w:rPr>
          <w:rFonts w:ascii="Times New Roman" w:hAnsi="Times New Roman" w:cs="Times New Roman"/>
        </w:rPr>
        <w:t xml:space="preserve"> from </w:t>
      </w:r>
      <w:r>
        <w:rPr>
          <w:rFonts w:ascii="Times New Roman" w:hAnsi="Times New Roman" w:cs="Times New Roman"/>
        </w:rPr>
        <w:t>the as-received</w:t>
      </w:r>
      <w:r w:rsidRPr="005272AB">
        <w:rPr>
          <w:rFonts w:ascii="Times New Roman" w:hAnsi="Times New Roman" w:cs="Times New Roman"/>
        </w:rPr>
        <w:t xml:space="preserve"> "Piezoelectric" Signal</w:t>
      </w:r>
    </w:p>
    <w:p w14:paraId="0E743DDD" w14:textId="77777777" w:rsidR="00AD4E25" w:rsidRDefault="00AD4E25" w:rsidP="00AD4E25">
      <w:pPr>
        <w:spacing w:line="360" w:lineRule="auto"/>
      </w:pPr>
      <w:bookmarkStart w:id="0" w:name="_Hlk71283234"/>
      <w:proofErr w:type="spellStart"/>
      <w:r>
        <w:t>Chaojie</w:t>
      </w:r>
      <w:proofErr w:type="spellEnd"/>
      <w:r>
        <w:t xml:space="preserve"> Chen</w:t>
      </w:r>
      <w:r w:rsidRPr="00F63EF0">
        <w:rPr>
          <w:vertAlign w:val="superscript"/>
        </w:rPr>
        <w:t xml:space="preserve"> </w:t>
      </w:r>
      <w:r>
        <w:rPr>
          <w:vertAlign w:val="superscript"/>
        </w:rPr>
        <w:t>1,2</w:t>
      </w:r>
      <w:r>
        <w:rPr>
          <w:rFonts w:hint="eastAsia"/>
          <w:vertAlign w:val="superscript"/>
        </w:rPr>
        <w:t>,</w:t>
      </w:r>
      <w:r>
        <w:rPr>
          <w:vertAlign w:val="superscript"/>
        </w:rPr>
        <w:t>3</w:t>
      </w:r>
      <w:r>
        <w:t xml:space="preserve">, </w:t>
      </w:r>
      <w:proofErr w:type="spellStart"/>
      <w:r>
        <w:t>Shilong</w:t>
      </w:r>
      <w:proofErr w:type="spellEnd"/>
      <w:r>
        <w:t xml:space="preserve"> Zhao </w:t>
      </w:r>
      <w:r>
        <w:rPr>
          <w:vertAlign w:val="superscript"/>
        </w:rPr>
        <w:t>1</w:t>
      </w:r>
      <w:r>
        <w:t xml:space="preserve">, </w:t>
      </w:r>
      <w:proofErr w:type="spellStart"/>
      <w:r>
        <w:t>Caofeng</w:t>
      </w:r>
      <w:proofErr w:type="spellEnd"/>
      <w:r>
        <w:t xml:space="preserve"> Pan </w:t>
      </w:r>
      <w:r>
        <w:rPr>
          <w:vertAlign w:val="superscript"/>
        </w:rPr>
        <w:t>2</w:t>
      </w:r>
      <w:r>
        <w:t xml:space="preserve">, Yunlong Zi </w:t>
      </w:r>
      <w:r>
        <w:rPr>
          <w:vertAlign w:val="superscript"/>
        </w:rPr>
        <w:t>3</w:t>
      </w:r>
      <w:r>
        <w:t xml:space="preserve">, </w:t>
      </w:r>
      <w:proofErr w:type="spellStart"/>
      <w:r>
        <w:t>Fangcheng</w:t>
      </w:r>
      <w:proofErr w:type="spellEnd"/>
      <w:r>
        <w:t xml:space="preserve"> Wang</w:t>
      </w:r>
      <w:r w:rsidRPr="00F63EF0">
        <w:rPr>
          <w:vertAlign w:val="superscript"/>
        </w:rPr>
        <w:t xml:space="preserve"> </w:t>
      </w:r>
      <w:r>
        <w:rPr>
          <w:vertAlign w:val="superscript"/>
        </w:rPr>
        <w:t>1</w:t>
      </w:r>
      <w:r>
        <w:t xml:space="preserve">, Cheng Yang </w:t>
      </w:r>
      <w:r>
        <w:rPr>
          <w:vertAlign w:val="superscript"/>
        </w:rPr>
        <w:t>1*</w:t>
      </w:r>
      <w:r>
        <w:t xml:space="preserve">, Zhong Lin Wang </w:t>
      </w:r>
      <w:r>
        <w:rPr>
          <w:vertAlign w:val="superscript"/>
        </w:rPr>
        <w:t>2,4*</w:t>
      </w:r>
    </w:p>
    <w:p w14:paraId="1C75F153" w14:textId="77777777" w:rsidR="00AD4E25" w:rsidRDefault="00AD4E25" w:rsidP="00AD4E25">
      <w:pPr>
        <w:spacing w:line="360" w:lineRule="auto"/>
      </w:pPr>
      <w:r>
        <w:rPr>
          <w:vertAlign w:val="superscript"/>
        </w:rPr>
        <w:t>1</w:t>
      </w:r>
      <w:r>
        <w:t xml:space="preserve"> Institute of Materials Research, Tsinghua Shenzhen International Graduate School, Tsinghua University, Shenzhen 518055, P. R. China </w:t>
      </w:r>
    </w:p>
    <w:p w14:paraId="73B7ACCE" w14:textId="77777777" w:rsidR="00AD4E25" w:rsidRDefault="00AD4E25" w:rsidP="00AD4E25">
      <w:pPr>
        <w:spacing w:line="360" w:lineRule="auto"/>
      </w:pPr>
      <w:r>
        <w:rPr>
          <w:vertAlign w:val="superscript"/>
        </w:rPr>
        <w:t>2</w:t>
      </w:r>
      <w:r>
        <w:t xml:space="preserve"> CAS Center for Excellence in Nanoscience, Beijing Key Laboratory of Micro-nano Energy and Sensor, Beijing Institute of </w:t>
      </w:r>
      <w:proofErr w:type="spellStart"/>
      <w:r>
        <w:t>Nanoenergy</w:t>
      </w:r>
      <w:proofErr w:type="spellEnd"/>
      <w:r>
        <w:t xml:space="preserve"> and </w:t>
      </w:r>
      <w:proofErr w:type="spellStart"/>
      <w:r>
        <w:t>Nanosystems</w:t>
      </w:r>
      <w:proofErr w:type="spellEnd"/>
      <w:r>
        <w:t>, Chinese Academy of Sciences, Beijing 100083, P. R. China</w:t>
      </w:r>
    </w:p>
    <w:p w14:paraId="686D48C1" w14:textId="77777777" w:rsidR="00AD4E25" w:rsidRDefault="00AD4E25" w:rsidP="00AD4E25">
      <w:pPr>
        <w:spacing w:line="360" w:lineRule="auto"/>
      </w:pPr>
      <w:r>
        <w:rPr>
          <w:vertAlign w:val="superscript"/>
        </w:rPr>
        <w:t>3</w:t>
      </w:r>
      <w:r>
        <w:t xml:space="preserve"> </w:t>
      </w:r>
      <w:r w:rsidRPr="004D1A3B">
        <w:t>Department of Mechanical and Automation Engineering</w:t>
      </w:r>
      <w:r>
        <w:t xml:space="preserve">, </w:t>
      </w:r>
      <w:r w:rsidRPr="004D1A3B">
        <w:t>The Chinese University of Hong Kong</w:t>
      </w:r>
      <w:r>
        <w:t xml:space="preserve"> </w:t>
      </w:r>
      <w:r w:rsidRPr="004D1A3B">
        <w:t>Shatin, N.T. Hong Kong, China</w:t>
      </w:r>
    </w:p>
    <w:p w14:paraId="438CFFEF" w14:textId="77777777" w:rsidR="00AD4E25" w:rsidRDefault="00AD4E25" w:rsidP="00AD4E25">
      <w:pPr>
        <w:spacing w:line="360" w:lineRule="auto"/>
      </w:pPr>
      <w:r>
        <w:rPr>
          <w:vertAlign w:val="superscript"/>
        </w:rPr>
        <w:t>4</w:t>
      </w:r>
      <w:r>
        <w:t xml:space="preserve"> </w:t>
      </w:r>
      <w:r w:rsidRPr="00655BF2">
        <w:t>School of Materials Science and Engineering, Georgia Institute of Technology, Atlanta, GA 30332-0245, USA.</w:t>
      </w:r>
    </w:p>
    <w:p w14:paraId="13435C47" w14:textId="77777777" w:rsidR="00AD4E25" w:rsidRDefault="00AD4E25" w:rsidP="00AD4E25">
      <w:pPr>
        <w:spacing w:line="360" w:lineRule="auto"/>
      </w:pPr>
      <w:r>
        <w:t>Corresponding author</w:t>
      </w:r>
      <w:r>
        <w:rPr>
          <w:rFonts w:hint="eastAsia"/>
        </w:rPr>
        <w:t>s</w:t>
      </w:r>
    </w:p>
    <w:p w14:paraId="1A37CB37" w14:textId="6F609A39" w:rsidR="00AD4E25" w:rsidRPr="00AD4E25" w:rsidRDefault="00AD4E25" w:rsidP="00AD4E25">
      <w:pPr>
        <w:spacing w:line="360" w:lineRule="auto"/>
      </w:pPr>
      <w:r>
        <w:rPr>
          <w:vertAlign w:val="superscript"/>
        </w:rPr>
        <w:t xml:space="preserve">* </w:t>
      </w:r>
      <w:r w:rsidRPr="00F63EF0">
        <w:t>E-mail:</w:t>
      </w:r>
      <w:r w:rsidRPr="00694B58">
        <w:t xml:space="preserve"> </w:t>
      </w:r>
      <w:r w:rsidRPr="00AD4E25">
        <w:t>yang.cheng@sz.tsinghua.edu.cn</w:t>
      </w:r>
      <w:r w:rsidRPr="00AD4E25">
        <w:rPr>
          <w:rFonts w:hint="eastAsia"/>
        </w:rPr>
        <w:t>；</w:t>
      </w:r>
      <w:r w:rsidRPr="00AD4E25">
        <w:t xml:space="preserve">zhong.wang@mse.gatech.edu </w:t>
      </w:r>
    </w:p>
    <w:p w14:paraId="0776DF91" w14:textId="5D99DF46" w:rsidR="00D42AFD" w:rsidRPr="00D42AFD" w:rsidRDefault="00D42AFD" w:rsidP="001E42FE">
      <w:pPr>
        <w:spacing w:line="360" w:lineRule="auto"/>
      </w:pPr>
      <w:r>
        <w:br w:type="page"/>
      </w:r>
    </w:p>
    <w:bookmarkEnd w:id="0"/>
    <w:p w14:paraId="1518B4EF" w14:textId="033A08D2" w:rsidR="00F96B89" w:rsidRPr="00F96B89" w:rsidRDefault="00F96B89">
      <w:pPr>
        <w:rPr>
          <w:b/>
          <w:bCs/>
          <w:sz w:val="24"/>
          <w:szCs w:val="28"/>
        </w:rPr>
      </w:pPr>
      <w:r w:rsidRPr="00F96B89">
        <w:rPr>
          <w:rFonts w:hint="eastAsia"/>
          <w:b/>
          <w:bCs/>
          <w:sz w:val="24"/>
          <w:szCs w:val="28"/>
        </w:rPr>
        <w:lastRenderedPageBreak/>
        <w:t>S</w:t>
      </w:r>
      <w:r w:rsidRPr="00F96B89">
        <w:rPr>
          <w:b/>
          <w:bCs/>
          <w:sz w:val="24"/>
          <w:szCs w:val="28"/>
        </w:rPr>
        <w:t>upplementary Figures</w:t>
      </w:r>
    </w:p>
    <w:p w14:paraId="233A9B2D" w14:textId="595B0D43" w:rsidR="009B5DE6" w:rsidRDefault="00EA32F4" w:rsidP="0094387E">
      <w:pPr>
        <w:jc w:val="center"/>
      </w:pPr>
      <w:r>
        <w:rPr>
          <w:noProof/>
        </w:rPr>
        <w:drawing>
          <wp:inline distT="0" distB="0" distL="0" distR="0" wp14:anchorId="6BC05FD9" wp14:editId="560B87E2">
            <wp:extent cx="5234297" cy="2068732"/>
            <wp:effectExtent l="0" t="0" r="508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2872" b="22233"/>
                    <a:stretch/>
                  </pic:blipFill>
                  <pic:spPr bwMode="auto">
                    <a:xfrm>
                      <a:off x="0" y="0"/>
                      <a:ext cx="5244098" cy="2072606"/>
                    </a:xfrm>
                    <a:prstGeom prst="rect">
                      <a:avLst/>
                    </a:prstGeom>
                    <a:noFill/>
                    <a:ln>
                      <a:noFill/>
                    </a:ln>
                    <a:extLst>
                      <a:ext uri="{53640926-AAD7-44D8-BBD7-CCE9431645EC}">
                        <a14:shadowObscured xmlns:a14="http://schemas.microsoft.com/office/drawing/2010/main"/>
                      </a:ext>
                    </a:extLst>
                  </pic:spPr>
                </pic:pic>
              </a:graphicData>
            </a:graphic>
          </wp:inline>
        </w:drawing>
      </w:r>
    </w:p>
    <w:p w14:paraId="6C9595EB" w14:textId="03CF920A" w:rsidR="00D42AFD" w:rsidRDefault="00F96B89" w:rsidP="00206601">
      <w:pPr>
        <w:spacing w:line="360" w:lineRule="auto"/>
      </w:pPr>
      <w:r w:rsidRPr="00F96B89">
        <w:rPr>
          <w:b/>
          <w:bCs/>
        </w:rPr>
        <w:t xml:space="preserve">Supplementary </w:t>
      </w:r>
      <w:r w:rsidR="00EA32F4" w:rsidRPr="00F96B89">
        <w:rPr>
          <w:rFonts w:hint="eastAsia"/>
          <w:b/>
          <w:bCs/>
        </w:rPr>
        <w:t>Fig</w:t>
      </w:r>
      <w:r w:rsidRPr="00F96B89">
        <w:rPr>
          <w:b/>
          <w:bCs/>
        </w:rPr>
        <w:t xml:space="preserve">. </w:t>
      </w:r>
      <w:r w:rsidR="00EA32F4" w:rsidRPr="00F96B89">
        <w:rPr>
          <w:b/>
          <w:bCs/>
        </w:rPr>
        <w:t>1</w:t>
      </w:r>
      <w:r w:rsidR="001E42FE">
        <w:t xml:space="preserve"> Schematic of the compression test platform including linear motor, Al plate, PVDF-based device, acrylic substrate, and force gauge.</w:t>
      </w:r>
      <w:r w:rsidR="00D42AFD">
        <w:br w:type="page"/>
      </w:r>
    </w:p>
    <w:p w14:paraId="7773155B" w14:textId="28BCFA26" w:rsidR="00EA32F4" w:rsidRDefault="00450803" w:rsidP="002D65AD">
      <w:pPr>
        <w:jc w:val="center"/>
      </w:pPr>
      <w:r>
        <w:rPr>
          <w:noProof/>
        </w:rPr>
        <w:drawing>
          <wp:inline distT="0" distB="0" distL="0" distR="0" wp14:anchorId="58E31202" wp14:editId="7EC15D1C">
            <wp:extent cx="5012657" cy="23088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546" t="15671" r="8652" b="19364"/>
                    <a:stretch/>
                  </pic:blipFill>
                  <pic:spPr bwMode="auto">
                    <a:xfrm>
                      <a:off x="0" y="0"/>
                      <a:ext cx="5024262" cy="2314206"/>
                    </a:xfrm>
                    <a:prstGeom prst="rect">
                      <a:avLst/>
                    </a:prstGeom>
                    <a:noFill/>
                    <a:ln>
                      <a:noFill/>
                    </a:ln>
                    <a:extLst>
                      <a:ext uri="{53640926-AAD7-44D8-BBD7-CCE9431645EC}">
                        <a14:shadowObscured xmlns:a14="http://schemas.microsoft.com/office/drawing/2010/main"/>
                      </a:ext>
                    </a:extLst>
                  </pic:spPr>
                </pic:pic>
              </a:graphicData>
            </a:graphic>
          </wp:inline>
        </w:drawing>
      </w:r>
    </w:p>
    <w:p w14:paraId="1CA4C011" w14:textId="5F583A41" w:rsidR="002D65AD" w:rsidRDefault="00F96B89" w:rsidP="00206601">
      <w:pPr>
        <w:spacing w:line="360" w:lineRule="auto"/>
      </w:pPr>
      <w:r w:rsidRPr="00F96B89">
        <w:rPr>
          <w:b/>
          <w:bCs/>
        </w:rPr>
        <w:t xml:space="preserve">Supplementary </w:t>
      </w:r>
      <w:r w:rsidRPr="00F96B89">
        <w:rPr>
          <w:rFonts w:hint="eastAsia"/>
          <w:b/>
          <w:bCs/>
        </w:rPr>
        <w:t>Fig</w:t>
      </w:r>
      <w:r w:rsidRPr="00F96B89">
        <w:rPr>
          <w:b/>
          <w:bCs/>
        </w:rPr>
        <w:t xml:space="preserve">. </w:t>
      </w:r>
      <w:r>
        <w:rPr>
          <w:b/>
          <w:bCs/>
        </w:rPr>
        <w:t>2</w:t>
      </w:r>
      <w:r w:rsidR="001E42FE">
        <w:t xml:space="preserve"> Schematic diagram of measuring the electric signal between the front electrode and back electrode</w:t>
      </w:r>
      <w:r w:rsidR="00256165">
        <w:t xml:space="preserve"> </w:t>
      </w:r>
      <w:r w:rsidR="00256165">
        <w:rPr>
          <w:rFonts w:hint="eastAsia"/>
        </w:rPr>
        <w:t>o</w:t>
      </w:r>
      <w:r w:rsidR="00256165">
        <w:t>f the PI-based device</w:t>
      </w:r>
      <w:r w:rsidR="001E42FE">
        <w:t>. (a)</w:t>
      </w:r>
      <w:r w:rsidR="0050360E">
        <w:t xml:space="preserve"> In the forward connection,</w:t>
      </w:r>
      <w:r w:rsidR="001E42FE">
        <w:t xml:space="preserve"> </w:t>
      </w:r>
      <w:r w:rsidR="0050360E">
        <w:t>t</w:t>
      </w:r>
      <w:r w:rsidR="001E42FE">
        <w:t>he Kapton layer and front electrode form a SE-TENG system</w:t>
      </w:r>
      <w:r w:rsidR="0050360E">
        <w:t xml:space="preserve">, and most of </w:t>
      </w:r>
      <w:r w:rsidR="00A16A28">
        <w:t xml:space="preserve">the </w:t>
      </w:r>
      <w:r w:rsidR="0050360E">
        <w:t xml:space="preserve">induced positive charges can be detected in the front electrode. (b) </w:t>
      </w:r>
      <w:r w:rsidR="00256165">
        <w:t xml:space="preserve">In the reverse connection, </w:t>
      </w:r>
      <w:r w:rsidR="005967CF">
        <w:t xml:space="preserve">most of the induced positive charges in the front electrode flow to the ground, while </w:t>
      </w:r>
      <w:r w:rsidR="00256165">
        <w:t>lesser positive charges in the back electrode are detected.</w:t>
      </w:r>
      <w:r w:rsidR="00D42AFD">
        <w:br w:type="page"/>
      </w:r>
    </w:p>
    <w:p w14:paraId="52447FE8" w14:textId="17BCACF8" w:rsidR="002D65AD" w:rsidRDefault="0094387E" w:rsidP="002D65AD">
      <w:pPr>
        <w:jc w:val="center"/>
      </w:pPr>
      <w:r>
        <w:rPr>
          <w:noProof/>
        </w:rPr>
        <w:drawing>
          <wp:inline distT="0" distB="0" distL="0" distR="0" wp14:anchorId="263FC2B9" wp14:editId="3616D28A">
            <wp:extent cx="4476157" cy="3375660"/>
            <wp:effectExtent l="0" t="0" r="63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950" r="12385"/>
                    <a:stretch/>
                  </pic:blipFill>
                  <pic:spPr bwMode="auto">
                    <a:xfrm>
                      <a:off x="0" y="0"/>
                      <a:ext cx="4488104" cy="3384670"/>
                    </a:xfrm>
                    <a:prstGeom prst="rect">
                      <a:avLst/>
                    </a:prstGeom>
                    <a:noFill/>
                    <a:ln>
                      <a:noFill/>
                    </a:ln>
                    <a:extLst>
                      <a:ext uri="{53640926-AAD7-44D8-BBD7-CCE9431645EC}">
                        <a14:shadowObscured xmlns:a14="http://schemas.microsoft.com/office/drawing/2010/main"/>
                      </a:ext>
                    </a:extLst>
                  </pic:spPr>
                </pic:pic>
              </a:graphicData>
            </a:graphic>
          </wp:inline>
        </w:drawing>
      </w:r>
    </w:p>
    <w:p w14:paraId="53911B47" w14:textId="56BFAC4C" w:rsidR="002D65AD" w:rsidRDefault="00F96B89" w:rsidP="00206601">
      <w:pPr>
        <w:spacing w:line="360" w:lineRule="auto"/>
      </w:pPr>
      <w:r w:rsidRPr="00F96B89">
        <w:rPr>
          <w:b/>
          <w:bCs/>
        </w:rPr>
        <w:t xml:space="preserve">Supplementary </w:t>
      </w:r>
      <w:r w:rsidRPr="00F96B89">
        <w:rPr>
          <w:rFonts w:hint="eastAsia"/>
          <w:b/>
          <w:bCs/>
        </w:rPr>
        <w:t>Fig</w:t>
      </w:r>
      <w:r w:rsidRPr="00F96B89">
        <w:rPr>
          <w:b/>
          <w:bCs/>
        </w:rPr>
        <w:t xml:space="preserve">. </w:t>
      </w:r>
      <w:r>
        <w:rPr>
          <w:b/>
          <w:bCs/>
        </w:rPr>
        <w:t>3</w:t>
      </w:r>
      <w:r w:rsidR="00256165">
        <w:t xml:space="preserve"> The working mechanism of the CE-TENG of the PI-based device. (a) When the Al plate and the device are contacted with each other, the same amount of positive and negative charges can be induced in the surface of the Al plate and Kapton layer respectively. (b) When the Al plate is separating from the device, the positive charges in the Al plate flow to the electrode of the device. (c) When the Al plate is well separated with</w:t>
      </w:r>
      <w:r w:rsidR="00F02BDE">
        <w:t xml:space="preserve"> the device, there is an </w:t>
      </w:r>
      <w:r w:rsidR="00F02BDE">
        <w:rPr>
          <w:rFonts w:hint="eastAsia"/>
        </w:rPr>
        <w:t>e</w:t>
      </w:r>
      <w:r w:rsidR="00F02BDE" w:rsidRPr="00F02BDE">
        <w:t>lectrostatic balance</w:t>
      </w:r>
      <w:r w:rsidR="00F02BDE">
        <w:t xml:space="preserve"> between the Kapton layer and the electrode. (d) When the Al plate is contacting with the device, the positive charges in the electrode flow to the Al plate.</w:t>
      </w:r>
      <w:r w:rsidR="00D42AFD">
        <w:br w:type="page"/>
      </w:r>
    </w:p>
    <w:p w14:paraId="7B976520" w14:textId="77777777" w:rsidR="002D65AD" w:rsidRDefault="002D65AD" w:rsidP="002D65AD">
      <w:pPr>
        <w:jc w:val="center"/>
      </w:pPr>
    </w:p>
    <w:p w14:paraId="4F20DAB6" w14:textId="34BBEBDA" w:rsidR="00EA32F4" w:rsidRDefault="00450803" w:rsidP="00EA32F4">
      <w:pPr>
        <w:jc w:val="center"/>
      </w:pPr>
      <w:r>
        <w:rPr>
          <w:noProof/>
        </w:rPr>
        <w:drawing>
          <wp:inline distT="0" distB="0" distL="0" distR="0" wp14:anchorId="118D20CB" wp14:editId="34B715F1">
            <wp:extent cx="4686300" cy="427081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134" b="11853"/>
                    <a:stretch/>
                  </pic:blipFill>
                  <pic:spPr bwMode="auto">
                    <a:xfrm>
                      <a:off x="0" y="0"/>
                      <a:ext cx="4696181" cy="4279817"/>
                    </a:xfrm>
                    <a:prstGeom prst="rect">
                      <a:avLst/>
                    </a:prstGeom>
                    <a:noFill/>
                    <a:ln>
                      <a:noFill/>
                    </a:ln>
                    <a:extLst>
                      <a:ext uri="{53640926-AAD7-44D8-BBD7-CCE9431645EC}">
                        <a14:shadowObscured xmlns:a14="http://schemas.microsoft.com/office/drawing/2010/main"/>
                      </a:ext>
                    </a:extLst>
                  </pic:spPr>
                </pic:pic>
              </a:graphicData>
            </a:graphic>
          </wp:inline>
        </w:drawing>
      </w:r>
    </w:p>
    <w:p w14:paraId="2A492212" w14:textId="0BB5F296" w:rsidR="00EA32F4" w:rsidRDefault="00F96B89" w:rsidP="00206601">
      <w:pPr>
        <w:spacing w:line="360" w:lineRule="auto"/>
      </w:pPr>
      <w:r w:rsidRPr="00F96B89">
        <w:rPr>
          <w:b/>
          <w:bCs/>
        </w:rPr>
        <w:t xml:space="preserve">Supplementary </w:t>
      </w:r>
      <w:r w:rsidRPr="00F96B89">
        <w:rPr>
          <w:rFonts w:hint="eastAsia"/>
          <w:b/>
          <w:bCs/>
        </w:rPr>
        <w:t>Fig</w:t>
      </w:r>
      <w:r w:rsidRPr="00F96B89">
        <w:rPr>
          <w:b/>
          <w:bCs/>
        </w:rPr>
        <w:t xml:space="preserve">. </w:t>
      </w:r>
      <w:r>
        <w:rPr>
          <w:b/>
          <w:bCs/>
        </w:rPr>
        <w:t>4</w:t>
      </w:r>
      <w:r w:rsidR="00F02BDE">
        <w:t xml:space="preserve"> </w:t>
      </w:r>
      <w:r w:rsidR="00484E39">
        <w:t xml:space="preserve">The electric response of PI-based device under finger tapping in practical measurement. </w:t>
      </w:r>
      <w:r w:rsidR="00F02BDE">
        <w:t>The</w:t>
      </w:r>
      <w:r w:rsidR="00484E39">
        <w:t xml:space="preserve"> (a)</w:t>
      </w:r>
      <w:r w:rsidR="00F02BDE">
        <w:t xml:space="preserve"> transferred charge and</w:t>
      </w:r>
      <w:r w:rsidR="00484E39">
        <w:t xml:space="preserve"> (c) open-circuit voltage are generated when using a finger to tap the PI-based device, they are up to ~2 </w:t>
      </w:r>
      <w:proofErr w:type="spellStart"/>
      <w:r w:rsidR="00484E39">
        <w:t>nC</w:t>
      </w:r>
      <w:proofErr w:type="spellEnd"/>
      <w:r w:rsidR="00484E39">
        <w:t xml:space="preserve"> and ~1.5 V respectively. The (b) transferred charge and (d) open-circuit voltage are generated when using a finger with a rubber glove to tap the PI-based device, they are up to ~4 </w:t>
      </w:r>
      <w:proofErr w:type="spellStart"/>
      <w:r w:rsidR="00484E39">
        <w:t>nC</w:t>
      </w:r>
      <w:proofErr w:type="spellEnd"/>
      <w:r w:rsidR="00484E39">
        <w:t xml:space="preserve"> and ~7 V respectively.</w:t>
      </w:r>
    </w:p>
    <w:p w14:paraId="2492E0EC" w14:textId="31CB7EC6" w:rsidR="00EA32F4" w:rsidRDefault="00EA32F4"/>
    <w:p w14:paraId="66CB3EE1" w14:textId="698A8792" w:rsidR="00EA32F4" w:rsidRDefault="0094387E" w:rsidP="00EA32F4">
      <w:pPr>
        <w:jc w:val="center"/>
      </w:pPr>
      <w:r>
        <w:rPr>
          <w:noProof/>
        </w:rPr>
        <w:drawing>
          <wp:inline distT="0" distB="0" distL="0" distR="0" wp14:anchorId="14A38CD1" wp14:editId="40B9F730">
            <wp:extent cx="4975384" cy="4930140"/>
            <wp:effectExtent l="0" t="0" r="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095" r="18514"/>
                    <a:stretch/>
                  </pic:blipFill>
                  <pic:spPr bwMode="auto">
                    <a:xfrm>
                      <a:off x="0" y="0"/>
                      <a:ext cx="4980013" cy="4934727"/>
                    </a:xfrm>
                    <a:prstGeom prst="rect">
                      <a:avLst/>
                    </a:prstGeom>
                    <a:noFill/>
                    <a:ln>
                      <a:noFill/>
                    </a:ln>
                    <a:extLst>
                      <a:ext uri="{53640926-AAD7-44D8-BBD7-CCE9431645EC}">
                        <a14:shadowObscured xmlns:a14="http://schemas.microsoft.com/office/drawing/2010/main"/>
                      </a:ext>
                    </a:extLst>
                  </pic:spPr>
                </pic:pic>
              </a:graphicData>
            </a:graphic>
          </wp:inline>
        </w:drawing>
      </w:r>
    </w:p>
    <w:p w14:paraId="66F6E371" w14:textId="1241D3E7" w:rsidR="00EA32F4" w:rsidRDefault="00F96B89" w:rsidP="00206601">
      <w:pPr>
        <w:spacing w:line="360" w:lineRule="auto"/>
      </w:pPr>
      <w:r w:rsidRPr="00F96B89">
        <w:rPr>
          <w:b/>
          <w:bCs/>
        </w:rPr>
        <w:t xml:space="preserve">Supplementary </w:t>
      </w:r>
      <w:r w:rsidRPr="00F96B89">
        <w:rPr>
          <w:rFonts w:hint="eastAsia"/>
          <w:b/>
          <w:bCs/>
        </w:rPr>
        <w:t>Fig</w:t>
      </w:r>
      <w:r w:rsidRPr="00F96B89">
        <w:rPr>
          <w:b/>
          <w:bCs/>
        </w:rPr>
        <w:t xml:space="preserve">. </w:t>
      </w:r>
      <w:r>
        <w:rPr>
          <w:b/>
          <w:bCs/>
        </w:rPr>
        <w:t>5</w:t>
      </w:r>
      <w:r w:rsidR="00484E39">
        <w:t xml:space="preserve"> The role of conductive shielding layer. (a) </w:t>
      </w:r>
      <w:r w:rsidR="002500AB">
        <w:t>S</w:t>
      </w:r>
      <w:r w:rsidR="00484E39">
        <w:t>chematic diagram of</w:t>
      </w:r>
      <w:r w:rsidR="002500AB">
        <w:t xml:space="preserve"> measuring the electric signals from the</w:t>
      </w:r>
      <w:r w:rsidR="00484E39">
        <w:t xml:space="preserve"> PI-based device with a conductive shielding layer, </w:t>
      </w:r>
      <w:r w:rsidR="002500AB">
        <w:t>the corresponding</w:t>
      </w:r>
      <w:r w:rsidR="00484E39">
        <w:t xml:space="preserve"> (c) short-circuit current and (e) open-circuit voltage </w:t>
      </w:r>
      <w:r w:rsidR="002500AB">
        <w:t>show no electric signals</w:t>
      </w:r>
      <w:r w:rsidR="00484E39">
        <w:t xml:space="preserve"> in </w:t>
      </w:r>
      <w:r w:rsidR="002500AB">
        <w:t xml:space="preserve">both </w:t>
      </w:r>
      <w:r w:rsidR="00484E39">
        <w:t>the forward and reverse connection</w:t>
      </w:r>
      <w:r w:rsidR="002500AB">
        <w:t>, indicating that the contact electrification outside the device is eliminated</w:t>
      </w:r>
      <w:r w:rsidR="00484E39">
        <w:t xml:space="preserve">. (b) </w:t>
      </w:r>
      <w:r w:rsidR="002500AB">
        <w:t>S</w:t>
      </w:r>
      <w:r w:rsidR="00484E39">
        <w:t xml:space="preserve">chematic diagram of </w:t>
      </w:r>
      <w:r w:rsidR="002500AB">
        <w:t xml:space="preserve">measuring the electric signals from the </w:t>
      </w:r>
      <w:r w:rsidR="00484E39">
        <w:t xml:space="preserve">PVDF-based device with a conductive shielding layer, </w:t>
      </w:r>
      <w:r w:rsidR="002500AB">
        <w:t>the</w:t>
      </w:r>
      <w:r w:rsidR="00484E39">
        <w:t xml:space="preserve"> corresponding (c) short-circuit current and (e) open-circuit voltage</w:t>
      </w:r>
      <w:r w:rsidR="002500AB" w:rsidRPr="002500AB">
        <w:t xml:space="preserve"> </w:t>
      </w:r>
      <w:r w:rsidR="002500AB">
        <w:t>show significant electric signals</w:t>
      </w:r>
      <w:r w:rsidR="00484E39">
        <w:t xml:space="preserve"> in </w:t>
      </w:r>
      <w:r w:rsidR="002500AB">
        <w:t xml:space="preserve">both </w:t>
      </w:r>
      <w:r w:rsidR="00484E39">
        <w:t>the forward and reverse connection</w:t>
      </w:r>
      <w:r w:rsidR="00D00A2D">
        <w:t xml:space="preserve">, suggesting that they </w:t>
      </w:r>
      <w:r w:rsidR="002500AB">
        <w:t>are sole piezoelectric signals.</w:t>
      </w:r>
      <w:r w:rsidR="00D42AFD">
        <w:br w:type="page"/>
      </w:r>
    </w:p>
    <w:p w14:paraId="4B810D6E" w14:textId="7EBCCD0C" w:rsidR="00EA32F4" w:rsidRDefault="00514DC0" w:rsidP="00EA32F4">
      <w:pPr>
        <w:jc w:val="center"/>
      </w:pPr>
      <w:r>
        <w:rPr>
          <w:noProof/>
        </w:rPr>
        <w:drawing>
          <wp:inline distT="0" distB="0" distL="0" distR="0" wp14:anchorId="70F81402" wp14:editId="4D07E272">
            <wp:extent cx="5297414" cy="51282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240" b="14951"/>
                    <a:stretch/>
                  </pic:blipFill>
                  <pic:spPr bwMode="auto">
                    <a:xfrm>
                      <a:off x="0" y="0"/>
                      <a:ext cx="5305150" cy="5135749"/>
                    </a:xfrm>
                    <a:prstGeom prst="rect">
                      <a:avLst/>
                    </a:prstGeom>
                    <a:noFill/>
                    <a:ln>
                      <a:noFill/>
                    </a:ln>
                    <a:extLst>
                      <a:ext uri="{53640926-AAD7-44D8-BBD7-CCE9431645EC}">
                        <a14:shadowObscured xmlns:a14="http://schemas.microsoft.com/office/drawing/2010/main"/>
                      </a:ext>
                    </a:extLst>
                  </pic:spPr>
                </pic:pic>
              </a:graphicData>
            </a:graphic>
          </wp:inline>
        </w:drawing>
      </w:r>
    </w:p>
    <w:p w14:paraId="747CB5E8" w14:textId="5B4CB1CB" w:rsidR="00E531BC" w:rsidRDefault="00F96B89" w:rsidP="00206601">
      <w:pPr>
        <w:spacing w:line="360" w:lineRule="auto"/>
      </w:pPr>
      <w:r w:rsidRPr="00F96B89">
        <w:rPr>
          <w:b/>
          <w:bCs/>
        </w:rPr>
        <w:t xml:space="preserve">Supplementary </w:t>
      </w:r>
      <w:r w:rsidRPr="00F96B89">
        <w:rPr>
          <w:rFonts w:hint="eastAsia"/>
          <w:b/>
          <w:bCs/>
        </w:rPr>
        <w:t>Fig</w:t>
      </w:r>
      <w:r w:rsidRPr="00F96B89">
        <w:rPr>
          <w:b/>
          <w:bCs/>
        </w:rPr>
        <w:t xml:space="preserve">. </w:t>
      </w:r>
      <w:r>
        <w:rPr>
          <w:b/>
          <w:bCs/>
        </w:rPr>
        <w:t>6</w:t>
      </w:r>
      <w:r w:rsidR="00D00A2D">
        <w:t xml:space="preserve"> The triboelectric-piezoelectric hybrid output generated by the PVDF-based device </w:t>
      </w:r>
      <w:r w:rsidR="003C0FFB">
        <w:t xml:space="preserve">with the </w:t>
      </w:r>
      <w:r w:rsidR="00302B15">
        <w:rPr>
          <w:rFonts w:hint="eastAsia"/>
        </w:rPr>
        <w:t>positive</w:t>
      </w:r>
      <w:r w:rsidR="00D00A2D">
        <w:t xml:space="preserve"> p</w:t>
      </w:r>
      <w:r w:rsidR="00D00A2D" w:rsidRPr="00D00A2D">
        <w:t>olarization direction</w:t>
      </w:r>
      <w:r w:rsidR="00D00A2D">
        <w:t xml:space="preserve">. (a) </w:t>
      </w:r>
      <w:r w:rsidR="003C0FFB">
        <w:t xml:space="preserve">Schematic of measuring the triboelectric-piezoelectric hybrid output in the </w:t>
      </w:r>
      <w:r w:rsidR="00865BBB">
        <w:t>positive</w:t>
      </w:r>
      <w:r w:rsidR="003C0FFB">
        <w:t xml:space="preserve"> polarization direction of the PVDF film. (b) The signal generation process of hybrid output </w:t>
      </w:r>
      <w:r w:rsidR="00E77565">
        <w:t xml:space="preserve">contains six stages </w:t>
      </w:r>
      <w:r w:rsidR="003C0FFB">
        <w:t>including contacting, contacted, comp</w:t>
      </w:r>
      <w:r w:rsidR="00E531BC">
        <w:t>ressing, releasing, released, separating. (c) The sole triboelectric signals (I</w:t>
      </w:r>
      <w:r w:rsidR="00E531BC" w:rsidRPr="00865BBB">
        <w:rPr>
          <w:vertAlign w:val="subscript"/>
        </w:rPr>
        <w:t>SC</w:t>
      </w:r>
      <w:r w:rsidR="00E531BC">
        <w:t>, V</w:t>
      </w:r>
      <w:r w:rsidR="00E531BC" w:rsidRPr="00865BBB">
        <w:rPr>
          <w:vertAlign w:val="subscript"/>
        </w:rPr>
        <w:t>OC</w:t>
      </w:r>
      <w:r w:rsidR="00E531BC">
        <w:t>, and charge) are generated by the PI-based device, and the</w:t>
      </w:r>
      <w:r w:rsidR="00953AF6">
        <w:t>ir</w:t>
      </w:r>
      <w:r w:rsidR="00E531BC">
        <w:t xml:space="preserve"> </w:t>
      </w:r>
      <w:r w:rsidR="007C0F24" w:rsidRPr="007C0F24">
        <w:t xml:space="preserve">corresponding </w:t>
      </w:r>
      <w:r w:rsidR="00E531BC">
        <w:t xml:space="preserve">force loading signal. </w:t>
      </w:r>
      <w:r w:rsidR="007C0F24">
        <w:t>Sole t</w:t>
      </w:r>
      <w:r w:rsidR="00E531BC">
        <w:t xml:space="preserve">riboelectric signals are generated in the </w:t>
      </w:r>
      <w:r w:rsidR="00E77565">
        <w:t>stages</w:t>
      </w:r>
      <w:r w:rsidR="00E531BC">
        <w:t xml:space="preserve"> of contacting and separating</w:t>
      </w:r>
      <w:r w:rsidR="00953AF6">
        <w:t xml:space="preserve"> (light yellow area)</w:t>
      </w:r>
      <w:r w:rsidR="00E531BC">
        <w:t xml:space="preserve">. (d) The sole piezoelectric signals </w:t>
      </w:r>
      <w:r w:rsidR="00953AF6">
        <w:t>(I</w:t>
      </w:r>
      <w:r w:rsidR="00953AF6" w:rsidRPr="00953AF6">
        <w:rPr>
          <w:vertAlign w:val="subscript"/>
        </w:rPr>
        <w:t>SC</w:t>
      </w:r>
      <w:r w:rsidR="00953AF6">
        <w:t>, V</w:t>
      </w:r>
      <w:r w:rsidR="00953AF6" w:rsidRPr="00953AF6">
        <w:rPr>
          <w:vertAlign w:val="subscript"/>
        </w:rPr>
        <w:t>OC</w:t>
      </w:r>
      <w:r w:rsidR="00953AF6">
        <w:t xml:space="preserve">, and charge) </w:t>
      </w:r>
      <w:r w:rsidR="00E531BC">
        <w:t xml:space="preserve">are generated by the PVDF-based device with </w:t>
      </w:r>
      <w:r w:rsidR="00953AF6">
        <w:t xml:space="preserve">a </w:t>
      </w:r>
      <w:r w:rsidR="00E531BC">
        <w:t xml:space="preserve">shielding layer, and </w:t>
      </w:r>
      <w:r w:rsidR="00953AF6">
        <w:t xml:space="preserve">their </w:t>
      </w:r>
      <w:r w:rsidR="00E531BC">
        <w:t>corresponding force</w:t>
      </w:r>
      <w:r w:rsidR="001E5475">
        <w:t xml:space="preserve"> loading</w:t>
      </w:r>
      <w:r w:rsidR="00953AF6">
        <w:t xml:space="preserve"> signal</w:t>
      </w:r>
      <w:r w:rsidR="007C0F24">
        <w:t xml:space="preserve">. Sole piezoelectric signals are generated in the </w:t>
      </w:r>
      <w:proofErr w:type="spellStart"/>
      <w:r w:rsidR="00E77565">
        <w:t>stages</w:t>
      </w:r>
      <w:r w:rsidR="007C0F24">
        <w:t>of</w:t>
      </w:r>
      <w:proofErr w:type="spellEnd"/>
      <w:r w:rsidR="007C0F24">
        <w:t xml:space="preserve"> compressing and releasing</w:t>
      </w:r>
      <w:r w:rsidR="00953AF6">
        <w:t xml:space="preserve"> (light green area)</w:t>
      </w:r>
      <w:r w:rsidR="007C0F24">
        <w:t>. (d) The triboelectric-piezoelectric hybrid signals (I</w:t>
      </w:r>
      <w:r w:rsidR="007C0F24" w:rsidRPr="00953AF6">
        <w:rPr>
          <w:vertAlign w:val="subscript"/>
        </w:rPr>
        <w:t>SC</w:t>
      </w:r>
      <w:r w:rsidR="007C0F24">
        <w:t>, V</w:t>
      </w:r>
      <w:r w:rsidR="007C0F24" w:rsidRPr="00953AF6">
        <w:rPr>
          <w:vertAlign w:val="subscript"/>
        </w:rPr>
        <w:t>OC</w:t>
      </w:r>
      <w:r w:rsidR="007C0F24">
        <w:t>, and charge) are generated by the PVDF-based device, and the</w:t>
      </w:r>
      <w:r w:rsidR="00953AF6">
        <w:t>ir</w:t>
      </w:r>
      <w:r w:rsidR="007C0F24">
        <w:t xml:space="preserve"> </w:t>
      </w:r>
      <w:r w:rsidR="007C0F24" w:rsidRPr="007C0F24">
        <w:t xml:space="preserve">corresponding </w:t>
      </w:r>
      <w:r w:rsidR="007C0F24">
        <w:t xml:space="preserve">force loading signal. The </w:t>
      </w:r>
      <w:r w:rsidR="00953AF6">
        <w:t xml:space="preserve">hybrid </w:t>
      </w:r>
      <w:r w:rsidR="007C0F24">
        <w:t xml:space="preserve">signals exist in the </w:t>
      </w:r>
      <w:r w:rsidR="00E77565">
        <w:t>stages</w:t>
      </w:r>
      <w:r w:rsidR="007C0F24">
        <w:t xml:space="preserve"> of contacting, compressing, releasing, and separating.</w:t>
      </w:r>
      <w:r w:rsidR="00D42AFD">
        <w:br w:type="page"/>
      </w:r>
    </w:p>
    <w:p w14:paraId="3D1445BD" w14:textId="0A6E309D" w:rsidR="00EA32F4" w:rsidRDefault="00450803" w:rsidP="00EA32F4">
      <w:pPr>
        <w:jc w:val="center"/>
      </w:pPr>
      <w:r>
        <w:rPr>
          <w:noProof/>
        </w:rPr>
        <w:drawing>
          <wp:inline distT="0" distB="0" distL="0" distR="0" wp14:anchorId="38E3FAE2" wp14:editId="26617574">
            <wp:extent cx="5280660" cy="4204537"/>
            <wp:effectExtent l="0" t="0" r="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6158" b="16555"/>
                    <a:stretch/>
                  </pic:blipFill>
                  <pic:spPr bwMode="auto">
                    <a:xfrm>
                      <a:off x="0" y="0"/>
                      <a:ext cx="5287883" cy="4210288"/>
                    </a:xfrm>
                    <a:prstGeom prst="rect">
                      <a:avLst/>
                    </a:prstGeom>
                    <a:noFill/>
                    <a:ln>
                      <a:noFill/>
                    </a:ln>
                    <a:extLst>
                      <a:ext uri="{53640926-AAD7-44D8-BBD7-CCE9431645EC}">
                        <a14:shadowObscured xmlns:a14="http://schemas.microsoft.com/office/drawing/2010/main"/>
                      </a:ext>
                    </a:extLst>
                  </pic:spPr>
                </pic:pic>
              </a:graphicData>
            </a:graphic>
          </wp:inline>
        </w:drawing>
      </w:r>
    </w:p>
    <w:p w14:paraId="11B2E453" w14:textId="00AA8275" w:rsidR="00F64493" w:rsidRDefault="00F96B89" w:rsidP="00206601">
      <w:pPr>
        <w:spacing w:line="360" w:lineRule="auto"/>
        <w:rPr>
          <w:szCs w:val="21"/>
        </w:rPr>
      </w:pPr>
      <w:r w:rsidRPr="00F96B89">
        <w:rPr>
          <w:b/>
          <w:bCs/>
        </w:rPr>
        <w:t xml:space="preserve">Supplementary </w:t>
      </w:r>
      <w:r w:rsidRPr="00F96B89">
        <w:rPr>
          <w:rFonts w:hint="eastAsia"/>
          <w:b/>
          <w:bCs/>
        </w:rPr>
        <w:t>Fig</w:t>
      </w:r>
      <w:r w:rsidRPr="00F96B89">
        <w:rPr>
          <w:b/>
          <w:bCs/>
        </w:rPr>
        <w:t xml:space="preserve">. </w:t>
      </w:r>
      <w:r>
        <w:rPr>
          <w:b/>
          <w:bCs/>
        </w:rPr>
        <w:t>7</w:t>
      </w:r>
      <w:r w:rsidR="007C0F24" w:rsidRPr="007C0F24">
        <w:t xml:space="preserve"> </w:t>
      </w:r>
      <w:r w:rsidR="007C0F24">
        <w:t>The transferred piezoelectric charges generated by the PVDF-based device are measured in the (a) forward connection and (b) reverse connection under different forces.</w:t>
      </w:r>
      <w:r w:rsidR="00F64493" w:rsidRPr="00F64493">
        <w:rPr>
          <w:szCs w:val="21"/>
        </w:rPr>
        <w:t xml:space="preserve"> </w:t>
      </w:r>
      <w:r w:rsidR="00F64493" w:rsidRPr="002F1C40">
        <w:rPr>
          <w:szCs w:val="21"/>
        </w:rPr>
        <w:t>The piezoelectric charge</w:t>
      </w:r>
      <w:r w:rsidR="00AF59DD">
        <w:rPr>
          <w:szCs w:val="21"/>
        </w:rPr>
        <w:t xml:space="preserve"> transfer </w:t>
      </w:r>
      <w:r w:rsidR="00FC5D24">
        <w:rPr>
          <w:szCs w:val="21"/>
        </w:rPr>
        <w:t>(q</w:t>
      </w:r>
      <w:r w:rsidR="00FC5D24" w:rsidRPr="00FC5D24">
        <w:rPr>
          <w:szCs w:val="21"/>
          <w:vertAlign w:val="subscript"/>
        </w:rPr>
        <w:t>1</w:t>
      </w:r>
      <w:r w:rsidR="00FC5D24">
        <w:rPr>
          <w:szCs w:val="21"/>
        </w:rPr>
        <w:t xml:space="preserve"> and -q</w:t>
      </w:r>
      <w:r w:rsidR="00FC5D24" w:rsidRPr="00FC5D24">
        <w:rPr>
          <w:szCs w:val="21"/>
          <w:vertAlign w:val="subscript"/>
        </w:rPr>
        <w:t>1</w:t>
      </w:r>
      <w:r w:rsidR="00FC5D24">
        <w:rPr>
          <w:szCs w:val="21"/>
        </w:rPr>
        <w:t xml:space="preserve">’) </w:t>
      </w:r>
      <w:r w:rsidR="00AF59DD">
        <w:rPr>
          <w:szCs w:val="21"/>
        </w:rPr>
        <w:t>is</w:t>
      </w:r>
      <w:r w:rsidR="00F64493" w:rsidRPr="002F1C40">
        <w:rPr>
          <w:szCs w:val="21"/>
        </w:rPr>
        <w:t xml:space="preserve"> </w:t>
      </w:r>
      <w:r w:rsidR="00F64493">
        <w:rPr>
          <w:szCs w:val="21"/>
        </w:rPr>
        <w:t xml:space="preserve">extracted </w:t>
      </w:r>
      <w:r w:rsidR="00F64493" w:rsidRPr="002F1C40">
        <w:rPr>
          <w:szCs w:val="21"/>
        </w:rPr>
        <w:t>from the (</w:t>
      </w:r>
      <w:r w:rsidR="00F64493">
        <w:rPr>
          <w:szCs w:val="21"/>
        </w:rPr>
        <w:t>c</w:t>
      </w:r>
      <w:r w:rsidR="00F64493" w:rsidRPr="002F1C40">
        <w:rPr>
          <w:szCs w:val="21"/>
        </w:rPr>
        <w:t>) positive and (</w:t>
      </w:r>
      <w:r w:rsidR="00F64493">
        <w:rPr>
          <w:szCs w:val="21"/>
        </w:rPr>
        <w:t>d</w:t>
      </w:r>
      <w:r w:rsidR="00F64493" w:rsidRPr="002F1C40">
        <w:rPr>
          <w:szCs w:val="21"/>
        </w:rPr>
        <w:t xml:space="preserve">) negative polarization sides of </w:t>
      </w:r>
      <w:r w:rsidR="00FC5D24">
        <w:rPr>
          <w:szCs w:val="21"/>
        </w:rPr>
        <w:t xml:space="preserve">the </w:t>
      </w:r>
      <w:r w:rsidR="00F64493" w:rsidRPr="002F1C40">
        <w:rPr>
          <w:szCs w:val="21"/>
        </w:rPr>
        <w:t>PVDF-based device, and the applied force is 60 N.</w:t>
      </w:r>
    </w:p>
    <w:p w14:paraId="2D7E902A" w14:textId="6B6D765E" w:rsidR="00F64493" w:rsidRDefault="00F64493" w:rsidP="00EA32F4">
      <w:pPr>
        <w:rPr>
          <w:szCs w:val="21"/>
        </w:rPr>
      </w:pPr>
    </w:p>
    <w:p w14:paraId="6E79DA53" w14:textId="026AF4CD" w:rsidR="006A381F" w:rsidRDefault="00B033BA" w:rsidP="00EA32F4">
      <w:r>
        <w:br w:type="page"/>
      </w:r>
    </w:p>
    <w:p w14:paraId="21FE5144" w14:textId="3E1EC2D8" w:rsidR="006A381F" w:rsidRDefault="00450803" w:rsidP="006A381F">
      <w:pPr>
        <w:jc w:val="center"/>
      </w:pPr>
      <w:r>
        <w:rPr>
          <w:noProof/>
        </w:rPr>
        <w:drawing>
          <wp:inline distT="0" distB="0" distL="0" distR="0" wp14:anchorId="01341D7B" wp14:editId="6D7933C3">
            <wp:extent cx="4770943" cy="3710940"/>
            <wp:effectExtent l="0" t="0" r="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1748" b="12521"/>
                    <a:stretch/>
                  </pic:blipFill>
                  <pic:spPr bwMode="auto">
                    <a:xfrm>
                      <a:off x="0" y="0"/>
                      <a:ext cx="4780977" cy="3718745"/>
                    </a:xfrm>
                    <a:prstGeom prst="rect">
                      <a:avLst/>
                    </a:prstGeom>
                    <a:noFill/>
                    <a:ln>
                      <a:noFill/>
                    </a:ln>
                    <a:extLst>
                      <a:ext uri="{53640926-AAD7-44D8-BBD7-CCE9431645EC}">
                        <a14:shadowObscured xmlns:a14="http://schemas.microsoft.com/office/drawing/2010/main"/>
                      </a:ext>
                    </a:extLst>
                  </pic:spPr>
                </pic:pic>
              </a:graphicData>
            </a:graphic>
          </wp:inline>
        </w:drawing>
      </w:r>
    </w:p>
    <w:p w14:paraId="34805C7E" w14:textId="2489683E" w:rsidR="006A381F" w:rsidRPr="00F64493" w:rsidRDefault="00F96B89" w:rsidP="00206601">
      <w:pPr>
        <w:spacing w:line="360" w:lineRule="auto"/>
        <w:rPr>
          <w:szCs w:val="21"/>
        </w:rPr>
      </w:pPr>
      <w:r w:rsidRPr="00F96B89">
        <w:rPr>
          <w:b/>
          <w:bCs/>
        </w:rPr>
        <w:t xml:space="preserve">Supplementary </w:t>
      </w:r>
      <w:r w:rsidRPr="00F96B89">
        <w:rPr>
          <w:rFonts w:hint="eastAsia"/>
          <w:b/>
          <w:bCs/>
        </w:rPr>
        <w:t>Fig</w:t>
      </w:r>
      <w:r w:rsidRPr="00F96B89">
        <w:rPr>
          <w:b/>
          <w:bCs/>
        </w:rPr>
        <w:t xml:space="preserve">. </w:t>
      </w:r>
      <w:r>
        <w:rPr>
          <w:b/>
          <w:bCs/>
        </w:rPr>
        <w:t>8</w:t>
      </w:r>
      <w:r w:rsidR="006A381F">
        <w:t xml:space="preserve"> The transferred piezoelectric charges generated by the PVDF-based device with a shielding layer are measured in the (a) forward connection and (b) reverse connection under different forces.</w:t>
      </w:r>
      <w:r w:rsidR="00F64493" w:rsidRPr="00F64493">
        <w:rPr>
          <w:szCs w:val="21"/>
        </w:rPr>
        <w:t xml:space="preserve"> </w:t>
      </w:r>
      <w:r w:rsidR="00F64493" w:rsidRPr="002F1C40">
        <w:rPr>
          <w:szCs w:val="21"/>
        </w:rPr>
        <w:t xml:space="preserve">The </w:t>
      </w:r>
      <w:r w:rsidR="00F64493">
        <w:rPr>
          <w:szCs w:val="21"/>
        </w:rPr>
        <w:t xml:space="preserve">sole </w:t>
      </w:r>
      <w:r w:rsidR="00F64493" w:rsidRPr="002F1C40">
        <w:rPr>
          <w:szCs w:val="21"/>
        </w:rPr>
        <w:t>piezoelectric charge</w:t>
      </w:r>
      <w:r w:rsidR="00F64493">
        <w:rPr>
          <w:szCs w:val="21"/>
        </w:rPr>
        <w:t xml:space="preserve"> transfer</w:t>
      </w:r>
      <w:r w:rsidR="00FC5D24">
        <w:rPr>
          <w:szCs w:val="21"/>
        </w:rPr>
        <w:t xml:space="preserve"> (q</w:t>
      </w:r>
      <w:r w:rsidR="00FC5D24" w:rsidRPr="00FC5D24">
        <w:rPr>
          <w:szCs w:val="21"/>
          <w:vertAlign w:val="subscript"/>
        </w:rPr>
        <w:t>2</w:t>
      </w:r>
      <w:r w:rsidR="00FC5D24">
        <w:rPr>
          <w:szCs w:val="21"/>
        </w:rPr>
        <w:t xml:space="preserve"> and -q</w:t>
      </w:r>
      <w:r w:rsidR="00FC5D24" w:rsidRPr="00FC5D24">
        <w:rPr>
          <w:szCs w:val="21"/>
          <w:vertAlign w:val="subscript"/>
        </w:rPr>
        <w:t>2</w:t>
      </w:r>
      <w:r w:rsidR="00FC5D24">
        <w:rPr>
          <w:szCs w:val="21"/>
        </w:rPr>
        <w:t xml:space="preserve">’) </w:t>
      </w:r>
      <w:r w:rsidR="00F64493">
        <w:rPr>
          <w:szCs w:val="21"/>
        </w:rPr>
        <w:t>is obtained from</w:t>
      </w:r>
      <w:r w:rsidR="00F64493" w:rsidRPr="002F1C40">
        <w:rPr>
          <w:szCs w:val="21"/>
        </w:rPr>
        <w:t xml:space="preserve"> the (</w:t>
      </w:r>
      <w:r w:rsidR="00F64493">
        <w:rPr>
          <w:szCs w:val="21"/>
        </w:rPr>
        <w:t>c</w:t>
      </w:r>
      <w:r w:rsidR="00F64493" w:rsidRPr="002F1C40">
        <w:rPr>
          <w:szCs w:val="21"/>
        </w:rPr>
        <w:t>) positive and (</w:t>
      </w:r>
      <w:r w:rsidR="00F64493">
        <w:rPr>
          <w:szCs w:val="21"/>
        </w:rPr>
        <w:t>d</w:t>
      </w:r>
      <w:r w:rsidR="00F64493" w:rsidRPr="002F1C40">
        <w:rPr>
          <w:szCs w:val="21"/>
        </w:rPr>
        <w:t xml:space="preserve">) negative polarization sides of </w:t>
      </w:r>
      <w:r w:rsidR="00F64493">
        <w:rPr>
          <w:szCs w:val="21"/>
        </w:rPr>
        <w:t xml:space="preserve">the </w:t>
      </w:r>
      <w:r w:rsidR="00F64493" w:rsidRPr="002F1C40">
        <w:rPr>
          <w:szCs w:val="21"/>
        </w:rPr>
        <w:t>PVDF-based device, and the applied force is 60 N.</w:t>
      </w:r>
    </w:p>
    <w:p w14:paraId="021AA470" w14:textId="0ED62E20" w:rsidR="00EA32F4" w:rsidRDefault="00D42AFD" w:rsidP="00EA32F4">
      <w:r>
        <w:br w:type="page"/>
      </w:r>
    </w:p>
    <w:p w14:paraId="423F2505" w14:textId="77115BA5" w:rsidR="00EA32F4" w:rsidRDefault="00450803" w:rsidP="00EA32F4">
      <w:pPr>
        <w:jc w:val="center"/>
      </w:pPr>
      <w:r>
        <w:rPr>
          <w:noProof/>
        </w:rPr>
        <w:drawing>
          <wp:inline distT="0" distB="0" distL="0" distR="0" wp14:anchorId="4694CE5A" wp14:editId="15F8B636">
            <wp:extent cx="4556125" cy="4381163"/>
            <wp:effectExtent l="0" t="0" r="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894" b="8844"/>
                    <a:stretch/>
                  </pic:blipFill>
                  <pic:spPr bwMode="auto">
                    <a:xfrm>
                      <a:off x="0" y="0"/>
                      <a:ext cx="4563049" cy="4387821"/>
                    </a:xfrm>
                    <a:prstGeom prst="rect">
                      <a:avLst/>
                    </a:prstGeom>
                    <a:noFill/>
                    <a:ln>
                      <a:noFill/>
                    </a:ln>
                    <a:extLst>
                      <a:ext uri="{53640926-AAD7-44D8-BBD7-CCE9431645EC}">
                        <a14:shadowObscured xmlns:a14="http://schemas.microsoft.com/office/drawing/2010/main"/>
                      </a:ext>
                    </a:extLst>
                  </pic:spPr>
                </pic:pic>
              </a:graphicData>
            </a:graphic>
          </wp:inline>
        </w:drawing>
      </w:r>
    </w:p>
    <w:p w14:paraId="2C42C8F3" w14:textId="6E726717" w:rsidR="00F96B89" w:rsidRDefault="00F96B89" w:rsidP="00206601">
      <w:pPr>
        <w:spacing w:line="360" w:lineRule="auto"/>
      </w:pPr>
      <w:r w:rsidRPr="00F96B89">
        <w:rPr>
          <w:b/>
          <w:bCs/>
        </w:rPr>
        <w:t xml:space="preserve">Supplementary </w:t>
      </w:r>
      <w:r w:rsidRPr="00F96B89">
        <w:rPr>
          <w:rFonts w:hint="eastAsia"/>
          <w:b/>
          <w:bCs/>
        </w:rPr>
        <w:t>Fig</w:t>
      </w:r>
      <w:r w:rsidRPr="00F96B89">
        <w:rPr>
          <w:b/>
          <w:bCs/>
        </w:rPr>
        <w:t xml:space="preserve">. </w:t>
      </w:r>
      <w:r>
        <w:rPr>
          <w:b/>
          <w:bCs/>
        </w:rPr>
        <w:t>9</w:t>
      </w:r>
      <w:r w:rsidR="007C0F24">
        <w:t xml:space="preserve"> Using a commercial piezoelectric meter to measure the piezoelectric coefficient d</w:t>
      </w:r>
      <w:r w:rsidR="007C0F24" w:rsidRPr="007C0F24">
        <w:rPr>
          <w:vertAlign w:val="subscript"/>
        </w:rPr>
        <w:t>33</w:t>
      </w:r>
      <w:r w:rsidR="007C0F24">
        <w:t xml:space="preserve"> of the PVDF film. (a) Photography of the measurement platform. (b) The </w:t>
      </w:r>
      <w:r w:rsidR="00D42AFD">
        <w:t>force loading process of the PVDF film. (d) The measured d</w:t>
      </w:r>
      <w:r w:rsidR="00D42AFD" w:rsidRPr="00C15C22">
        <w:rPr>
          <w:vertAlign w:val="subscript"/>
        </w:rPr>
        <w:t>33</w:t>
      </w:r>
      <w:r w:rsidR="00D42AFD">
        <w:t xml:space="preserve"> </w:t>
      </w:r>
      <w:r w:rsidR="00C15C22">
        <w:t xml:space="preserve">values </w:t>
      </w:r>
      <w:r w:rsidR="00D42AFD">
        <w:t>from 6 sample points and the average d</w:t>
      </w:r>
      <w:r w:rsidR="00D42AFD" w:rsidRPr="00C15C22">
        <w:rPr>
          <w:vertAlign w:val="subscript"/>
        </w:rPr>
        <w:t>33</w:t>
      </w:r>
      <w:r w:rsidR="00D42AFD">
        <w:t xml:space="preserve"> of the PVDF film is </w:t>
      </w:r>
      <w:bookmarkStart w:id="1" w:name="_Hlk76951963"/>
      <w:r w:rsidR="00D42AFD">
        <w:t xml:space="preserve">33.05 </w:t>
      </w:r>
      <w:proofErr w:type="spellStart"/>
      <w:r w:rsidR="00D42AFD">
        <w:t>pC</w:t>
      </w:r>
      <w:proofErr w:type="spellEnd"/>
      <w:r w:rsidR="00D42AFD">
        <w:t>/N</w:t>
      </w:r>
      <w:bookmarkEnd w:id="1"/>
      <w:r w:rsidR="00D42AFD">
        <w:t>.</w:t>
      </w:r>
      <w:r>
        <w:br w:type="page"/>
      </w:r>
    </w:p>
    <w:p w14:paraId="028CC053" w14:textId="47F78FBD" w:rsidR="00F96B89" w:rsidRPr="005C0F15" w:rsidRDefault="00F96B89" w:rsidP="00F96B89">
      <w:pPr>
        <w:rPr>
          <w:b/>
          <w:bCs/>
          <w:szCs w:val="21"/>
        </w:rPr>
      </w:pPr>
      <w:r w:rsidRPr="00F96B89">
        <w:rPr>
          <w:b/>
          <w:bCs/>
          <w:szCs w:val="21"/>
        </w:rPr>
        <w:t>Supplementary Note 1:</w:t>
      </w:r>
      <w:r w:rsidRPr="00F96B89">
        <w:rPr>
          <w:rFonts w:hint="eastAsia"/>
          <w:b/>
          <w:bCs/>
          <w:szCs w:val="21"/>
        </w:rPr>
        <w:t xml:space="preserve"> C</w:t>
      </w:r>
      <w:r w:rsidRPr="00F96B89">
        <w:rPr>
          <w:b/>
          <w:bCs/>
          <w:szCs w:val="21"/>
        </w:rPr>
        <w:t>alculating the piezoelectric charge transfer using directly extracting (DE) method</w:t>
      </w:r>
    </w:p>
    <w:p w14:paraId="6CBAEB7E" w14:textId="5197CF46" w:rsidR="00F96B89" w:rsidRPr="00206601" w:rsidRDefault="00F96B89" w:rsidP="005C0F15">
      <w:pPr>
        <w:spacing w:line="360" w:lineRule="auto"/>
        <w:rPr>
          <w:szCs w:val="21"/>
        </w:rPr>
      </w:pPr>
      <w:r w:rsidRPr="00206601">
        <w:rPr>
          <w:szCs w:val="21"/>
        </w:rPr>
        <w:t>The positive piezoelectric charge transfer is q</w:t>
      </w:r>
      <w:r w:rsidRPr="00206601">
        <w:rPr>
          <w:szCs w:val="21"/>
          <w:vertAlign w:val="subscript"/>
        </w:rPr>
        <w:t>1</w:t>
      </w:r>
      <w:r w:rsidRPr="00206601">
        <w:rPr>
          <w:szCs w:val="21"/>
        </w:rPr>
        <w:t xml:space="preserve"> (Supplementary Fig. 7c) and the negative piezoelectric transfer is -q</w:t>
      </w:r>
      <w:r w:rsidRPr="00206601">
        <w:rPr>
          <w:szCs w:val="21"/>
          <w:vertAlign w:val="subscript"/>
        </w:rPr>
        <w:t>1</w:t>
      </w:r>
      <w:r w:rsidRPr="00206601">
        <w:rPr>
          <w:szCs w:val="21"/>
        </w:rPr>
        <w:t>’ (Supplementary Fig. 7d)</w:t>
      </w:r>
      <w:r w:rsidR="005C0F15">
        <w:rPr>
          <w:szCs w:val="21"/>
        </w:rPr>
        <w:t xml:space="preserve"> in the hybrid output</w:t>
      </w:r>
      <w:r w:rsidRPr="00206601">
        <w:rPr>
          <w:szCs w:val="21"/>
        </w:rPr>
        <w:t>. They are determined by the force curve where the force increases from 0 to the peak, and the relative value between two blue lines is the transferred piezoelectric charge q</w:t>
      </w:r>
      <w:r w:rsidRPr="00206601">
        <w:rPr>
          <w:szCs w:val="21"/>
          <w:vertAlign w:val="subscript"/>
        </w:rPr>
        <w:t>1</w:t>
      </w:r>
      <w:r w:rsidRPr="00206601">
        <w:rPr>
          <w:szCs w:val="21"/>
        </w:rPr>
        <w:t xml:space="preserve"> (-q</w:t>
      </w:r>
      <w:r w:rsidRPr="00206601">
        <w:rPr>
          <w:szCs w:val="21"/>
          <w:vertAlign w:val="subscript"/>
        </w:rPr>
        <w:t>1</w:t>
      </w:r>
      <w:r w:rsidRPr="00206601">
        <w:rPr>
          <w:szCs w:val="21"/>
        </w:rPr>
        <w:t>’). The average piezoelectric transfer Q</w:t>
      </w:r>
      <w:r w:rsidRPr="00206601">
        <w:rPr>
          <w:szCs w:val="21"/>
          <w:vertAlign w:val="subscript"/>
        </w:rPr>
        <w:t xml:space="preserve">DE </w:t>
      </w:r>
      <w:r w:rsidRPr="00206601">
        <w:rPr>
          <w:szCs w:val="21"/>
        </w:rPr>
        <w:t>is:</w:t>
      </w:r>
    </w:p>
    <w:p w14:paraId="59E93B95" w14:textId="45625592" w:rsidR="00F96B89" w:rsidRPr="00206601" w:rsidRDefault="000550E7" w:rsidP="005C0F15">
      <w:pPr>
        <w:spacing w:line="360" w:lineRule="auto"/>
      </w:pPr>
      <m:oMathPara>
        <m:oMath>
          <m:sSub>
            <m:sSubPr>
              <m:ctrlPr>
                <w:rPr>
                  <w:rFonts w:ascii="Cambria Math" w:hAnsi="Cambria Math"/>
                  <w:i/>
                </w:rPr>
              </m:ctrlPr>
            </m:sSubPr>
            <m:e>
              <m:r>
                <w:rPr>
                  <w:rFonts w:ascii="Cambria Math" w:hAnsi="Cambria Math"/>
                </w:rPr>
                <m:t>Q</m:t>
              </m:r>
            </m:e>
            <m:sub>
              <m:r>
                <w:rPr>
                  <w:rFonts w:ascii="Cambria Math" w:hAnsi="Cambria Math"/>
                </w:rPr>
                <m:t>DE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1</m:t>
                  </m:r>
                </m:sub>
                <m:sup>
                  <m:r>
                    <w:rPr>
                      <w:rFonts w:ascii="Cambria Math" w:hAnsi="Cambria Math"/>
                    </w:rPr>
                    <m:t>'</m:t>
                  </m:r>
                </m:sup>
              </m:sSubSup>
            </m:num>
            <m:den>
              <m:r>
                <w:rPr>
                  <w:rFonts w:ascii="Cambria Math" w:hAnsi="Cambria Math"/>
                </w:rPr>
                <m:t>2</m:t>
              </m:r>
            </m:den>
          </m:f>
        </m:oMath>
      </m:oMathPara>
    </w:p>
    <w:p w14:paraId="097F6895" w14:textId="77DBDEAA" w:rsidR="00F96B89" w:rsidRDefault="00F96B89" w:rsidP="00F96B89">
      <w:pPr>
        <w:rPr>
          <w:i/>
          <w:iCs/>
          <w:szCs w:val="21"/>
        </w:rPr>
      </w:pPr>
      <w:r>
        <w:rPr>
          <w:i/>
          <w:iCs/>
          <w:szCs w:val="21"/>
        </w:rPr>
        <w:br w:type="page"/>
      </w:r>
    </w:p>
    <w:p w14:paraId="6311804E" w14:textId="3EE5FC16" w:rsidR="00F96B89" w:rsidRPr="00F96B89" w:rsidRDefault="00F96B89" w:rsidP="00F96B89">
      <w:pPr>
        <w:rPr>
          <w:b/>
          <w:bCs/>
          <w:szCs w:val="21"/>
        </w:rPr>
      </w:pPr>
      <w:r w:rsidRPr="00F96B89">
        <w:rPr>
          <w:b/>
          <w:bCs/>
          <w:szCs w:val="21"/>
        </w:rPr>
        <w:t xml:space="preserve">Supplementary Note </w:t>
      </w:r>
      <w:r w:rsidR="00714530">
        <w:rPr>
          <w:b/>
          <w:bCs/>
          <w:szCs w:val="21"/>
        </w:rPr>
        <w:t>2</w:t>
      </w:r>
      <w:r w:rsidRPr="00F96B89">
        <w:rPr>
          <w:b/>
          <w:bCs/>
          <w:szCs w:val="21"/>
        </w:rPr>
        <w:t>:</w:t>
      </w:r>
      <w:r w:rsidRPr="00F96B89">
        <w:rPr>
          <w:rFonts w:hint="eastAsia"/>
          <w:b/>
          <w:bCs/>
          <w:szCs w:val="21"/>
        </w:rPr>
        <w:t xml:space="preserve"> C</w:t>
      </w:r>
      <w:r w:rsidRPr="00F96B89">
        <w:rPr>
          <w:b/>
          <w:bCs/>
          <w:szCs w:val="21"/>
        </w:rPr>
        <w:t xml:space="preserve">alculating the piezoelectric charge transfer using outside shielding (OS) method </w:t>
      </w:r>
    </w:p>
    <w:p w14:paraId="4DCAFA18" w14:textId="710E8ACD" w:rsidR="00F96B89" w:rsidRDefault="00714530" w:rsidP="005C0F15">
      <w:pPr>
        <w:spacing w:line="360" w:lineRule="auto"/>
        <w:rPr>
          <w:szCs w:val="21"/>
        </w:rPr>
      </w:pPr>
      <w:r>
        <w:rPr>
          <w:rFonts w:hint="eastAsia"/>
          <w:szCs w:val="21"/>
        </w:rPr>
        <w:t>T</w:t>
      </w:r>
      <w:r>
        <w:rPr>
          <w:szCs w:val="21"/>
        </w:rPr>
        <w:t xml:space="preserve">he transferred pure piezoelectric charges obtained from the PVDF-based device </w:t>
      </w:r>
      <w:r w:rsidR="00206601">
        <w:rPr>
          <w:szCs w:val="21"/>
        </w:rPr>
        <w:t xml:space="preserve">with a shielding layer </w:t>
      </w:r>
      <w:r>
        <w:rPr>
          <w:szCs w:val="21"/>
        </w:rPr>
        <w:t>under different forces are shown in Supplementary Fig</w:t>
      </w:r>
      <w:r w:rsidR="0072242B">
        <w:rPr>
          <w:szCs w:val="21"/>
        </w:rPr>
        <w:t>s</w:t>
      </w:r>
      <w:r>
        <w:rPr>
          <w:szCs w:val="21"/>
        </w:rPr>
        <w:t xml:space="preserve">. 8a, </w:t>
      </w:r>
      <w:r w:rsidR="00FC5D24">
        <w:rPr>
          <w:szCs w:val="21"/>
        </w:rPr>
        <w:t>b</w:t>
      </w:r>
      <w:r>
        <w:rPr>
          <w:szCs w:val="21"/>
        </w:rPr>
        <w:t>.</w:t>
      </w:r>
      <w:r>
        <w:rPr>
          <w:rFonts w:hint="eastAsia"/>
          <w:szCs w:val="21"/>
        </w:rPr>
        <w:t xml:space="preserve"> </w:t>
      </w:r>
      <w:r w:rsidR="00F96B89">
        <w:rPr>
          <w:szCs w:val="21"/>
        </w:rPr>
        <w:t>The positive piezoelectric charge transfer is q</w:t>
      </w:r>
      <w:r w:rsidR="00F96B89">
        <w:rPr>
          <w:szCs w:val="21"/>
          <w:vertAlign w:val="subscript"/>
        </w:rPr>
        <w:t>2</w:t>
      </w:r>
      <w:r w:rsidR="00F96B89">
        <w:rPr>
          <w:szCs w:val="21"/>
        </w:rPr>
        <w:t xml:space="preserve"> and the negative piezoelectric transfer is -q</w:t>
      </w:r>
      <w:r w:rsidR="00F96B89">
        <w:rPr>
          <w:szCs w:val="21"/>
          <w:vertAlign w:val="subscript"/>
        </w:rPr>
        <w:t>2</w:t>
      </w:r>
      <w:r w:rsidR="00F96B89">
        <w:rPr>
          <w:szCs w:val="21"/>
        </w:rPr>
        <w:t>’</w:t>
      </w:r>
      <w:r w:rsidR="00FC5D24">
        <w:rPr>
          <w:szCs w:val="21"/>
        </w:rPr>
        <w:t>, which are shown in Supplementary Fig</w:t>
      </w:r>
      <w:r w:rsidR="0072242B">
        <w:rPr>
          <w:szCs w:val="21"/>
        </w:rPr>
        <w:t>s</w:t>
      </w:r>
      <w:r w:rsidR="00FC5D24">
        <w:rPr>
          <w:szCs w:val="21"/>
        </w:rPr>
        <w:t>. 8c, d, respectively</w:t>
      </w:r>
      <w:r w:rsidR="00F96B89">
        <w:rPr>
          <w:szCs w:val="21"/>
        </w:rPr>
        <w:t>. The average piezoelectric transfer Q</w:t>
      </w:r>
      <w:r w:rsidR="00F96B89">
        <w:rPr>
          <w:szCs w:val="21"/>
          <w:vertAlign w:val="subscript"/>
        </w:rPr>
        <w:t>OS</w:t>
      </w:r>
      <w:r w:rsidR="00F96B89" w:rsidRPr="00F64493">
        <w:rPr>
          <w:szCs w:val="21"/>
          <w:vertAlign w:val="subscript"/>
        </w:rPr>
        <w:t xml:space="preserve"> </w:t>
      </w:r>
      <w:r w:rsidR="00F96B89">
        <w:rPr>
          <w:szCs w:val="21"/>
        </w:rPr>
        <w:t>is:</w:t>
      </w:r>
    </w:p>
    <w:p w14:paraId="7EE948FA" w14:textId="77777777" w:rsidR="00F96B89" w:rsidRPr="00F64493" w:rsidRDefault="000550E7" w:rsidP="005C0F15">
      <w:pPr>
        <w:spacing w:line="360" w:lineRule="auto"/>
      </w:pPr>
      <m:oMathPara>
        <m:oMath>
          <m:sSub>
            <m:sSubPr>
              <m:ctrlPr>
                <w:rPr>
                  <w:rFonts w:ascii="Cambria Math" w:hAnsi="Cambria Math"/>
                  <w:i/>
                </w:rPr>
              </m:ctrlPr>
            </m:sSubPr>
            <m:e>
              <m:r>
                <w:rPr>
                  <w:rFonts w:ascii="Cambria Math" w:hAnsi="Cambria Math"/>
                </w:rPr>
                <m:t>Q</m:t>
              </m:r>
            </m:e>
            <m:sub>
              <m:r>
                <w:rPr>
                  <w:rFonts w:ascii="Cambria Math" w:hAnsi="Cambria Math"/>
                </w:rPr>
                <m:t>OS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2</m:t>
                  </m:r>
                </m:sub>
              </m:sSub>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2</m:t>
                  </m:r>
                </m:sub>
                <m:sup>
                  <m:r>
                    <w:rPr>
                      <w:rFonts w:ascii="Cambria Math" w:hAnsi="Cambria Math"/>
                    </w:rPr>
                    <m:t>'</m:t>
                  </m:r>
                </m:sup>
              </m:sSubSup>
            </m:num>
            <m:den>
              <m:r>
                <w:rPr>
                  <w:rFonts w:ascii="Cambria Math" w:hAnsi="Cambria Math"/>
                </w:rPr>
                <m:t>2</m:t>
              </m:r>
            </m:den>
          </m:f>
        </m:oMath>
      </m:oMathPara>
    </w:p>
    <w:p w14:paraId="226DA9DC" w14:textId="77777777" w:rsidR="00EA32F4" w:rsidRDefault="00EA32F4"/>
    <w:sectPr w:rsidR="00EA32F4">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056A13" w14:textId="77777777" w:rsidR="00F548B5" w:rsidRDefault="00F548B5" w:rsidP="002D65AD">
      <w:r>
        <w:separator/>
      </w:r>
    </w:p>
  </w:endnote>
  <w:endnote w:type="continuationSeparator" w:id="0">
    <w:p w14:paraId="1DDABE9F" w14:textId="77777777" w:rsidR="00F548B5" w:rsidRDefault="00F548B5" w:rsidP="002D65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68C5B" w14:textId="0EE0D4ED" w:rsidR="005C0F15" w:rsidRDefault="005C0F15" w:rsidP="005C0F15">
    <w:pPr>
      <w:pStyle w:val="a5"/>
      <w:jc w:val="center"/>
    </w:pPr>
    <w:r>
      <w:fldChar w:fldCharType="begin"/>
    </w:r>
    <w:r>
      <w:instrText>PAGE   \* MERGEFORMAT</w:instrText>
    </w:r>
    <w:r>
      <w:fldChar w:fldCharType="separate"/>
    </w:r>
    <w:r>
      <w:rPr>
        <w:lang w:val="zh-CN"/>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6D174" w14:textId="77777777" w:rsidR="00F548B5" w:rsidRDefault="00F548B5" w:rsidP="002D65AD">
      <w:r>
        <w:separator/>
      </w:r>
    </w:p>
  </w:footnote>
  <w:footnote w:type="continuationSeparator" w:id="0">
    <w:p w14:paraId="00A52C9A" w14:textId="77777777" w:rsidR="00F548B5" w:rsidRDefault="00F548B5" w:rsidP="002D65A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B70"/>
    <w:rsid w:val="00164D1B"/>
    <w:rsid w:val="00194544"/>
    <w:rsid w:val="001E42FE"/>
    <w:rsid w:val="001E5475"/>
    <w:rsid w:val="00206601"/>
    <w:rsid w:val="002500AB"/>
    <w:rsid w:val="00256165"/>
    <w:rsid w:val="00263931"/>
    <w:rsid w:val="002D65AD"/>
    <w:rsid w:val="00302B15"/>
    <w:rsid w:val="00391D2F"/>
    <w:rsid w:val="003C0FFB"/>
    <w:rsid w:val="00450803"/>
    <w:rsid w:val="00484E39"/>
    <w:rsid w:val="004A4B0A"/>
    <w:rsid w:val="004F51C7"/>
    <w:rsid w:val="0050360E"/>
    <w:rsid w:val="00514DC0"/>
    <w:rsid w:val="0058639E"/>
    <w:rsid w:val="0059645E"/>
    <w:rsid w:val="005967CF"/>
    <w:rsid w:val="005C0F15"/>
    <w:rsid w:val="005F6B70"/>
    <w:rsid w:val="00647DEC"/>
    <w:rsid w:val="006667F8"/>
    <w:rsid w:val="00682242"/>
    <w:rsid w:val="006A1B77"/>
    <w:rsid w:val="006A381F"/>
    <w:rsid w:val="00714530"/>
    <w:rsid w:val="00721376"/>
    <w:rsid w:val="0072242B"/>
    <w:rsid w:val="007A53EB"/>
    <w:rsid w:val="007C0F24"/>
    <w:rsid w:val="00865BBB"/>
    <w:rsid w:val="00872447"/>
    <w:rsid w:val="00882EAD"/>
    <w:rsid w:val="008D1DEA"/>
    <w:rsid w:val="0094387E"/>
    <w:rsid w:val="00953AF6"/>
    <w:rsid w:val="009B5DE6"/>
    <w:rsid w:val="00A16A28"/>
    <w:rsid w:val="00A62F06"/>
    <w:rsid w:val="00AA1A75"/>
    <w:rsid w:val="00AD4E25"/>
    <w:rsid w:val="00AF59DD"/>
    <w:rsid w:val="00B033BA"/>
    <w:rsid w:val="00B3199F"/>
    <w:rsid w:val="00BD0471"/>
    <w:rsid w:val="00C15C22"/>
    <w:rsid w:val="00CD1D18"/>
    <w:rsid w:val="00D00A2D"/>
    <w:rsid w:val="00D42AFD"/>
    <w:rsid w:val="00DE367B"/>
    <w:rsid w:val="00E531BC"/>
    <w:rsid w:val="00E77565"/>
    <w:rsid w:val="00EA32F4"/>
    <w:rsid w:val="00ED28E3"/>
    <w:rsid w:val="00F02BDE"/>
    <w:rsid w:val="00F25B9D"/>
    <w:rsid w:val="00F548B5"/>
    <w:rsid w:val="00F64493"/>
    <w:rsid w:val="00F72D29"/>
    <w:rsid w:val="00F96B89"/>
    <w:rsid w:val="00FC5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68BB87"/>
  <w15:chartTrackingRefBased/>
  <w15:docId w15:val="{FEA5064A-5CFB-4AB8-9142-0E15125A0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D65A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D65AD"/>
    <w:rPr>
      <w:sz w:val="18"/>
      <w:szCs w:val="18"/>
    </w:rPr>
  </w:style>
  <w:style w:type="paragraph" w:styleId="a5">
    <w:name w:val="footer"/>
    <w:basedOn w:val="a"/>
    <w:link w:val="a6"/>
    <w:uiPriority w:val="99"/>
    <w:unhideWhenUsed/>
    <w:rsid w:val="002D65AD"/>
    <w:pPr>
      <w:tabs>
        <w:tab w:val="center" w:pos="4153"/>
        <w:tab w:val="right" w:pos="8306"/>
      </w:tabs>
      <w:snapToGrid w:val="0"/>
      <w:jc w:val="left"/>
    </w:pPr>
    <w:rPr>
      <w:sz w:val="18"/>
      <w:szCs w:val="18"/>
    </w:rPr>
  </w:style>
  <w:style w:type="character" w:customStyle="1" w:styleId="a6">
    <w:name w:val="页脚 字符"/>
    <w:basedOn w:val="a0"/>
    <w:link w:val="a5"/>
    <w:uiPriority w:val="99"/>
    <w:rsid w:val="002D65AD"/>
    <w:rPr>
      <w:sz w:val="18"/>
      <w:szCs w:val="18"/>
    </w:rPr>
  </w:style>
  <w:style w:type="paragraph" w:styleId="a7">
    <w:name w:val="Title"/>
    <w:basedOn w:val="a"/>
    <w:next w:val="a"/>
    <w:link w:val="a8"/>
    <w:uiPriority w:val="10"/>
    <w:qFormat/>
    <w:rsid w:val="001E42FE"/>
    <w:pPr>
      <w:spacing w:before="240" w:after="60"/>
      <w:jc w:val="center"/>
      <w:outlineLvl w:val="0"/>
    </w:pPr>
    <w:rPr>
      <w:rFonts w:asciiTheme="majorHAnsi" w:eastAsiaTheme="majorEastAsia" w:hAnsiTheme="majorHAnsi" w:cstheme="majorBidi"/>
      <w:b/>
      <w:bCs/>
      <w:sz w:val="32"/>
      <w:szCs w:val="32"/>
    </w:rPr>
  </w:style>
  <w:style w:type="character" w:customStyle="1" w:styleId="a8">
    <w:name w:val="标题 字符"/>
    <w:basedOn w:val="a0"/>
    <w:link w:val="a7"/>
    <w:uiPriority w:val="10"/>
    <w:rsid w:val="001E42FE"/>
    <w:rPr>
      <w:rFonts w:asciiTheme="majorHAnsi" w:eastAsiaTheme="majorEastAsia" w:hAnsiTheme="majorHAnsi" w:cstheme="majorBidi"/>
      <w:b/>
      <w:bCs/>
      <w:sz w:val="32"/>
      <w:szCs w:val="32"/>
    </w:rPr>
  </w:style>
  <w:style w:type="character" w:styleId="a9">
    <w:name w:val="Hyperlink"/>
    <w:basedOn w:val="a0"/>
    <w:uiPriority w:val="99"/>
    <w:unhideWhenUsed/>
    <w:rsid w:val="00D42AFD"/>
    <w:rPr>
      <w:color w:val="0563C1" w:themeColor="hyperlink"/>
      <w:u w:val="single"/>
    </w:rPr>
  </w:style>
  <w:style w:type="character" w:styleId="aa">
    <w:name w:val="Unresolved Mention"/>
    <w:basedOn w:val="a0"/>
    <w:uiPriority w:val="99"/>
    <w:semiHidden/>
    <w:unhideWhenUsed/>
    <w:rsid w:val="00D42AFD"/>
    <w:rPr>
      <w:color w:val="605E5C"/>
      <w:shd w:val="clear" w:color="auto" w:fill="E1DFDD"/>
    </w:rPr>
  </w:style>
  <w:style w:type="character" w:styleId="ab">
    <w:name w:val="Placeholder Text"/>
    <w:basedOn w:val="a0"/>
    <w:uiPriority w:val="99"/>
    <w:semiHidden/>
    <w:rsid w:val="00F6449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3C1D04-2367-4EDA-AD76-5374F0870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1005</Words>
  <Characters>5734</Characters>
  <Application>Microsoft Office Word</Application>
  <DocSecurity>0</DocSecurity>
  <Lines>47</Lines>
  <Paragraphs>13</Paragraphs>
  <ScaleCrop>false</ScaleCrop>
  <Company/>
  <LinksUpToDate>false</LinksUpToDate>
  <CharactersWithSpaces>6726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 Chaojie</dc:creator>
  <cp:keywords/>
  <dc:description/>
  <cp:lastModifiedBy>dell</cp:lastModifiedBy>
  <cp:revision>2</cp:revision>
  <dcterms:created xsi:type="dcterms:W3CDTF">2021-08-29T03:02:00Z</dcterms:created>
  <dcterms:modified xsi:type="dcterms:W3CDTF">2021-08-29T03:02:00Z</dcterms:modified>
</cp:coreProperties>
</file>