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BB19" w14:textId="7BE03D80" w:rsidR="000A518E" w:rsidRPr="00B460C7" w:rsidRDefault="005F041F" w:rsidP="00EF5EF9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0C7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EF5EF9" w:rsidRPr="00B460C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9C39DD" w:rsidRPr="00B460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1260" w:rsidRPr="00B460C7"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="009C39DD" w:rsidRPr="00B460C7">
        <w:rPr>
          <w:rFonts w:ascii="Times New Roman" w:hAnsi="Times New Roman" w:cs="Times New Roman"/>
          <w:b/>
          <w:bCs/>
          <w:sz w:val="24"/>
          <w:szCs w:val="24"/>
        </w:rPr>
        <w:t>details on the data matching and micro-simulation model</w:t>
      </w:r>
    </w:p>
    <w:p w14:paraId="410AE388" w14:textId="4885C09C" w:rsidR="00E10D47" w:rsidRPr="00B460C7" w:rsidRDefault="004A3971" w:rsidP="00EF5EF9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460C7">
        <w:rPr>
          <w:rFonts w:ascii="Times New Roman" w:hAnsi="Times New Roman" w:cs="Times New Roman"/>
          <w:bCs/>
          <w:i/>
          <w:sz w:val="24"/>
          <w:szCs w:val="24"/>
        </w:rPr>
        <w:t>Matching administrative data to SHARE data</w:t>
      </w:r>
    </w:p>
    <w:p w14:paraId="2EB0991D" w14:textId="5A676D64" w:rsidR="00C30982" w:rsidRDefault="000B7EF3" w:rsidP="00EF5EF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C7">
        <w:rPr>
          <w:rFonts w:ascii="Times New Roman" w:hAnsi="Times New Roman" w:cs="Times New Roman"/>
          <w:sz w:val="24"/>
          <w:szCs w:val="24"/>
        </w:rPr>
        <w:t>In a first step, t</w:t>
      </w:r>
      <w:r w:rsidR="00083A81" w:rsidRPr="00B460C7">
        <w:rPr>
          <w:rFonts w:ascii="Times New Roman" w:hAnsi="Times New Roman" w:cs="Times New Roman"/>
          <w:sz w:val="24"/>
          <w:szCs w:val="24"/>
        </w:rPr>
        <w:t>he</w:t>
      </w:r>
      <w:r w:rsidR="008D09C1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remaining life expectancy spent in </w:t>
      </w:r>
      <w:r w:rsidR="003F3CF5">
        <w:rPr>
          <w:rFonts w:ascii="Times New Roman" w:hAnsi="Times New Roman" w:cs="Times New Roman"/>
          <w:sz w:val="24"/>
          <w:szCs w:val="24"/>
        </w:rPr>
        <w:t>a LTC facility</w:t>
      </w:r>
      <w:r w:rsidR="008D09C1" w:rsidRPr="00B460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D09C1" w:rsidRPr="00B460C7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8D09C1" w:rsidRPr="00B460C7">
        <w:rPr>
          <w:rFonts w:ascii="Times New Roman" w:hAnsi="Times New Roman" w:cs="Times New Roman"/>
          <w:sz w:val="24"/>
          <w:szCs w:val="24"/>
        </w:rPr>
        <w:t xml:space="preserve"> duration of residential care use</w:t>
      </w:r>
      <w:r w:rsidR="00E735CD" w:rsidRPr="00B460C7">
        <w:rPr>
          <w:rFonts w:ascii="Times New Roman" w:hAnsi="Times New Roman" w:cs="Times New Roman"/>
          <w:sz w:val="24"/>
          <w:szCs w:val="24"/>
        </w:rPr>
        <w:t>), stratified by age, gender and care level</w:t>
      </w:r>
      <w:r w:rsidR="008F3988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083A81" w:rsidRPr="00B460C7">
        <w:rPr>
          <w:rFonts w:ascii="Times New Roman" w:hAnsi="Times New Roman" w:cs="Times New Roman"/>
          <w:sz w:val="24"/>
          <w:szCs w:val="24"/>
        </w:rPr>
        <w:t xml:space="preserve">was estimated </w:t>
      </w:r>
      <w:r w:rsidR="008F3988" w:rsidRPr="00B460C7">
        <w:rPr>
          <w:rFonts w:ascii="Times New Roman" w:hAnsi="Times New Roman" w:cs="Times New Roman"/>
          <w:sz w:val="24"/>
          <w:szCs w:val="24"/>
        </w:rPr>
        <w:t xml:space="preserve">using </w:t>
      </w:r>
      <w:r w:rsidR="00C30982" w:rsidRPr="00B460C7">
        <w:rPr>
          <w:rFonts w:ascii="Times New Roman" w:hAnsi="Times New Roman" w:cs="Times New Roman"/>
          <w:sz w:val="24"/>
          <w:szCs w:val="24"/>
        </w:rPr>
        <w:t>life</w:t>
      </w:r>
      <w:r w:rsidR="00BB1B8F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tables from </w:t>
      </w:r>
      <w:proofErr w:type="spellStart"/>
      <w:r w:rsidR="00C30982" w:rsidRPr="00B460C7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C30982" w:rsidRPr="00B460C7">
        <w:rPr>
          <w:rFonts w:ascii="Times New Roman" w:hAnsi="Times New Roman" w:cs="Times New Roman"/>
          <w:sz w:val="24"/>
          <w:szCs w:val="24"/>
        </w:rPr>
        <w:t xml:space="preserve"> Austria</w:t>
      </w:r>
      <w:r w:rsidR="00A87420" w:rsidRPr="000529D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 with information on the population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0982" w:rsidRPr="00B460C7">
        <w:rPr>
          <w:rFonts w:ascii="Times New Roman" w:hAnsi="Times New Roman" w:cs="Times New Roman"/>
          <w:sz w:val="24"/>
          <w:szCs w:val="24"/>
        </w:rPr>
        <w:t>at the beginning of 2015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and the number of deaths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0BB6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>that year.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3A81" w:rsidRPr="00B460C7">
        <w:rPr>
          <w:rFonts w:ascii="Times New Roman" w:hAnsi="Times New Roman" w:cs="Times New Roman"/>
          <w:sz w:val="24"/>
          <w:szCs w:val="24"/>
        </w:rPr>
        <w:t>T</w:t>
      </w:r>
      <w:r w:rsidR="00E735CD" w:rsidRPr="00B460C7">
        <w:rPr>
          <w:rFonts w:ascii="Times New Roman" w:hAnsi="Times New Roman" w:cs="Times New Roman"/>
          <w:sz w:val="24"/>
          <w:szCs w:val="24"/>
        </w:rPr>
        <w:t xml:space="preserve">he Sullivan Method </w:t>
      </w:r>
      <w:r w:rsidR="00083A81" w:rsidRPr="00B460C7">
        <w:rPr>
          <w:rFonts w:ascii="Times New Roman" w:hAnsi="Times New Roman" w:cs="Times New Roman"/>
          <w:sz w:val="24"/>
          <w:szCs w:val="24"/>
        </w:rPr>
        <w:t xml:space="preserve">was adapted </w:t>
      </w:r>
      <w:r w:rsidR="00E735CD" w:rsidRPr="00B460C7">
        <w:rPr>
          <w:rFonts w:ascii="Times New Roman" w:hAnsi="Times New Roman" w:cs="Times New Roman"/>
          <w:sz w:val="24"/>
          <w:szCs w:val="24"/>
        </w:rPr>
        <w:t xml:space="preserve">to obtain </w:t>
      </w:r>
      <w:r w:rsidR="008F3988" w:rsidRPr="00B460C7">
        <w:rPr>
          <w:rFonts w:ascii="Times New Roman" w:hAnsi="Times New Roman" w:cs="Times New Roman"/>
          <w:sz w:val="24"/>
          <w:szCs w:val="24"/>
        </w:rPr>
        <w:t xml:space="preserve">both </w:t>
      </w:r>
      <w:r w:rsidR="00E735CD" w:rsidRPr="00B460C7">
        <w:rPr>
          <w:rFonts w:ascii="Times New Roman" w:hAnsi="Times New Roman" w:cs="Times New Roman"/>
          <w:sz w:val="24"/>
          <w:szCs w:val="24"/>
        </w:rPr>
        <w:t>total life expectancy</w:t>
      </w:r>
      <w:r w:rsidR="008F3988" w:rsidRPr="00B460C7">
        <w:rPr>
          <w:rFonts w:ascii="Times New Roman" w:hAnsi="Times New Roman" w:cs="Times New Roman"/>
          <w:sz w:val="24"/>
          <w:szCs w:val="24"/>
        </w:rPr>
        <w:t xml:space="preserve"> and life expectancy spent in residential care</w:t>
      </w:r>
      <w:r w:rsidR="00E735CD" w:rsidRPr="00B460C7">
        <w:rPr>
          <w:rFonts w:ascii="Times New Roman" w:hAnsi="Times New Roman" w:cs="Times New Roman"/>
          <w:sz w:val="24"/>
          <w:szCs w:val="24"/>
        </w:rPr>
        <w:t xml:space="preserve"> for each age.</w:t>
      </w:r>
      <w:r w:rsidR="00A87420" w:rsidRPr="000529D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735CD" w:rsidRPr="00B46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FF8B8" w14:textId="1CDF9404" w:rsidR="00C30982" w:rsidRPr="00B460C7" w:rsidRDefault="00D841D9" w:rsidP="00EF5EF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C7">
        <w:rPr>
          <w:rFonts w:ascii="Times New Roman" w:eastAsiaTheme="minorEastAsia" w:hAnsi="Times New Roman" w:cs="Times New Roman"/>
          <w:sz w:val="24"/>
          <w:szCs w:val="24"/>
        </w:rPr>
        <w:t xml:space="preserve">The proportion of those in the age group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living in a </w:t>
      </w:r>
      <w:r w:rsidR="003F3CF5">
        <w:rPr>
          <w:rFonts w:ascii="Times New Roman" w:eastAsiaTheme="minorEastAsia" w:hAnsi="Times New Roman" w:cs="Times New Roman"/>
          <w:sz w:val="24"/>
          <w:szCs w:val="24"/>
        </w:rPr>
        <w:t>residential facility</w:t>
      </w:r>
      <w:r w:rsidR="00E735CD" w:rsidRPr="00B460C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40F60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stratified by age and care level, </w:t>
      </w:r>
      <w:r w:rsidR="000B7EF3" w:rsidRPr="00B460C7">
        <w:rPr>
          <w:rFonts w:ascii="Times New Roman" w:eastAsiaTheme="minorEastAsia" w:hAnsi="Times New Roman" w:cs="Times New Roman"/>
          <w:sz w:val="24"/>
          <w:szCs w:val="24"/>
        </w:rPr>
        <w:t>wa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>s taken from the data on care allowance recipients</w:t>
      </w:r>
      <w:r w:rsidR="00A87420" w:rsidRPr="000529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12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0B7EF3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from the </w:t>
      </w:r>
      <w:r w:rsidR="00083A81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data on </w:t>
      </w:r>
      <w:r w:rsidRPr="00B460C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probability of </w:t>
      </w:r>
      <w:r w:rsidRPr="00B460C7">
        <w:rPr>
          <w:rFonts w:ascii="Times New Roman" w:eastAsiaTheme="minorEastAsia" w:hAnsi="Times New Roman" w:cs="Times New Roman"/>
          <w:sz w:val="24"/>
          <w:szCs w:val="24"/>
        </w:rPr>
        <w:t>being in a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3CF5">
        <w:rPr>
          <w:rFonts w:ascii="Times New Roman" w:eastAsiaTheme="minorEastAsia" w:hAnsi="Times New Roman" w:cs="Times New Roman"/>
          <w:sz w:val="24"/>
          <w:szCs w:val="24"/>
        </w:rPr>
        <w:t>residential facility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87420" w:rsidRPr="000529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14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The person years lived without being in a </w:t>
      </w:r>
      <w:r w:rsidR="003F3CF5">
        <w:rPr>
          <w:rFonts w:ascii="Times New Roman" w:hAnsi="Times New Roman" w:cs="Times New Roman"/>
          <w:sz w:val="24"/>
          <w:szCs w:val="24"/>
        </w:rPr>
        <w:t>residential facility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hAnsi="Times New Roman" w:cs="Times New Roman"/>
          <w:sz w:val="24"/>
          <w:szCs w:val="24"/>
        </w:rPr>
        <w:t xml:space="preserve"> at age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7EF3" w:rsidRPr="00B460C7">
        <w:rPr>
          <w:rFonts w:ascii="Times New Roman" w:eastAsiaTheme="minorEastAsia" w:hAnsi="Times New Roman" w:cs="Times New Roman"/>
          <w:sz w:val="24"/>
          <w:szCs w:val="24"/>
        </w:rPr>
        <w:t>wa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s then calculated by subtracting the proportion of those in a </w:t>
      </w:r>
      <w:r w:rsidR="003F3CF5">
        <w:rPr>
          <w:rFonts w:ascii="Times New Roman" w:eastAsiaTheme="minorEastAsia" w:hAnsi="Times New Roman" w:cs="Times New Roman"/>
          <w:sz w:val="24"/>
          <w:szCs w:val="24"/>
        </w:rPr>
        <w:t>residential facility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from 1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and multiplying it 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by the person years lived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C7">
        <w:rPr>
          <w:rFonts w:ascii="Times New Roman" w:eastAsiaTheme="minorEastAsia" w:hAnsi="Times New Roman" w:cs="Times New Roman"/>
          <w:sz w:val="24"/>
          <w:szCs w:val="24"/>
        </w:rPr>
        <w:t xml:space="preserve">that was 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>previously</w:t>
      </w:r>
      <w:r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calculated</w:t>
      </w:r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The total years lived without being in a </w:t>
      </w:r>
      <w:r w:rsidR="003F3CF5">
        <w:rPr>
          <w:rFonts w:ascii="Times New Roman" w:hAnsi="Times New Roman" w:cs="Times New Roman"/>
          <w:sz w:val="24"/>
          <w:szCs w:val="24"/>
        </w:rPr>
        <w:t>residential facility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0982" w:rsidRPr="00B460C7">
        <w:rPr>
          <w:rFonts w:ascii="Times New Roman" w:hAnsi="Times New Roman" w:cs="Times New Roman"/>
          <w:sz w:val="24"/>
          <w:szCs w:val="24"/>
        </w:rPr>
        <w:t>from age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B1B8F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7EF3" w:rsidRPr="00B460C7">
        <w:rPr>
          <w:rFonts w:ascii="Times New Roman" w:eastAsiaTheme="minorEastAsia" w:hAnsi="Times New Roman" w:cs="Times New Roman"/>
          <w:sz w:val="24"/>
          <w:szCs w:val="24"/>
        </w:rPr>
        <w:t>wa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E735CD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then 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calculated by summing person years lived without being in a </w:t>
      </w:r>
      <w:r w:rsidR="003F3CF5">
        <w:rPr>
          <w:rFonts w:ascii="Times New Roman" w:eastAsiaTheme="minorEastAsia" w:hAnsi="Times New Roman" w:cs="Times New Roman"/>
          <w:sz w:val="24"/>
          <w:szCs w:val="24"/>
        </w:rPr>
        <w:t>residential facility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from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onward:</w:t>
      </w:r>
    </w:p>
    <w:p w14:paraId="69B55999" w14:textId="77777777" w:rsidR="00C30982" w:rsidRPr="00B460C7" w:rsidRDefault="006B4539" w:rsidP="00EF5EF9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99+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14:paraId="5E366693" w14:textId="402C6F51" w:rsidR="00C30982" w:rsidRPr="00B460C7" w:rsidRDefault="008D09C1" w:rsidP="00EF5EF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C7">
        <w:rPr>
          <w:rFonts w:ascii="Times New Roman" w:hAnsi="Times New Roman" w:cs="Times New Roman"/>
          <w:sz w:val="24"/>
          <w:szCs w:val="24"/>
        </w:rPr>
        <w:t>Residential care</w:t>
      </w:r>
      <w:r w:rsidR="00C30982" w:rsidRPr="00B460C7">
        <w:rPr>
          <w:rFonts w:ascii="Times New Roman" w:hAnsi="Times New Roman" w:cs="Times New Roman"/>
          <w:sz w:val="24"/>
          <w:szCs w:val="24"/>
        </w:rPr>
        <w:t>-free life expectancy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βx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41D9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equals the 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total years lived without being in a </w:t>
      </w:r>
      <w:r w:rsidR="003F3CF5">
        <w:rPr>
          <w:rFonts w:ascii="Times New Roman" w:hAnsi="Times New Roman" w:cs="Times New Roman"/>
          <w:sz w:val="24"/>
          <w:szCs w:val="24"/>
        </w:rPr>
        <w:t>residential facility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41D9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divided 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by the probability of survival to that age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B460C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Finally, the total expected time spent in a </w:t>
      </w:r>
      <w:r w:rsidR="001726C3">
        <w:rPr>
          <w:rFonts w:ascii="Times New Roman" w:eastAsiaTheme="minorEastAsia" w:hAnsi="Times New Roman" w:cs="Times New Roman"/>
          <w:sz w:val="24"/>
          <w:szCs w:val="24"/>
        </w:rPr>
        <w:t>residential facility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in years </w:t>
      </w:r>
      <w:r w:rsidR="000B7EF3" w:rsidRPr="00B460C7">
        <w:rPr>
          <w:rFonts w:ascii="Times New Roman" w:eastAsiaTheme="minorEastAsia" w:hAnsi="Times New Roman" w:cs="Times New Roman"/>
          <w:sz w:val="24"/>
          <w:szCs w:val="24"/>
        </w:rPr>
        <w:t>wa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s calculated by subtracting the </w:t>
      </w:r>
      <w:r w:rsidRPr="00B460C7">
        <w:rPr>
          <w:rFonts w:ascii="Times New Roman" w:hAnsi="Times New Roman" w:cs="Times New Roman"/>
          <w:sz w:val="24"/>
          <w:szCs w:val="24"/>
        </w:rPr>
        <w:t>residential care</w:t>
      </w:r>
      <w:r w:rsidR="00C30982" w:rsidRPr="00B460C7">
        <w:rPr>
          <w:rFonts w:ascii="Times New Roman" w:hAnsi="Times New Roman" w:cs="Times New Roman"/>
          <w:sz w:val="24"/>
          <w:szCs w:val="24"/>
        </w:rPr>
        <w:t xml:space="preserve">-free life expectancy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βx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from the total life expectancy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C7">
        <w:rPr>
          <w:rFonts w:ascii="Times New Roman" w:eastAsiaTheme="minorEastAsia" w:hAnsi="Times New Roman" w:cs="Times New Roman"/>
          <w:sz w:val="24"/>
          <w:szCs w:val="24"/>
        </w:rPr>
        <w:t>calculated before</w:t>
      </w:r>
      <w:r w:rsidR="00C30982" w:rsidRPr="00B460C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46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1E571C4" w14:textId="4E246AA2" w:rsidR="005A22B4" w:rsidRPr="00B460C7" w:rsidRDefault="008D09C1" w:rsidP="00EF5EF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C7">
        <w:rPr>
          <w:rFonts w:ascii="Times New Roman" w:hAnsi="Times New Roman" w:cs="Times New Roman"/>
          <w:sz w:val="24"/>
          <w:szCs w:val="24"/>
        </w:rPr>
        <w:lastRenderedPageBreak/>
        <w:t>In the second step</w:t>
      </w:r>
      <w:r w:rsidR="00E735CD" w:rsidRPr="00B460C7">
        <w:rPr>
          <w:rFonts w:ascii="Times New Roman" w:hAnsi="Times New Roman" w:cs="Times New Roman"/>
          <w:sz w:val="24"/>
          <w:szCs w:val="24"/>
        </w:rPr>
        <w:t>,</w:t>
      </w:r>
      <w:r w:rsidRPr="00B460C7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0" w:name="_Hlk61361531"/>
      <w:r w:rsidRPr="00B460C7">
        <w:rPr>
          <w:rFonts w:ascii="Times New Roman" w:hAnsi="Times New Roman" w:cs="Times New Roman"/>
          <w:sz w:val="24"/>
          <w:szCs w:val="24"/>
        </w:rPr>
        <w:t xml:space="preserve">expected time 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spent in </w:t>
      </w:r>
      <w:r w:rsidR="001726C3">
        <w:rPr>
          <w:rFonts w:ascii="Times New Roman" w:hAnsi="Times New Roman" w:cs="Times New Roman"/>
          <w:sz w:val="24"/>
          <w:szCs w:val="24"/>
        </w:rPr>
        <w:t>residential care</w:t>
      </w:r>
      <w:r w:rsidR="00111AAC" w:rsidRPr="00B460C7">
        <w:rPr>
          <w:rFonts w:ascii="Times New Roman" w:hAnsi="Times New Roman" w:cs="Times New Roman"/>
          <w:sz w:val="24"/>
          <w:szCs w:val="24"/>
        </w:rPr>
        <w:t xml:space="preserve"> given a particular age, gender and care level,</w:t>
      </w:r>
      <w:r w:rsidRPr="00B460C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B7EF3" w:rsidRPr="00B460C7">
        <w:rPr>
          <w:rFonts w:ascii="Times New Roman" w:hAnsi="Times New Roman" w:cs="Times New Roman"/>
          <w:sz w:val="24"/>
          <w:szCs w:val="24"/>
        </w:rPr>
        <w:t>wa</w:t>
      </w:r>
      <w:r w:rsidRPr="00B460C7">
        <w:rPr>
          <w:rFonts w:ascii="Times New Roman" w:hAnsi="Times New Roman" w:cs="Times New Roman"/>
          <w:sz w:val="24"/>
          <w:szCs w:val="24"/>
        </w:rPr>
        <w:t xml:space="preserve">s matched 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with </w:t>
      </w:r>
      <w:r w:rsidR="006E77C7" w:rsidRPr="00B460C7">
        <w:rPr>
          <w:rFonts w:ascii="Times New Roman" w:hAnsi="Times New Roman" w:cs="Times New Roman"/>
          <w:sz w:val="24"/>
          <w:szCs w:val="24"/>
        </w:rPr>
        <w:t>individuals aged 65+ in the Survey of Health, Ageing and Retirement in Europe (SHARE, wave 6) for Austria (N=2221) (Table A1)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. </w:t>
      </w:r>
      <w:r w:rsidRPr="00B460C7">
        <w:rPr>
          <w:rFonts w:ascii="Times New Roman" w:hAnsi="Times New Roman" w:cs="Times New Roman"/>
          <w:sz w:val="24"/>
          <w:szCs w:val="24"/>
        </w:rPr>
        <w:t>To this end</w:t>
      </w:r>
      <w:r w:rsidR="00E735CD" w:rsidRPr="00B460C7">
        <w:rPr>
          <w:rFonts w:ascii="Times New Roman" w:hAnsi="Times New Roman" w:cs="Times New Roman"/>
          <w:sz w:val="24"/>
          <w:szCs w:val="24"/>
        </w:rPr>
        <w:t>,</w:t>
      </w:r>
      <w:r w:rsidRPr="00B460C7">
        <w:rPr>
          <w:rFonts w:ascii="Times New Roman" w:hAnsi="Times New Roman" w:cs="Times New Roman"/>
          <w:sz w:val="24"/>
          <w:szCs w:val="24"/>
        </w:rPr>
        <w:t xml:space="preserve"> we use</w:t>
      </w:r>
      <w:r w:rsidR="000B7EF3" w:rsidRPr="00B460C7">
        <w:rPr>
          <w:rFonts w:ascii="Times New Roman" w:hAnsi="Times New Roman" w:cs="Times New Roman"/>
          <w:sz w:val="24"/>
          <w:szCs w:val="24"/>
        </w:rPr>
        <w:t>d</w:t>
      </w:r>
      <w:r w:rsidRPr="00B460C7">
        <w:rPr>
          <w:rFonts w:ascii="Times New Roman" w:hAnsi="Times New Roman" w:cs="Times New Roman"/>
          <w:sz w:val="24"/>
          <w:szCs w:val="24"/>
        </w:rPr>
        <w:t xml:space="preserve"> the 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process detailed by </w:t>
      </w:r>
      <w:proofErr w:type="spellStart"/>
      <w:r w:rsidR="00303F32" w:rsidRPr="00B460C7">
        <w:rPr>
          <w:rFonts w:ascii="Times New Roman" w:hAnsi="Times New Roman" w:cs="Times New Roman"/>
          <w:sz w:val="24"/>
          <w:szCs w:val="24"/>
        </w:rPr>
        <w:t>Brugiavini</w:t>
      </w:r>
      <w:proofErr w:type="spellEnd"/>
      <w:r w:rsidR="00303F32" w:rsidRPr="00B460C7">
        <w:rPr>
          <w:rFonts w:ascii="Times New Roman" w:hAnsi="Times New Roman" w:cs="Times New Roman"/>
          <w:sz w:val="24"/>
          <w:szCs w:val="24"/>
        </w:rPr>
        <w:t xml:space="preserve"> et al.</w:t>
      </w:r>
      <w:r w:rsidR="00A87420" w:rsidRPr="000529D6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 to assign </w:t>
      </w:r>
      <w:r w:rsidR="00D841D9" w:rsidRPr="00B460C7">
        <w:rPr>
          <w:rFonts w:ascii="Times New Roman" w:hAnsi="Times New Roman" w:cs="Times New Roman"/>
          <w:sz w:val="24"/>
          <w:szCs w:val="24"/>
        </w:rPr>
        <w:t xml:space="preserve">likely 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care levels of the </w:t>
      </w:r>
      <w:r w:rsidR="00D841D9" w:rsidRPr="00B460C7">
        <w:rPr>
          <w:rFonts w:ascii="Times New Roman" w:hAnsi="Times New Roman" w:cs="Times New Roman"/>
          <w:sz w:val="24"/>
          <w:szCs w:val="24"/>
        </w:rPr>
        <w:t xml:space="preserve">Austrian </w:t>
      </w:r>
      <w:r w:rsidR="00303F32" w:rsidRPr="00B460C7">
        <w:rPr>
          <w:rFonts w:ascii="Times New Roman" w:hAnsi="Times New Roman" w:cs="Times New Roman"/>
          <w:sz w:val="24"/>
          <w:szCs w:val="24"/>
        </w:rPr>
        <w:t>care allowance to each individual in SHARE</w:t>
      </w:r>
      <w:r w:rsidR="005A22B4" w:rsidRPr="00B460C7">
        <w:rPr>
          <w:rFonts w:ascii="Times New Roman" w:hAnsi="Times New Roman" w:cs="Times New Roman"/>
          <w:sz w:val="24"/>
          <w:szCs w:val="24"/>
        </w:rPr>
        <w:t>, b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ased on </w:t>
      </w:r>
      <w:r w:rsidR="003124C0" w:rsidRPr="00B460C7">
        <w:rPr>
          <w:rFonts w:ascii="Times New Roman" w:hAnsi="Times New Roman" w:cs="Times New Roman"/>
          <w:sz w:val="24"/>
          <w:szCs w:val="24"/>
        </w:rPr>
        <w:t xml:space="preserve">the needs profile of each individual. </w:t>
      </w:r>
      <w:r w:rsidR="008E29C7" w:rsidRPr="00B460C7">
        <w:rPr>
          <w:rFonts w:ascii="Times New Roman" w:hAnsi="Times New Roman" w:cs="Times New Roman"/>
          <w:sz w:val="24"/>
          <w:szCs w:val="24"/>
        </w:rPr>
        <w:t>First, t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ime allotments (i.e. ‘needs’ as defined by the </w:t>
      </w:r>
      <w:r w:rsidR="003124C0" w:rsidRPr="00B460C7">
        <w:rPr>
          <w:rFonts w:ascii="Times New Roman" w:hAnsi="Times New Roman" w:cs="Times New Roman"/>
          <w:sz w:val="24"/>
          <w:szCs w:val="24"/>
        </w:rPr>
        <w:t xml:space="preserve">Austrian 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care allowance) </w:t>
      </w:r>
      <w:r w:rsidR="000B7EF3" w:rsidRPr="00B460C7">
        <w:rPr>
          <w:rFonts w:ascii="Times New Roman" w:hAnsi="Times New Roman" w:cs="Times New Roman"/>
          <w:sz w:val="24"/>
          <w:szCs w:val="24"/>
        </w:rPr>
        <w:t>we</w:t>
      </w:r>
      <w:r w:rsidR="005A22B4" w:rsidRPr="00B460C7">
        <w:rPr>
          <w:rFonts w:ascii="Times New Roman" w:hAnsi="Times New Roman" w:cs="Times New Roman"/>
          <w:sz w:val="24"/>
          <w:szCs w:val="24"/>
        </w:rPr>
        <w:t xml:space="preserve">re allocated </w:t>
      </w:r>
      <w:r w:rsidR="00303F32" w:rsidRPr="00B460C7">
        <w:rPr>
          <w:rFonts w:ascii="Times New Roman" w:hAnsi="Times New Roman" w:cs="Times New Roman"/>
          <w:sz w:val="24"/>
          <w:szCs w:val="24"/>
        </w:rPr>
        <w:t>for each task to individuals in SHARE that report difficulties with said task. While not all tasks listed by the legislation c</w:t>
      </w:r>
      <w:r w:rsidR="000B7EF3" w:rsidRPr="00B460C7">
        <w:rPr>
          <w:rFonts w:ascii="Times New Roman" w:hAnsi="Times New Roman" w:cs="Times New Roman"/>
          <w:sz w:val="24"/>
          <w:szCs w:val="24"/>
        </w:rPr>
        <w:t>ould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 be accounted for in SHARE (i.e. colostomy care, catheter care, enemas, etc.), a large majority </w:t>
      </w:r>
      <w:r w:rsidR="000B7EF3" w:rsidRPr="00B460C7">
        <w:rPr>
          <w:rFonts w:ascii="Times New Roman" w:hAnsi="Times New Roman" w:cs="Times New Roman"/>
          <w:sz w:val="24"/>
          <w:szCs w:val="24"/>
        </w:rPr>
        <w:t>could</w:t>
      </w:r>
      <w:r w:rsidR="005A22B4" w:rsidRPr="00B460C7">
        <w:rPr>
          <w:rFonts w:ascii="Times New Roman" w:hAnsi="Times New Roman" w:cs="Times New Roman"/>
          <w:sz w:val="24"/>
          <w:szCs w:val="24"/>
        </w:rPr>
        <w:t xml:space="preserve"> (Table A</w:t>
      </w:r>
      <w:r w:rsidR="006E77C7" w:rsidRPr="00B460C7">
        <w:rPr>
          <w:rFonts w:ascii="Times New Roman" w:hAnsi="Times New Roman" w:cs="Times New Roman"/>
          <w:sz w:val="24"/>
          <w:szCs w:val="24"/>
        </w:rPr>
        <w:t>2</w:t>
      </w:r>
      <w:r w:rsidR="005A22B4" w:rsidRPr="00B460C7">
        <w:rPr>
          <w:rFonts w:ascii="Times New Roman" w:hAnsi="Times New Roman" w:cs="Times New Roman"/>
          <w:sz w:val="24"/>
          <w:szCs w:val="24"/>
        </w:rPr>
        <w:t>)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. Mental health/disorders </w:t>
      </w:r>
      <w:r w:rsidR="000B7EF3" w:rsidRPr="00B460C7">
        <w:rPr>
          <w:rFonts w:ascii="Times New Roman" w:hAnsi="Times New Roman" w:cs="Times New Roman"/>
          <w:sz w:val="24"/>
          <w:szCs w:val="24"/>
        </w:rPr>
        <w:t xml:space="preserve">were 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also considered, with individuals with Alzheimer diagnoses or </w:t>
      </w:r>
      <w:proofErr w:type="spellStart"/>
      <w:r w:rsidR="00303F32" w:rsidRPr="00B460C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303F32" w:rsidRPr="00B460C7">
        <w:rPr>
          <w:rFonts w:ascii="Times New Roman" w:hAnsi="Times New Roman" w:cs="Times New Roman"/>
          <w:sz w:val="24"/>
          <w:szCs w:val="24"/>
        </w:rPr>
        <w:t xml:space="preserve"> disorders being attributed the corresponding number of hours per month as designated by the legislation.</w:t>
      </w:r>
    </w:p>
    <w:p w14:paraId="0B949F3F" w14:textId="12389C78" w:rsidR="006E77C7" w:rsidRPr="00B460C7" w:rsidRDefault="006E77C7" w:rsidP="00EF5EF9">
      <w:pPr>
        <w:pStyle w:val="Caption"/>
        <w:spacing w:before="100" w:beforeAutospacing="1" w:after="100" w:afterAutospacing="1" w:line="480" w:lineRule="auto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B460C7">
        <w:rPr>
          <w:rFonts w:ascii="Times New Roman" w:hAnsi="Times New Roman" w:cs="Times New Roman"/>
          <w:b w:val="0"/>
          <w:sz w:val="24"/>
          <w:szCs w:val="24"/>
        </w:rPr>
        <w:t xml:space="preserve">Table A1: </w:t>
      </w:r>
      <w:r w:rsidRPr="00B460C7">
        <w:rPr>
          <w:rFonts w:ascii="Times New Roman" w:hAnsi="Times New Roman" w:cs="Times New Roman"/>
          <w:b w:val="0"/>
          <w:sz w:val="24"/>
          <w:szCs w:val="24"/>
          <w:lang w:val="en-GB"/>
        </w:rPr>
        <w:t>Descriptive statistics for SHARE sample used in the simulation</w:t>
      </w:r>
    </w:p>
    <w:tbl>
      <w:tblPr>
        <w:tblW w:w="6237" w:type="dxa"/>
        <w:tblLook w:val="04A0" w:firstRow="1" w:lastRow="0" w:firstColumn="1" w:lastColumn="0" w:noHBand="0" w:noVBand="1"/>
      </w:tblPr>
      <w:tblGrid>
        <w:gridCol w:w="3900"/>
        <w:gridCol w:w="2337"/>
      </w:tblGrid>
      <w:tr w:rsidR="006E77C7" w:rsidRPr="006E77C7" w14:paraId="4FA2F995" w14:textId="77777777" w:rsidTr="007236F8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E8A47" w14:textId="77777777" w:rsidR="006E77C7" w:rsidRPr="006E77C7" w:rsidRDefault="006E77C7" w:rsidP="0072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Variable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BA0C1" w14:textId="2836F281" w:rsidR="006E77C7" w:rsidRPr="006E77C7" w:rsidRDefault="006E77C7" w:rsidP="0072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Percentage</w:t>
            </w:r>
            <w:r w:rsidR="007236F8"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(mean; SD)</w:t>
            </w:r>
          </w:p>
        </w:tc>
      </w:tr>
      <w:tr w:rsidR="007236F8" w:rsidRPr="000651A2" w14:paraId="542F7B4B" w14:textId="77777777" w:rsidTr="007236F8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7BAA155" w14:textId="393DE078" w:rsidR="007236F8" w:rsidRPr="000651A2" w:rsidRDefault="007236F8" w:rsidP="0072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Age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DCBF2D4" w14:textId="0713B63B" w:rsidR="007236F8" w:rsidRPr="000651A2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(74.6; 7.0)</w:t>
            </w:r>
          </w:p>
        </w:tc>
      </w:tr>
      <w:tr w:rsidR="007236F8" w:rsidRPr="000651A2" w14:paraId="1217ABF4" w14:textId="77777777" w:rsidTr="007236F8">
        <w:trPr>
          <w:trHeight w:val="315"/>
        </w:trPr>
        <w:tc>
          <w:tcPr>
            <w:tcW w:w="3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AF4FE8" w14:textId="06228ECA" w:rsidR="007236F8" w:rsidRPr="000651A2" w:rsidRDefault="007236F8" w:rsidP="0072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Gender:</w:t>
            </w:r>
          </w:p>
        </w:tc>
        <w:tc>
          <w:tcPr>
            <w:tcW w:w="2337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994C7A" w14:textId="77777777" w:rsidR="007236F8" w:rsidRPr="000651A2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E77C7" w:rsidRPr="006E77C7" w14:paraId="00386E7F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16E" w14:textId="77777777" w:rsidR="006E77C7" w:rsidRPr="006E77C7" w:rsidRDefault="006E77C7" w:rsidP="007236F8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Female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9CCE" w14:textId="77777777" w:rsidR="006E77C7" w:rsidRPr="006E77C7" w:rsidRDefault="006E77C7" w:rsidP="006E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57.5</w:t>
            </w:r>
          </w:p>
        </w:tc>
      </w:tr>
      <w:tr w:rsidR="006E77C7" w:rsidRPr="006E77C7" w14:paraId="2C9273E9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A195" w14:textId="77777777" w:rsidR="006E77C7" w:rsidRPr="006E77C7" w:rsidRDefault="006E77C7" w:rsidP="007236F8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Male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8163" w14:textId="77777777" w:rsidR="006E77C7" w:rsidRPr="006E77C7" w:rsidRDefault="006E77C7" w:rsidP="006E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42.5</w:t>
            </w:r>
          </w:p>
        </w:tc>
      </w:tr>
      <w:tr w:rsidR="007236F8" w:rsidRPr="000651A2" w14:paraId="599688EB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42F3" w14:textId="76CC8BDC" w:rsidR="007236F8" w:rsidRPr="000651A2" w:rsidRDefault="007236F8" w:rsidP="006E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Education: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5891" w14:textId="77777777" w:rsidR="007236F8" w:rsidRPr="000651A2" w:rsidRDefault="007236F8" w:rsidP="006E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E77C7" w:rsidRPr="006E77C7" w14:paraId="010A8C3A" w14:textId="77777777" w:rsidTr="007236F8">
        <w:trPr>
          <w:trHeight w:val="315"/>
        </w:trPr>
        <w:tc>
          <w:tcPr>
            <w:tcW w:w="3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7F7B" w14:textId="77777777" w:rsidR="006E77C7" w:rsidRPr="006E77C7" w:rsidRDefault="006E77C7" w:rsidP="007236F8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Primary education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4275" w14:textId="77777777" w:rsidR="006E77C7" w:rsidRPr="006E77C7" w:rsidRDefault="006E77C7" w:rsidP="006E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15.5</w:t>
            </w:r>
          </w:p>
        </w:tc>
      </w:tr>
      <w:tr w:rsidR="006E77C7" w:rsidRPr="006E77C7" w14:paraId="4816DA2B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3B28" w14:textId="77777777" w:rsidR="006E77C7" w:rsidRPr="006E77C7" w:rsidRDefault="006E77C7" w:rsidP="007236F8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Secondary education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15D8" w14:textId="77777777" w:rsidR="006E77C7" w:rsidRPr="006E77C7" w:rsidRDefault="006E77C7" w:rsidP="006E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59.8</w:t>
            </w:r>
          </w:p>
        </w:tc>
      </w:tr>
      <w:tr w:rsidR="006E77C7" w:rsidRPr="006E77C7" w14:paraId="4E6E5C8A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8BE3" w14:textId="77777777" w:rsidR="006E77C7" w:rsidRPr="006E77C7" w:rsidRDefault="006E77C7" w:rsidP="007236F8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Tertiary education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409B" w14:textId="77777777" w:rsidR="006E77C7" w:rsidRPr="006E77C7" w:rsidRDefault="006E77C7" w:rsidP="006E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24.8</w:t>
            </w:r>
          </w:p>
        </w:tc>
      </w:tr>
      <w:tr w:rsidR="007236F8" w:rsidRPr="000651A2" w14:paraId="44B9E812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8D0B" w14:textId="201E64C5" w:rsidR="007236F8" w:rsidRPr="000651A2" w:rsidRDefault="007236F8" w:rsidP="0072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Health variables: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D694" w14:textId="77777777" w:rsidR="007236F8" w:rsidRPr="000651A2" w:rsidRDefault="007236F8" w:rsidP="006E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7236F8" w:rsidRPr="006E77C7" w14:paraId="0DA9F098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BB88" w14:textId="77777777" w:rsidR="007236F8" w:rsidRPr="006E77C7" w:rsidRDefault="007236F8" w:rsidP="00957FB0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No ADLs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4871" w14:textId="77777777" w:rsidR="007236F8" w:rsidRPr="006E77C7" w:rsidRDefault="007236F8" w:rsidP="0095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85.1</w:t>
            </w:r>
          </w:p>
        </w:tc>
      </w:tr>
      <w:tr w:rsidR="007236F8" w:rsidRPr="000651A2" w14:paraId="7EB4AC57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54DD" w14:textId="50837A82" w:rsidR="007236F8" w:rsidRPr="000651A2" w:rsidRDefault="007236F8" w:rsidP="007236F8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ADLs&gt;=1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67D2" w14:textId="5EFFB0CE" w:rsidR="007236F8" w:rsidRPr="000651A2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14.9</w:t>
            </w:r>
          </w:p>
        </w:tc>
      </w:tr>
      <w:tr w:rsidR="007236F8" w:rsidRPr="006E77C7" w14:paraId="130E1119" w14:textId="77777777" w:rsidTr="007236F8">
        <w:trPr>
          <w:trHeight w:val="315"/>
        </w:trPr>
        <w:tc>
          <w:tcPr>
            <w:tcW w:w="3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F910" w14:textId="395F4693" w:rsidR="007236F8" w:rsidRPr="006E77C7" w:rsidRDefault="007236F8" w:rsidP="007236F8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No IADLs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E056" w14:textId="172343DB" w:rsidR="007236F8" w:rsidRPr="006E77C7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72.9</w:t>
            </w:r>
          </w:p>
        </w:tc>
      </w:tr>
      <w:tr w:rsidR="007236F8" w:rsidRPr="006E77C7" w14:paraId="6AC5D695" w14:textId="77777777" w:rsidTr="007236F8">
        <w:trPr>
          <w:trHeight w:val="315"/>
        </w:trPr>
        <w:tc>
          <w:tcPr>
            <w:tcW w:w="3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E4CD" w14:textId="77777777" w:rsidR="007236F8" w:rsidRPr="006E77C7" w:rsidRDefault="007236F8" w:rsidP="007236F8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IADLS&gt;=1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C6B" w14:textId="77777777" w:rsidR="007236F8" w:rsidRPr="006E77C7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27.2</w:t>
            </w:r>
          </w:p>
        </w:tc>
      </w:tr>
      <w:tr w:rsidR="007236F8" w:rsidRPr="006E77C7" w14:paraId="278F8649" w14:textId="77777777" w:rsidTr="007236F8">
        <w:trPr>
          <w:trHeight w:val="315"/>
        </w:trPr>
        <w:tc>
          <w:tcPr>
            <w:tcW w:w="3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677" w14:textId="77777777" w:rsidR="007236F8" w:rsidRPr="006E77C7" w:rsidRDefault="007236F8" w:rsidP="007236F8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Good or better self-reported </w:t>
            </w:r>
            <w:proofErr w:type="spellStart"/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heatlh</w:t>
            </w:r>
            <w:proofErr w:type="spellEnd"/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739F" w14:textId="77777777" w:rsidR="007236F8" w:rsidRPr="006E77C7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60.9</w:t>
            </w:r>
          </w:p>
        </w:tc>
      </w:tr>
      <w:tr w:rsidR="007236F8" w:rsidRPr="006E77C7" w14:paraId="7AA12C59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B2C" w14:textId="77777777" w:rsidR="007236F8" w:rsidRPr="006E77C7" w:rsidRDefault="007236F8" w:rsidP="007236F8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Less than good self-reported health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9DA" w14:textId="77777777" w:rsidR="007236F8" w:rsidRPr="006E77C7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E77C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39.1</w:t>
            </w:r>
          </w:p>
        </w:tc>
      </w:tr>
      <w:tr w:rsidR="005F041F" w:rsidRPr="006E77C7" w14:paraId="4DDECBB7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4449" w14:textId="50CFFB9F" w:rsidR="005F041F" w:rsidRPr="006E77C7" w:rsidRDefault="005F041F" w:rsidP="004A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Homeownership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5321" w14:textId="77777777" w:rsidR="005F041F" w:rsidRPr="006E77C7" w:rsidRDefault="005F041F" w:rsidP="005F0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F041F" w:rsidRPr="006E77C7" w14:paraId="791679B7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E230" w14:textId="55F4D196" w:rsidR="005F041F" w:rsidRPr="006E77C7" w:rsidRDefault="005F041F" w:rsidP="005F041F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Homeowner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3F34" w14:textId="2C1944A1" w:rsidR="005F041F" w:rsidRPr="006E77C7" w:rsidRDefault="005F041F" w:rsidP="005F0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56.3</w:t>
            </w:r>
          </w:p>
        </w:tc>
      </w:tr>
      <w:tr w:rsidR="005F041F" w:rsidRPr="006E77C7" w14:paraId="5638D65F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0017C" w14:textId="606AA5DC" w:rsidR="005F041F" w:rsidRPr="006E77C7" w:rsidRDefault="005F041F" w:rsidP="005F041F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Non-homeowner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B8A2" w14:textId="7669CCCC" w:rsidR="005F041F" w:rsidRPr="006E77C7" w:rsidRDefault="005F041F" w:rsidP="005F0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43.7</w:t>
            </w:r>
          </w:p>
        </w:tc>
      </w:tr>
      <w:tr w:rsidR="007236F8" w:rsidRPr="000651A2" w14:paraId="7F21FA5F" w14:textId="77777777" w:rsidTr="007236F8">
        <w:trPr>
          <w:trHeight w:val="315"/>
        </w:trPr>
        <w:tc>
          <w:tcPr>
            <w:tcW w:w="3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996385" w14:textId="6487FA2B" w:rsidR="007236F8" w:rsidRPr="000651A2" w:rsidRDefault="007236F8" w:rsidP="0072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Equivalised household net income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8BE020" w14:textId="3D39845F" w:rsidR="007236F8" w:rsidRPr="000651A2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(21,954.1; 13556.47)</w:t>
            </w:r>
          </w:p>
        </w:tc>
      </w:tr>
      <w:tr w:rsidR="007236F8" w:rsidRPr="006E77C7" w14:paraId="11653C68" w14:textId="77777777" w:rsidTr="007236F8">
        <w:trPr>
          <w:trHeight w:val="315"/>
        </w:trPr>
        <w:tc>
          <w:tcPr>
            <w:tcW w:w="3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F51CA" w14:textId="194152CF" w:rsidR="007236F8" w:rsidRPr="006E77C7" w:rsidRDefault="007236F8" w:rsidP="0072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Net worth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164CE" w14:textId="5DCBA65A" w:rsidR="007236F8" w:rsidRPr="006E77C7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(146223; 253956.1)</w:t>
            </w:r>
          </w:p>
        </w:tc>
      </w:tr>
      <w:tr w:rsidR="007236F8" w:rsidRPr="006E77C7" w14:paraId="11E09889" w14:textId="77777777" w:rsidTr="007236F8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DB423" w14:textId="02A27BFE" w:rsidR="007236F8" w:rsidRPr="006E77C7" w:rsidRDefault="007236F8" w:rsidP="0072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No. of observations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4968E" w14:textId="2EBB96E8" w:rsidR="007236F8" w:rsidRPr="006E77C7" w:rsidRDefault="007236F8" w:rsidP="00723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2221</w:t>
            </w:r>
          </w:p>
        </w:tc>
      </w:tr>
    </w:tbl>
    <w:p w14:paraId="01B668BD" w14:textId="2BECA8B9" w:rsidR="006E77C7" w:rsidRPr="000651A2" w:rsidRDefault="007236F8" w:rsidP="006E77C7">
      <w:pPr>
        <w:spacing w:line="360" w:lineRule="auto"/>
        <w:jc w:val="both"/>
        <w:rPr>
          <w:rFonts w:ascii="Times New Roman" w:hAnsi="Times New Roman" w:cs="Times New Roman"/>
        </w:rPr>
      </w:pPr>
      <w:r w:rsidRPr="000651A2">
        <w:rPr>
          <w:rFonts w:ascii="Times New Roman" w:hAnsi="Times New Roman" w:cs="Times New Roman"/>
        </w:rPr>
        <w:t xml:space="preserve">Unweighted results. </w:t>
      </w:r>
      <w:r w:rsidR="00910689" w:rsidRPr="000651A2">
        <w:rPr>
          <w:rFonts w:ascii="Times New Roman" w:hAnsi="Times New Roman" w:cs="Times New Roman"/>
        </w:rPr>
        <w:t>Individuals aged 65 or older.</w:t>
      </w:r>
    </w:p>
    <w:p w14:paraId="0A4A6969" w14:textId="39B8E51D" w:rsidR="005A22B4" w:rsidRPr="00B460C7" w:rsidRDefault="005A22B4" w:rsidP="00EF5EF9">
      <w:pPr>
        <w:pStyle w:val="Caption"/>
        <w:spacing w:before="100" w:beforeAutospacing="1" w:after="100" w:afterAutospacing="1" w:line="480" w:lineRule="auto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B460C7">
        <w:rPr>
          <w:rFonts w:ascii="Times New Roman" w:hAnsi="Times New Roman" w:cs="Times New Roman"/>
          <w:b w:val="0"/>
          <w:sz w:val="24"/>
          <w:szCs w:val="24"/>
        </w:rPr>
        <w:t>Table A</w:t>
      </w:r>
      <w:r w:rsidR="006E77C7" w:rsidRPr="00B460C7">
        <w:rPr>
          <w:rFonts w:ascii="Times New Roman" w:hAnsi="Times New Roman" w:cs="Times New Roman"/>
          <w:b w:val="0"/>
          <w:sz w:val="24"/>
          <w:szCs w:val="24"/>
        </w:rPr>
        <w:t>2</w:t>
      </w:r>
      <w:r w:rsidRPr="00B460C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B460C7">
        <w:rPr>
          <w:rFonts w:ascii="Times New Roman" w:hAnsi="Times New Roman" w:cs="Times New Roman"/>
          <w:b w:val="0"/>
          <w:sz w:val="24"/>
          <w:szCs w:val="24"/>
          <w:lang w:val="en-GB"/>
        </w:rPr>
        <w:t>Care tasks used to assign time allotments to observatios in SHARE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2552"/>
        <w:gridCol w:w="1134"/>
        <w:gridCol w:w="5404"/>
      </w:tblGrid>
      <w:tr w:rsidR="005A22B4" w:rsidRPr="000651A2" w14:paraId="73DF510B" w14:textId="77777777" w:rsidTr="003124C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AA8B3" w14:textId="77777777" w:rsidR="005A22B4" w:rsidRPr="000651A2" w:rsidRDefault="005A22B4" w:rsidP="00EC48BE">
            <w:pPr>
              <w:pStyle w:val="ECTableHeaderLeft"/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Cs w:val="22"/>
              </w:rPr>
              <w:t>Care Task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6C6C7" w14:textId="77777777" w:rsidR="005A22B4" w:rsidRPr="000651A2" w:rsidRDefault="005A22B4" w:rsidP="00EC48BE">
            <w:pPr>
              <w:pStyle w:val="ECTableHeaderLeft"/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bCs/>
                <w:szCs w:val="22"/>
              </w:rPr>
              <w:t>Time assigned (hours)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47B69" w14:textId="77777777" w:rsidR="005A22B4" w:rsidRPr="000651A2" w:rsidRDefault="005A22B4" w:rsidP="00EC48BE">
            <w:pPr>
              <w:pStyle w:val="ECTableHeaderLeft"/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bCs/>
                <w:szCs w:val="22"/>
              </w:rPr>
              <w:t>Question in SHARE</w:t>
            </w:r>
          </w:p>
        </w:tc>
      </w:tr>
      <w:tr w:rsidR="005A22B4" w:rsidRPr="000651A2" w14:paraId="654AE0BB" w14:textId="77777777" w:rsidTr="003124C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351465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5C5B34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23C50A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Please tell me if you have any difficulties with these activities because of a physical, mental, emotional or mental problem. Exclude any difficulties you expect to last less than three months.</w:t>
            </w:r>
          </w:p>
        </w:tc>
      </w:tr>
      <w:tr w:rsidR="005A22B4" w:rsidRPr="000651A2" w14:paraId="7CC70CA9" w14:textId="77777777" w:rsidTr="003124C0">
        <w:trPr>
          <w:trHeight w:val="2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C4672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Daily body 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3517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9D9B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Bathing or showering</w:t>
            </w:r>
          </w:p>
        </w:tc>
      </w:tr>
      <w:tr w:rsidR="005A22B4" w:rsidRPr="000651A2" w14:paraId="0DB40333" w14:textId="77777777" w:rsidTr="003124C0">
        <w:trPr>
          <w:trHeight w:val="2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DA8ED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Preparation of meals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67DEB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508D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Preparing a hot meal</w:t>
            </w:r>
          </w:p>
        </w:tc>
      </w:tr>
      <w:tr w:rsidR="005A22B4" w:rsidRPr="000651A2" w14:paraId="72CC7103" w14:textId="77777777" w:rsidTr="003124C0">
        <w:trPr>
          <w:trHeight w:val="3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B6410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Taking meals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A9DEA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90D9F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Eating, such as cutting up your food</w:t>
            </w:r>
          </w:p>
        </w:tc>
      </w:tr>
      <w:tr w:rsidR="005A22B4" w:rsidRPr="000651A2" w14:paraId="2E57629B" w14:textId="77777777" w:rsidTr="003124C0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81A5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Defecation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4CAA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F8A9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Using the toilet, including getting up or down</w:t>
            </w:r>
          </w:p>
        </w:tc>
      </w:tr>
      <w:tr w:rsidR="005A22B4" w:rsidRPr="000651A2" w14:paraId="1E38C155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ADC5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Dressing &amp; Undressing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5A1F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4541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Dressing, including putting on shoes and socks</w:t>
            </w:r>
          </w:p>
        </w:tc>
      </w:tr>
      <w:tr w:rsidR="005A22B4" w:rsidRPr="000651A2" w14:paraId="5973E6E9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90E1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Cleaning for incontinence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BC7A7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72930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Use of continence pads</w:t>
            </w:r>
          </w:p>
        </w:tc>
      </w:tr>
      <w:tr w:rsidR="005A22B4" w:rsidRPr="000651A2" w14:paraId="657EE09C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55A1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Taking medication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EB49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3BA4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Taking medications</w:t>
            </w:r>
          </w:p>
        </w:tc>
      </w:tr>
      <w:tr w:rsidR="005A22B4" w:rsidRPr="000651A2" w14:paraId="48F0BBEB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BBF60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Mobility aid in the narrow sense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A5A2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16F0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Walking across a room </w:t>
            </w:r>
          </w:p>
        </w:tc>
      </w:tr>
      <w:tr w:rsidR="005A22B4" w:rsidRPr="000651A2" w14:paraId="02629D53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1231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Shopping for food and medicines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CA41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DB09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Shopping for groceries</w:t>
            </w:r>
          </w:p>
        </w:tc>
      </w:tr>
      <w:tr w:rsidR="005A22B4" w:rsidRPr="000651A2" w14:paraId="0D8371AE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1D58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Cleaning home and personal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4888B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2999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Doing work around the house or garden</w:t>
            </w:r>
          </w:p>
        </w:tc>
      </w:tr>
      <w:tr w:rsidR="005A22B4" w:rsidRPr="000651A2" w14:paraId="3A1FF594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E24D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Heating the living space and procurement of fuel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25F64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25ABF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Doing work around the house or garden</w:t>
            </w:r>
          </w:p>
        </w:tc>
      </w:tr>
      <w:tr w:rsidR="005A22B4" w:rsidRPr="000651A2" w14:paraId="706472B7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FE56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Care of underwear and towels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25B3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112A1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Doing work around the house or garden</w:t>
            </w:r>
          </w:p>
        </w:tc>
      </w:tr>
      <w:tr w:rsidR="005A22B4" w:rsidRPr="000651A2" w14:paraId="40C2D99A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DA94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Mobility aid in broader 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4298" w14:textId="77777777" w:rsidR="005A22B4" w:rsidRPr="000651A2" w:rsidRDefault="005A22B4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B177" w14:textId="77777777" w:rsidR="005A22B4" w:rsidRPr="000651A2" w:rsidRDefault="005A22B4" w:rsidP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Using map to figure out how to get around in a strange place</w:t>
            </w:r>
          </w:p>
        </w:tc>
      </w:tr>
      <w:tr w:rsidR="003124C0" w:rsidRPr="000651A2" w14:paraId="6135A4B8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6ADE" w14:textId="2608EC13" w:rsidR="003124C0" w:rsidRPr="000651A2" w:rsidRDefault="003124C0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Cognitive impairment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BE2A" w14:textId="3F5566B9" w:rsidR="003124C0" w:rsidRPr="000651A2" w:rsidRDefault="003124C0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4E12" w14:textId="77777777" w:rsidR="006F58EC" w:rsidRPr="000651A2" w:rsidRDefault="003124C0" w:rsidP="006F58E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Has a doctor ever told you had/do you currently have:</w:t>
            </w:r>
          </w:p>
          <w:p w14:paraId="4A23F9DE" w14:textId="2BE6C519" w:rsidR="003124C0" w:rsidRPr="000651A2" w:rsidRDefault="003124C0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hAnsi="Times New Roman" w:cs="Times New Roman"/>
              </w:rPr>
              <w:t>Alzheimer's disease, dementia, organic brain syndrome, senility or any other serious memory impairment</w:t>
            </w:r>
            <w:r w:rsidR="006F58EC"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 w:rsidR="006F58EC" w:rsidRPr="000651A2">
              <w:rPr>
                <w:rFonts w:ascii="Times New Roman" w:hAnsi="Times New Roman" w:cs="Times New Roman"/>
              </w:rPr>
              <w:t xml:space="preserve"> o</w:t>
            </w:r>
            <w:r w:rsidRPr="000651A2">
              <w:rPr>
                <w:rFonts w:ascii="Times New Roman" w:hAnsi="Times New Roman" w:cs="Times New Roman"/>
              </w:rPr>
              <w:t>ther affective or emotional disorders, including anxiety, nervous or psychiatric problems</w:t>
            </w:r>
          </w:p>
        </w:tc>
      </w:tr>
      <w:tr w:rsidR="003124C0" w:rsidRPr="000651A2" w14:paraId="5D0F032D" w14:textId="77777777" w:rsidTr="003124C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5F3CA" w14:textId="77777777" w:rsidR="003124C0" w:rsidRPr="000651A2" w:rsidRDefault="003124C0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Motivational talks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695BB" w14:textId="77777777" w:rsidR="003124C0" w:rsidRPr="000651A2" w:rsidRDefault="003124C0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AD876" w14:textId="77777777" w:rsidR="003124C0" w:rsidRPr="000651A2" w:rsidRDefault="003124C0" w:rsidP="003124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EURO-D scale</w:t>
            </w:r>
          </w:p>
        </w:tc>
      </w:tr>
    </w:tbl>
    <w:p w14:paraId="4DB883D5" w14:textId="72A4C888" w:rsidR="005A22B4" w:rsidRPr="00B460C7" w:rsidRDefault="005A22B4" w:rsidP="003124C0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de-DE" w:bidi="en-US"/>
        </w:rPr>
      </w:pPr>
      <w:r w:rsidRPr="00B460C7">
        <w:rPr>
          <w:rFonts w:ascii="Times New Roman" w:hAnsi="Times New Roman" w:cs="Times New Roman"/>
          <w:sz w:val="24"/>
          <w:szCs w:val="24"/>
        </w:rPr>
        <w:t>Note: The following tasks (time allotment in hours) have no equivalent variables in SHARE and were not used: colostomy care (7.5)</w:t>
      </w:r>
      <w:r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, cannula tube care (5), catheter care (5), enemas (15), emptying and cleaning toilet chair (10).</w:t>
      </w:r>
    </w:p>
    <w:p w14:paraId="328D0556" w14:textId="02C176F4" w:rsidR="00303F32" w:rsidRPr="00B460C7" w:rsidRDefault="00303F32" w:rsidP="00EF5EF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C7">
        <w:rPr>
          <w:rFonts w:ascii="Times New Roman" w:hAnsi="Times New Roman" w:cs="Times New Roman"/>
          <w:sz w:val="24"/>
          <w:szCs w:val="24"/>
        </w:rPr>
        <w:t>T</w:t>
      </w:r>
      <w:r w:rsidR="00E735CD" w:rsidRPr="00B460C7">
        <w:rPr>
          <w:rFonts w:ascii="Times New Roman" w:hAnsi="Times New Roman" w:cs="Times New Roman"/>
          <w:sz w:val="24"/>
          <w:szCs w:val="24"/>
        </w:rPr>
        <w:t xml:space="preserve">ime allotments </w:t>
      </w:r>
      <w:r w:rsidR="000B7EF3" w:rsidRPr="00B460C7">
        <w:rPr>
          <w:rFonts w:ascii="Times New Roman" w:hAnsi="Times New Roman" w:cs="Times New Roman"/>
          <w:sz w:val="24"/>
          <w:szCs w:val="24"/>
        </w:rPr>
        <w:t>we</w:t>
      </w:r>
      <w:r w:rsidR="00E735CD" w:rsidRPr="00B460C7">
        <w:rPr>
          <w:rFonts w:ascii="Times New Roman" w:hAnsi="Times New Roman" w:cs="Times New Roman"/>
          <w:sz w:val="24"/>
          <w:szCs w:val="24"/>
        </w:rPr>
        <w:t>re summed up for each individual and t</w:t>
      </w:r>
      <w:r w:rsidRPr="00B460C7">
        <w:rPr>
          <w:rFonts w:ascii="Times New Roman" w:hAnsi="Times New Roman" w:cs="Times New Roman"/>
          <w:sz w:val="24"/>
          <w:szCs w:val="24"/>
        </w:rPr>
        <w:t xml:space="preserve">he care allowance </w:t>
      </w:r>
      <w:r w:rsidR="008E29C7" w:rsidRPr="00B460C7">
        <w:rPr>
          <w:rFonts w:ascii="Times New Roman" w:hAnsi="Times New Roman" w:cs="Times New Roman"/>
          <w:sz w:val="24"/>
          <w:szCs w:val="24"/>
        </w:rPr>
        <w:t xml:space="preserve">eligibility thresholds </w:t>
      </w:r>
      <w:r w:rsidR="000B7EF3" w:rsidRPr="00B460C7">
        <w:rPr>
          <w:rFonts w:ascii="Times New Roman" w:hAnsi="Times New Roman" w:cs="Times New Roman"/>
          <w:sz w:val="24"/>
          <w:szCs w:val="24"/>
        </w:rPr>
        <w:t>we</w:t>
      </w:r>
      <w:r w:rsidR="005A22B4" w:rsidRPr="00B460C7">
        <w:rPr>
          <w:rFonts w:ascii="Times New Roman" w:hAnsi="Times New Roman" w:cs="Times New Roman"/>
          <w:sz w:val="24"/>
          <w:szCs w:val="24"/>
        </w:rPr>
        <w:t xml:space="preserve">re then applied </w:t>
      </w:r>
      <w:r w:rsidRPr="00B460C7">
        <w:rPr>
          <w:rFonts w:ascii="Times New Roman" w:hAnsi="Times New Roman" w:cs="Times New Roman"/>
          <w:sz w:val="24"/>
          <w:szCs w:val="24"/>
        </w:rPr>
        <w:t xml:space="preserve">to </w:t>
      </w:r>
      <w:r w:rsidR="00431E91" w:rsidRPr="00B460C7">
        <w:rPr>
          <w:rFonts w:ascii="Times New Roman" w:hAnsi="Times New Roman" w:cs="Times New Roman"/>
          <w:sz w:val="24"/>
          <w:szCs w:val="24"/>
        </w:rPr>
        <w:t xml:space="preserve">assign each </w:t>
      </w:r>
      <w:r w:rsidRPr="00B460C7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431E91" w:rsidRPr="00B460C7">
        <w:rPr>
          <w:rFonts w:ascii="Times New Roman" w:hAnsi="Times New Roman" w:cs="Times New Roman"/>
          <w:sz w:val="24"/>
          <w:szCs w:val="24"/>
        </w:rPr>
        <w:t xml:space="preserve">to </w:t>
      </w:r>
      <w:r w:rsidRPr="00B460C7">
        <w:rPr>
          <w:rFonts w:ascii="Times New Roman" w:hAnsi="Times New Roman" w:cs="Times New Roman"/>
          <w:sz w:val="24"/>
          <w:szCs w:val="24"/>
        </w:rPr>
        <w:t xml:space="preserve">a </w:t>
      </w:r>
      <w:r w:rsidR="00AF49C0" w:rsidRPr="00B460C7">
        <w:rPr>
          <w:rFonts w:ascii="Times New Roman" w:hAnsi="Times New Roman" w:cs="Times New Roman"/>
          <w:sz w:val="24"/>
          <w:szCs w:val="24"/>
        </w:rPr>
        <w:t xml:space="preserve">hypothetical </w:t>
      </w:r>
      <w:r w:rsidRPr="00B460C7">
        <w:rPr>
          <w:rFonts w:ascii="Times New Roman" w:hAnsi="Times New Roman" w:cs="Times New Roman"/>
          <w:sz w:val="24"/>
          <w:szCs w:val="24"/>
        </w:rPr>
        <w:t xml:space="preserve">care level (i.e. </w:t>
      </w:r>
      <w:proofErr w:type="spellStart"/>
      <w:r w:rsidRPr="00B460C7">
        <w:rPr>
          <w:rFonts w:ascii="Times New Roman" w:hAnsi="Times New Roman" w:cs="Times New Roman"/>
          <w:sz w:val="24"/>
          <w:szCs w:val="24"/>
        </w:rPr>
        <w:t>Pflegestufe</w:t>
      </w:r>
      <w:proofErr w:type="spellEnd"/>
      <w:r w:rsidRPr="00B460C7">
        <w:rPr>
          <w:rFonts w:ascii="Times New Roman" w:hAnsi="Times New Roman" w:cs="Times New Roman"/>
          <w:sz w:val="24"/>
          <w:szCs w:val="24"/>
        </w:rPr>
        <w:t xml:space="preserve">) according to the number of hours of care </w:t>
      </w:r>
      <w:r w:rsidR="008E29C7" w:rsidRPr="00B460C7">
        <w:rPr>
          <w:rFonts w:ascii="Times New Roman" w:hAnsi="Times New Roman" w:cs="Times New Roman"/>
          <w:sz w:val="24"/>
          <w:szCs w:val="24"/>
        </w:rPr>
        <w:t>‘needed’</w:t>
      </w:r>
      <w:r w:rsidR="00431E91" w:rsidRPr="00B460C7">
        <w:rPr>
          <w:rFonts w:ascii="Times New Roman" w:hAnsi="Times New Roman" w:cs="Times New Roman"/>
          <w:sz w:val="24"/>
          <w:szCs w:val="24"/>
        </w:rPr>
        <w:t xml:space="preserve"> (Table A</w:t>
      </w:r>
      <w:r w:rsidR="006E77C7" w:rsidRPr="00B460C7">
        <w:rPr>
          <w:rFonts w:ascii="Times New Roman" w:hAnsi="Times New Roman" w:cs="Times New Roman"/>
          <w:sz w:val="24"/>
          <w:szCs w:val="24"/>
        </w:rPr>
        <w:t>3</w:t>
      </w:r>
      <w:r w:rsidR="00431E91" w:rsidRPr="00B460C7">
        <w:rPr>
          <w:rFonts w:ascii="Times New Roman" w:hAnsi="Times New Roman" w:cs="Times New Roman"/>
          <w:sz w:val="24"/>
          <w:szCs w:val="24"/>
        </w:rPr>
        <w:t>)</w:t>
      </w:r>
      <w:r w:rsidRPr="00B460C7">
        <w:rPr>
          <w:rFonts w:ascii="Times New Roman" w:hAnsi="Times New Roman" w:cs="Times New Roman"/>
          <w:sz w:val="24"/>
          <w:szCs w:val="24"/>
        </w:rPr>
        <w:t xml:space="preserve">. </w:t>
      </w:r>
      <w:r w:rsidR="003124C0" w:rsidRPr="00B460C7">
        <w:rPr>
          <w:rFonts w:ascii="Times New Roman" w:hAnsi="Times New Roman" w:cs="Times New Roman"/>
          <w:sz w:val="24"/>
          <w:szCs w:val="24"/>
        </w:rPr>
        <w:t>C</w:t>
      </w:r>
      <w:r w:rsidRPr="00B460C7">
        <w:rPr>
          <w:rFonts w:ascii="Times New Roman" w:hAnsi="Times New Roman" w:cs="Times New Roman"/>
          <w:sz w:val="24"/>
          <w:szCs w:val="24"/>
        </w:rPr>
        <w:t xml:space="preserve">are levels 5-7 are all characterized by requiring at least 180 hours of care per month, </w:t>
      </w:r>
      <w:r w:rsidR="003124C0" w:rsidRPr="00B460C7">
        <w:rPr>
          <w:rFonts w:ascii="Times New Roman" w:hAnsi="Times New Roman" w:cs="Times New Roman"/>
          <w:sz w:val="24"/>
          <w:szCs w:val="24"/>
        </w:rPr>
        <w:t xml:space="preserve">therefore other factors </w:t>
      </w:r>
      <w:r w:rsidR="008E29C7" w:rsidRPr="00B460C7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3124C0" w:rsidRPr="00B460C7">
        <w:rPr>
          <w:rFonts w:ascii="Times New Roman" w:hAnsi="Times New Roman" w:cs="Times New Roman"/>
          <w:sz w:val="24"/>
          <w:szCs w:val="24"/>
        </w:rPr>
        <w:t>were considered to distinguish between the</w:t>
      </w:r>
      <w:r w:rsidR="008E29C7" w:rsidRPr="00B460C7">
        <w:rPr>
          <w:rFonts w:ascii="Times New Roman" w:hAnsi="Times New Roman" w:cs="Times New Roman"/>
          <w:sz w:val="24"/>
          <w:szCs w:val="24"/>
        </w:rPr>
        <w:t>se</w:t>
      </w:r>
      <w:r w:rsidR="003124C0" w:rsidRPr="00B460C7">
        <w:rPr>
          <w:rFonts w:ascii="Times New Roman" w:hAnsi="Times New Roman" w:cs="Times New Roman"/>
          <w:sz w:val="24"/>
          <w:szCs w:val="24"/>
        </w:rPr>
        <w:t xml:space="preserve"> higher care levels, including Activities of Daily Living (ADLS), Instrumental Activities of Daily Living (IADLS), mobility issues and number of chronic conditions.</w:t>
      </w:r>
    </w:p>
    <w:p w14:paraId="6F6B20E7" w14:textId="6823C2D3" w:rsidR="003124C0" w:rsidRPr="000651A2" w:rsidRDefault="003124C0" w:rsidP="00EF5EF9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lang w:val="en-GB" w:eastAsia="de-DE" w:bidi="en-US"/>
        </w:rPr>
      </w:pPr>
      <w:r w:rsidRPr="00B460C7">
        <w:rPr>
          <w:rFonts w:ascii="Times New Roman" w:hAnsi="Times New Roman" w:cs="Times New Roman"/>
          <w:bCs/>
          <w:sz w:val="24"/>
          <w:szCs w:val="24"/>
          <w:lang w:val="en-GB" w:eastAsia="de-DE" w:bidi="en-US"/>
        </w:rPr>
        <w:t xml:space="preserve">Table </w:t>
      </w:r>
      <w:r w:rsidR="00431E91" w:rsidRPr="00B460C7">
        <w:rPr>
          <w:rFonts w:ascii="Times New Roman" w:hAnsi="Times New Roman" w:cs="Times New Roman"/>
          <w:bCs/>
          <w:sz w:val="24"/>
          <w:szCs w:val="24"/>
          <w:lang w:val="en-GB" w:eastAsia="de-DE" w:bidi="en-US"/>
        </w:rPr>
        <w:t>A</w:t>
      </w:r>
      <w:r w:rsidR="006E77C7" w:rsidRPr="00B460C7">
        <w:rPr>
          <w:rFonts w:ascii="Times New Roman" w:hAnsi="Times New Roman" w:cs="Times New Roman"/>
          <w:bCs/>
          <w:sz w:val="24"/>
          <w:szCs w:val="24"/>
          <w:lang w:val="en-GB" w:eastAsia="de-DE" w:bidi="en-US"/>
        </w:rPr>
        <w:t>3</w:t>
      </w:r>
      <w:r w:rsidRPr="00B460C7">
        <w:rPr>
          <w:rFonts w:ascii="Times New Roman" w:hAnsi="Times New Roman" w:cs="Times New Roman"/>
          <w:bCs/>
          <w:sz w:val="24"/>
          <w:szCs w:val="24"/>
          <w:lang w:val="en-GB" w:eastAsia="de-DE" w:bidi="en-US"/>
        </w:rPr>
        <w:t xml:space="preserve">: </w:t>
      </w:r>
      <w:r w:rsidR="00431E91" w:rsidRPr="00B460C7">
        <w:rPr>
          <w:rFonts w:ascii="Times New Roman" w:hAnsi="Times New Roman" w:cs="Times New Roman"/>
          <w:bCs/>
          <w:sz w:val="24"/>
          <w:szCs w:val="24"/>
          <w:lang w:val="en-GB" w:eastAsia="de-DE" w:bidi="en-US"/>
        </w:rPr>
        <w:t>Eligibility criteria for the care allowance, 2015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7977"/>
      </w:tblGrid>
      <w:tr w:rsidR="003124C0" w:rsidRPr="000651A2" w14:paraId="4570BB4E" w14:textId="77777777" w:rsidTr="00524ED5">
        <w:trPr>
          <w:trHeight w:val="600"/>
        </w:trPr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34FA" w14:textId="77777777" w:rsidR="003124C0" w:rsidRPr="000651A2" w:rsidRDefault="003124C0" w:rsidP="00EC48BE">
            <w:pPr>
              <w:pStyle w:val="ECTableHeaderLeft"/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Cs w:val="22"/>
              </w:rPr>
              <w:t>Care Level</w:t>
            </w:r>
          </w:p>
        </w:tc>
        <w:tc>
          <w:tcPr>
            <w:tcW w:w="4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19F80" w14:textId="77777777" w:rsidR="003124C0" w:rsidRPr="000651A2" w:rsidRDefault="003124C0" w:rsidP="00EC48BE">
            <w:pPr>
              <w:pStyle w:val="ECTableHeaderLeft"/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bCs/>
                <w:szCs w:val="22"/>
              </w:rPr>
              <w:t>Care requirement</w:t>
            </w:r>
          </w:p>
        </w:tc>
      </w:tr>
      <w:tr w:rsidR="003124C0" w:rsidRPr="000651A2" w14:paraId="672648C2" w14:textId="77777777" w:rsidTr="00524ED5">
        <w:trPr>
          <w:trHeight w:val="288"/>
        </w:trPr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E75F5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720E8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More than 65 hours/month</w:t>
            </w:r>
          </w:p>
        </w:tc>
      </w:tr>
      <w:tr w:rsidR="003124C0" w:rsidRPr="000651A2" w14:paraId="2222F568" w14:textId="77777777" w:rsidTr="00524ED5">
        <w:trPr>
          <w:trHeight w:val="25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22A92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2700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More than 95 hours/month</w:t>
            </w:r>
          </w:p>
        </w:tc>
      </w:tr>
      <w:tr w:rsidR="003124C0" w:rsidRPr="000651A2" w14:paraId="6ED07536" w14:textId="77777777" w:rsidTr="00524ED5">
        <w:trPr>
          <w:trHeight w:val="25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D586B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C208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More than 120 hours/month</w:t>
            </w:r>
          </w:p>
        </w:tc>
      </w:tr>
      <w:tr w:rsidR="003124C0" w:rsidRPr="000651A2" w14:paraId="0F244D4A" w14:textId="77777777" w:rsidTr="00524ED5">
        <w:trPr>
          <w:trHeight w:val="34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7D52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C5E2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More than 160 hours/month</w:t>
            </w:r>
          </w:p>
        </w:tc>
      </w:tr>
      <w:tr w:rsidR="003124C0" w:rsidRPr="000651A2" w14:paraId="45607DB9" w14:textId="77777777" w:rsidTr="00524ED5">
        <w:trPr>
          <w:trHeight w:val="34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5CFB8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C1C25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More than 180 hours/month</w:t>
            </w:r>
          </w:p>
        </w:tc>
      </w:tr>
      <w:tr w:rsidR="003124C0" w:rsidRPr="000651A2" w14:paraId="69A34F3E" w14:textId="77777777" w:rsidTr="00524ED5">
        <w:trPr>
          <w:trHeight w:val="342"/>
        </w:trPr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C40A96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1A8D15" w14:textId="35BB01A1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More than 180 hours/month and </w:t>
            </w:r>
            <w:r w:rsidR="00655671"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care measures cannot be coordinated in terms of time and </w:t>
            </w: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permanent presence of a caregiver</w:t>
            </w:r>
            <w:r w:rsidR="00655671"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 during the day and night</w:t>
            </w:r>
            <w:r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55671"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is needed </w:t>
            </w:r>
            <w:r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24C0" w:rsidRPr="000651A2" w14:paraId="744D70D7" w14:textId="77777777" w:rsidTr="00524ED5">
        <w:trPr>
          <w:trHeight w:val="342"/>
        </w:trPr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3FDF4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25397" w14:textId="77777777" w:rsidR="003124C0" w:rsidRPr="000651A2" w:rsidRDefault="003124C0" w:rsidP="00EC4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</w:rPr>
              <w:t xml:space="preserve">More than 65 hours/month and practical inability to move 4 extremities </w:t>
            </w:r>
          </w:p>
        </w:tc>
      </w:tr>
    </w:tbl>
    <w:p w14:paraId="0AA4C20E" w14:textId="225C3A1F" w:rsidR="003124C0" w:rsidRPr="00B460C7" w:rsidRDefault="00655671" w:rsidP="00BB1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0C7"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="00552714" w:rsidRPr="00B460C7">
        <w:rPr>
          <w:rFonts w:ascii="Times New Roman" w:hAnsi="Times New Roman" w:cs="Times New Roman"/>
          <w:sz w:val="24"/>
          <w:szCs w:val="24"/>
        </w:rPr>
        <w:t>Bundespflegegeldgesetz</w:t>
      </w:r>
      <w:proofErr w:type="spellEnd"/>
      <w:r w:rsidR="00552714" w:rsidRPr="00B460C7">
        <w:rPr>
          <w:rFonts w:ascii="Times New Roman" w:hAnsi="Times New Roman" w:cs="Times New Roman"/>
          <w:sz w:val="24"/>
          <w:szCs w:val="24"/>
        </w:rPr>
        <w:t xml:space="preserve"> § 4 (2015), Austria </w:t>
      </w:r>
    </w:p>
    <w:p w14:paraId="658DF7D3" w14:textId="4F707092" w:rsidR="000529D6" w:rsidRDefault="008E29C7" w:rsidP="002E7608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C7">
        <w:rPr>
          <w:rFonts w:ascii="Times New Roman" w:hAnsi="Times New Roman" w:cs="Times New Roman"/>
          <w:sz w:val="24"/>
          <w:szCs w:val="24"/>
        </w:rPr>
        <w:lastRenderedPageBreak/>
        <w:t xml:space="preserve">At this stage, all 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individuals in the SHARE dataset </w:t>
      </w:r>
      <w:r w:rsidR="008E1CEF" w:rsidRPr="00B460C7">
        <w:rPr>
          <w:rFonts w:ascii="Times New Roman" w:hAnsi="Times New Roman" w:cs="Times New Roman"/>
          <w:sz w:val="24"/>
          <w:szCs w:val="24"/>
        </w:rPr>
        <w:t>have been</w:t>
      </w:r>
      <w:r w:rsidR="00AF49C0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assigned a </w:t>
      </w:r>
      <w:r w:rsidR="008E1CEF" w:rsidRPr="00B460C7">
        <w:rPr>
          <w:rFonts w:ascii="Times New Roman" w:hAnsi="Times New Roman" w:cs="Times New Roman"/>
          <w:sz w:val="24"/>
          <w:szCs w:val="24"/>
        </w:rPr>
        <w:t xml:space="preserve">hypothetical </w:t>
      </w:r>
      <w:r w:rsidR="00303F32" w:rsidRPr="00B460C7">
        <w:rPr>
          <w:rFonts w:ascii="Times New Roman" w:hAnsi="Times New Roman" w:cs="Times New Roman"/>
          <w:sz w:val="24"/>
          <w:szCs w:val="24"/>
        </w:rPr>
        <w:t>care level</w:t>
      </w:r>
      <w:r w:rsidR="008E1CEF" w:rsidRPr="00B460C7">
        <w:rPr>
          <w:rFonts w:ascii="Times New Roman" w:hAnsi="Times New Roman" w:cs="Times New Roman"/>
          <w:sz w:val="24"/>
          <w:szCs w:val="24"/>
        </w:rPr>
        <w:t xml:space="preserve"> given their reported difficulties with care tasks</w:t>
      </w:r>
      <w:r w:rsidRPr="00B460C7">
        <w:rPr>
          <w:rFonts w:ascii="Times New Roman" w:hAnsi="Times New Roman" w:cs="Times New Roman"/>
          <w:sz w:val="24"/>
          <w:szCs w:val="24"/>
        </w:rPr>
        <w:t xml:space="preserve">, but this does not account for possible non-take up or unmet needs arising from </w:t>
      </w:r>
      <w:r w:rsidR="00083A81" w:rsidRPr="00B460C7">
        <w:rPr>
          <w:rFonts w:ascii="Times New Roman" w:hAnsi="Times New Roman" w:cs="Times New Roman"/>
          <w:sz w:val="24"/>
          <w:szCs w:val="24"/>
        </w:rPr>
        <w:t>deviations between self-reported need (i.e. in SHARE) and assessed need</w:t>
      </w:r>
      <w:r w:rsidRPr="00B460C7">
        <w:rPr>
          <w:rFonts w:ascii="Times New Roman" w:hAnsi="Times New Roman" w:cs="Times New Roman"/>
          <w:sz w:val="24"/>
          <w:szCs w:val="24"/>
        </w:rPr>
        <w:t>. Therefore, the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431E91" w:rsidRPr="00B460C7">
        <w:rPr>
          <w:rFonts w:ascii="Times New Roman" w:hAnsi="Times New Roman" w:cs="Times New Roman"/>
          <w:sz w:val="24"/>
          <w:szCs w:val="24"/>
        </w:rPr>
        <w:t xml:space="preserve">actual 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distribution of beneficiaries of the care allowance </w:t>
      </w:r>
      <w:r w:rsidRPr="00B460C7">
        <w:rPr>
          <w:rFonts w:ascii="Times New Roman" w:hAnsi="Times New Roman" w:cs="Times New Roman"/>
          <w:sz w:val="24"/>
          <w:szCs w:val="24"/>
        </w:rPr>
        <w:t xml:space="preserve">(and consequently, also the distribution of those in residential care – both distributions derived from </w:t>
      </w:r>
      <w:proofErr w:type="spellStart"/>
      <w:r w:rsidRPr="00B460C7">
        <w:rPr>
          <w:rFonts w:ascii="Times New Roman" w:hAnsi="Times New Roman" w:cs="Times New Roman"/>
          <w:sz w:val="24"/>
          <w:szCs w:val="24"/>
        </w:rPr>
        <w:t>Pflegedienstleistungsstatistik</w:t>
      </w:r>
      <w:proofErr w:type="spellEnd"/>
      <w:r w:rsidRPr="00B460C7">
        <w:rPr>
          <w:rFonts w:ascii="Times New Roman" w:hAnsi="Times New Roman" w:cs="Times New Roman"/>
          <w:sz w:val="24"/>
          <w:szCs w:val="24"/>
        </w:rPr>
        <w:t xml:space="preserve"> data) </w:t>
      </w:r>
      <w:r w:rsidR="00286BD7" w:rsidRPr="00B460C7">
        <w:rPr>
          <w:rFonts w:ascii="Times New Roman" w:hAnsi="Times New Roman" w:cs="Times New Roman"/>
          <w:sz w:val="24"/>
          <w:szCs w:val="24"/>
        </w:rPr>
        <w:t>were</w:t>
      </w:r>
      <w:r w:rsidRPr="00B460C7">
        <w:rPr>
          <w:rFonts w:ascii="Times New Roman" w:hAnsi="Times New Roman" w:cs="Times New Roman"/>
          <w:sz w:val="24"/>
          <w:szCs w:val="24"/>
        </w:rPr>
        <w:t xml:space="preserve"> superimposed </w:t>
      </w:r>
      <w:r w:rsidR="00303F32" w:rsidRPr="00B460C7">
        <w:rPr>
          <w:rFonts w:ascii="Times New Roman" w:hAnsi="Times New Roman" w:cs="Times New Roman"/>
          <w:sz w:val="24"/>
          <w:szCs w:val="24"/>
        </w:rPr>
        <w:t>onto the SHARE dataset</w:t>
      </w:r>
      <w:r w:rsidR="008E1CEF" w:rsidRPr="00B460C7">
        <w:rPr>
          <w:rFonts w:ascii="Times New Roman" w:hAnsi="Times New Roman" w:cs="Times New Roman"/>
          <w:sz w:val="24"/>
          <w:szCs w:val="24"/>
        </w:rPr>
        <w:t xml:space="preserve"> to ensure the SHARE distribution of care levels and residential care users mirrors that of the real-life distribution</w:t>
      </w:r>
      <w:r w:rsidR="007F2F9F" w:rsidRPr="00B460C7">
        <w:rPr>
          <w:rFonts w:ascii="Times New Roman" w:hAnsi="Times New Roman" w:cs="Times New Roman"/>
          <w:sz w:val="24"/>
          <w:szCs w:val="24"/>
        </w:rPr>
        <w:t>.</w:t>
      </w:r>
      <w:r w:rsidR="00957FB0" w:rsidRPr="00B460C7">
        <w:rPr>
          <w:rFonts w:ascii="Times New Roman" w:hAnsi="Times New Roman" w:cs="Times New Roman"/>
          <w:sz w:val="24"/>
          <w:szCs w:val="24"/>
        </w:rPr>
        <w:t xml:space="preserve"> For example, if 5% of individuals between 70-74 received the highest level of care allowance in Austria, this care level is assigned to 5% of individuals of the same age cohort in the SHARE sample.</w:t>
      </w:r>
      <w:r w:rsidR="007F2F9F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083A81" w:rsidRPr="00B460C7">
        <w:rPr>
          <w:rFonts w:ascii="Times New Roman" w:hAnsi="Times New Roman" w:cs="Times New Roman"/>
          <w:sz w:val="24"/>
          <w:szCs w:val="24"/>
        </w:rPr>
        <w:t>T</w:t>
      </w:r>
      <w:r w:rsidR="007F2F9F" w:rsidRPr="00B460C7">
        <w:rPr>
          <w:rFonts w:ascii="Times New Roman" w:hAnsi="Times New Roman" w:cs="Times New Roman"/>
          <w:sz w:val="24"/>
          <w:szCs w:val="24"/>
        </w:rPr>
        <w:t>o perform a match between the real-life distribution of care beneficiaries and the care levels we assigned in SHARE</w:t>
      </w:r>
      <w:r w:rsidR="008F3988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7F2F9F" w:rsidRPr="00B460C7">
        <w:rPr>
          <w:rFonts w:ascii="Times New Roman" w:hAnsi="Times New Roman" w:cs="Times New Roman"/>
          <w:sz w:val="24"/>
          <w:szCs w:val="24"/>
        </w:rPr>
        <w:t>taking care level</w:t>
      </w:r>
      <w:r w:rsidR="00455F42" w:rsidRPr="00B460C7">
        <w:rPr>
          <w:rFonts w:ascii="Times New Roman" w:hAnsi="Times New Roman" w:cs="Times New Roman"/>
          <w:sz w:val="24"/>
          <w:szCs w:val="24"/>
        </w:rPr>
        <w:t>, gender and age category</w:t>
      </w:r>
      <w:r w:rsidR="007F2F9F" w:rsidRPr="00B460C7">
        <w:rPr>
          <w:rFonts w:ascii="Times New Roman" w:hAnsi="Times New Roman" w:cs="Times New Roman"/>
          <w:sz w:val="24"/>
          <w:szCs w:val="24"/>
        </w:rPr>
        <w:t xml:space="preserve"> as the distance-minimizing variable</w:t>
      </w:r>
      <w:r w:rsidR="00455F42" w:rsidRPr="00B460C7">
        <w:rPr>
          <w:rFonts w:ascii="Times New Roman" w:hAnsi="Times New Roman" w:cs="Times New Roman"/>
          <w:sz w:val="24"/>
          <w:szCs w:val="24"/>
        </w:rPr>
        <w:t>s</w:t>
      </w:r>
      <w:r w:rsidR="00286BD7" w:rsidRPr="00B460C7">
        <w:rPr>
          <w:rFonts w:ascii="Times New Roman" w:hAnsi="Times New Roman" w:cs="Times New Roman"/>
          <w:sz w:val="24"/>
          <w:szCs w:val="24"/>
        </w:rPr>
        <w:t>, the R package ‘</w:t>
      </w:r>
      <w:proofErr w:type="spellStart"/>
      <w:r w:rsidR="00286BD7" w:rsidRPr="00B460C7">
        <w:rPr>
          <w:rFonts w:ascii="Times New Roman" w:hAnsi="Times New Roman" w:cs="Times New Roman"/>
          <w:sz w:val="24"/>
          <w:szCs w:val="24"/>
        </w:rPr>
        <w:t>NND.hotdeck</w:t>
      </w:r>
      <w:proofErr w:type="spellEnd"/>
      <w:r w:rsidR="00286BD7" w:rsidRPr="00B460C7">
        <w:rPr>
          <w:rFonts w:ascii="Times New Roman" w:hAnsi="Times New Roman" w:cs="Times New Roman"/>
          <w:sz w:val="24"/>
          <w:szCs w:val="24"/>
        </w:rPr>
        <w:t>’ was employed</w:t>
      </w:r>
      <w:r w:rsidR="007F2F9F" w:rsidRPr="00B460C7">
        <w:rPr>
          <w:rFonts w:ascii="Times New Roman" w:hAnsi="Times New Roman" w:cs="Times New Roman"/>
          <w:sz w:val="24"/>
          <w:szCs w:val="24"/>
        </w:rPr>
        <w:t xml:space="preserve">. </w:t>
      </w:r>
      <w:r w:rsidR="002E282F" w:rsidRPr="00B460C7">
        <w:rPr>
          <w:rFonts w:ascii="Times New Roman" w:hAnsi="Times New Roman" w:cs="Times New Roman"/>
          <w:sz w:val="24"/>
          <w:szCs w:val="24"/>
        </w:rPr>
        <w:t>We use</w:t>
      </w:r>
      <w:r w:rsidR="00286BD7" w:rsidRPr="00B460C7">
        <w:rPr>
          <w:rFonts w:ascii="Times New Roman" w:hAnsi="Times New Roman" w:cs="Times New Roman"/>
          <w:sz w:val="24"/>
          <w:szCs w:val="24"/>
        </w:rPr>
        <w:t>d</w:t>
      </w:r>
      <w:r w:rsidR="002E282F" w:rsidRPr="00B460C7">
        <w:rPr>
          <w:rFonts w:ascii="Times New Roman" w:hAnsi="Times New Roman" w:cs="Times New Roman"/>
          <w:sz w:val="24"/>
          <w:szCs w:val="24"/>
        </w:rPr>
        <w:t xml:space="preserve"> the </w:t>
      </w:r>
      <w:r w:rsidR="007F2F9F" w:rsidRPr="00B460C7">
        <w:rPr>
          <w:rFonts w:ascii="Times New Roman" w:hAnsi="Times New Roman" w:cs="Times New Roman"/>
          <w:sz w:val="24"/>
          <w:szCs w:val="24"/>
        </w:rPr>
        <w:t xml:space="preserve">Manhattan distance function </w:t>
      </w:r>
      <w:r w:rsidR="008F3988" w:rsidRPr="00B460C7">
        <w:rPr>
          <w:rFonts w:ascii="Times New Roman" w:hAnsi="Times New Roman" w:cs="Times New Roman"/>
          <w:sz w:val="24"/>
          <w:szCs w:val="24"/>
        </w:rPr>
        <w:t>to</w:t>
      </w:r>
      <w:r w:rsidR="007F2F9F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2E282F" w:rsidRPr="00B460C7">
        <w:rPr>
          <w:rFonts w:ascii="Times New Roman" w:hAnsi="Times New Roman" w:cs="Times New Roman"/>
          <w:sz w:val="24"/>
          <w:szCs w:val="24"/>
        </w:rPr>
        <w:t>minimiz</w:t>
      </w:r>
      <w:r w:rsidR="008F3988" w:rsidRPr="00B460C7">
        <w:rPr>
          <w:rFonts w:ascii="Times New Roman" w:hAnsi="Times New Roman" w:cs="Times New Roman"/>
          <w:sz w:val="24"/>
          <w:szCs w:val="24"/>
        </w:rPr>
        <w:t>e</w:t>
      </w:r>
      <w:r w:rsidR="002E282F" w:rsidRPr="00B460C7">
        <w:rPr>
          <w:rFonts w:ascii="Times New Roman" w:hAnsi="Times New Roman" w:cs="Times New Roman"/>
          <w:sz w:val="24"/>
          <w:szCs w:val="24"/>
        </w:rPr>
        <w:t xml:space="preserve"> the distance between variables</w:t>
      </w:r>
      <w:r w:rsidR="00752CD9" w:rsidRPr="00B460C7">
        <w:rPr>
          <w:rFonts w:ascii="Times New Roman" w:hAnsi="Times New Roman" w:cs="Times New Roman"/>
          <w:sz w:val="24"/>
          <w:szCs w:val="24"/>
        </w:rPr>
        <w:t>,</w:t>
      </w:r>
      <w:r w:rsidR="002E282F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7F2F9F" w:rsidRPr="00B460C7">
        <w:rPr>
          <w:rFonts w:ascii="Times New Roman" w:hAnsi="Times New Roman" w:cs="Times New Roman"/>
          <w:sz w:val="24"/>
          <w:szCs w:val="24"/>
        </w:rPr>
        <w:t xml:space="preserve">due to the categorical and discrete nature of </w:t>
      </w:r>
      <w:r w:rsidR="00455F42" w:rsidRPr="00B460C7">
        <w:rPr>
          <w:rFonts w:ascii="Times New Roman" w:hAnsi="Times New Roman" w:cs="Times New Roman"/>
          <w:sz w:val="24"/>
          <w:szCs w:val="24"/>
        </w:rPr>
        <w:t>the variables used in</w:t>
      </w:r>
      <w:r w:rsidR="007F2F9F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455F42" w:rsidRPr="00B460C7">
        <w:rPr>
          <w:rFonts w:ascii="Times New Roman" w:hAnsi="Times New Roman" w:cs="Times New Roman"/>
          <w:sz w:val="24"/>
          <w:szCs w:val="24"/>
        </w:rPr>
        <w:t>th</w:t>
      </w:r>
      <w:r w:rsidR="007F2F9F" w:rsidRPr="00B460C7">
        <w:rPr>
          <w:rFonts w:ascii="Times New Roman" w:hAnsi="Times New Roman" w:cs="Times New Roman"/>
          <w:sz w:val="24"/>
          <w:szCs w:val="24"/>
        </w:rPr>
        <w:t>e match.</w:t>
      </w:r>
      <w:r w:rsidR="00431E91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455F42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286BD7" w:rsidRPr="00B460C7">
        <w:rPr>
          <w:rFonts w:ascii="Times New Roman" w:hAnsi="Times New Roman" w:cs="Times New Roman"/>
          <w:sz w:val="24"/>
          <w:szCs w:val="24"/>
        </w:rPr>
        <w:t xml:space="preserve">Given </w:t>
      </w:r>
      <w:r w:rsidR="00455F42" w:rsidRPr="00B460C7">
        <w:rPr>
          <w:rFonts w:ascii="Times New Roman" w:hAnsi="Times New Roman" w:cs="Times New Roman"/>
          <w:sz w:val="24"/>
          <w:szCs w:val="24"/>
        </w:rPr>
        <w:t xml:space="preserve">the representative nature of the SHARE sample, matching the distributions results in a near perfect match on age and gender. </w:t>
      </w:r>
      <w:r w:rsidR="00431E91" w:rsidRPr="00B460C7">
        <w:rPr>
          <w:rFonts w:ascii="Times New Roman" w:hAnsi="Times New Roman" w:cs="Times New Roman"/>
          <w:sz w:val="24"/>
          <w:szCs w:val="24"/>
        </w:rPr>
        <w:t xml:space="preserve"> Expected time spent in a </w:t>
      </w:r>
      <w:r w:rsidR="00B338EE">
        <w:rPr>
          <w:rFonts w:ascii="Times New Roman" w:hAnsi="Times New Roman" w:cs="Times New Roman"/>
          <w:sz w:val="24"/>
          <w:szCs w:val="24"/>
        </w:rPr>
        <w:t>residential facility</w:t>
      </w:r>
      <w:r w:rsidR="00431E91" w:rsidRPr="00B460C7">
        <w:rPr>
          <w:rFonts w:ascii="Times New Roman" w:hAnsi="Times New Roman" w:cs="Times New Roman"/>
          <w:sz w:val="24"/>
          <w:szCs w:val="24"/>
        </w:rPr>
        <w:t xml:space="preserve"> </w:t>
      </w:r>
      <w:r w:rsidR="008920FB" w:rsidRPr="00B460C7">
        <w:rPr>
          <w:rFonts w:ascii="Times New Roman" w:hAnsi="Times New Roman" w:cs="Times New Roman"/>
          <w:sz w:val="24"/>
          <w:szCs w:val="24"/>
        </w:rPr>
        <w:t xml:space="preserve">(previously estimated using the Sullivan method) </w:t>
      </w:r>
      <w:r w:rsidR="008E1CEF" w:rsidRPr="00B460C7">
        <w:rPr>
          <w:rFonts w:ascii="Times New Roman" w:hAnsi="Times New Roman" w:cs="Times New Roman"/>
          <w:sz w:val="24"/>
          <w:szCs w:val="24"/>
        </w:rPr>
        <w:t xml:space="preserve">in 2015 </w:t>
      </w:r>
      <w:r w:rsidR="00286BD7" w:rsidRPr="00B460C7">
        <w:rPr>
          <w:rFonts w:ascii="Times New Roman" w:hAnsi="Times New Roman" w:cs="Times New Roman"/>
          <w:sz w:val="24"/>
          <w:szCs w:val="24"/>
        </w:rPr>
        <w:t>wa</w:t>
      </w:r>
      <w:r w:rsidR="00431E91" w:rsidRPr="00B460C7">
        <w:rPr>
          <w:rFonts w:ascii="Times New Roman" w:hAnsi="Times New Roman" w:cs="Times New Roman"/>
          <w:sz w:val="24"/>
          <w:szCs w:val="24"/>
        </w:rPr>
        <w:t xml:space="preserve">s then </w:t>
      </w:r>
      <w:r w:rsidR="00303F32" w:rsidRPr="00B460C7">
        <w:rPr>
          <w:rFonts w:ascii="Times New Roman" w:hAnsi="Times New Roman" w:cs="Times New Roman"/>
          <w:sz w:val="24"/>
          <w:szCs w:val="24"/>
        </w:rPr>
        <w:t>assign</w:t>
      </w:r>
      <w:r w:rsidR="00431E91" w:rsidRPr="00B460C7">
        <w:rPr>
          <w:rFonts w:ascii="Times New Roman" w:hAnsi="Times New Roman" w:cs="Times New Roman"/>
          <w:sz w:val="24"/>
          <w:szCs w:val="24"/>
        </w:rPr>
        <w:t>ed</w:t>
      </w:r>
      <w:r w:rsidR="00303F32" w:rsidRPr="00B460C7">
        <w:rPr>
          <w:rFonts w:ascii="Times New Roman" w:hAnsi="Times New Roman" w:cs="Times New Roman"/>
          <w:sz w:val="24"/>
          <w:szCs w:val="24"/>
        </w:rPr>
        <w:t xml:space="preserve"> to each individual</w:t>
      </w:r>
      <w:r w:rsidR="00431E91" w:rsidRPr="00B460C7">
        <w:rPr>
          <w:rFonts w:ascii="Times New Roman" w:hAnsi="Times New Roman" w:cs="Times New Roman"/>
          <w:sz w:val="24"/>
          <w:szCs w:val="24"/>
        </w:rPr>
        <w:t xml:space="preserve"> in SHARE</w:t>
      </w:r>
      <w:r w:rsidR="008920FB" w:rsidRPr="00B460C7">
        <w:rPr>
          <w:rFonts w:ascii="Times New Roman" w:hAnsi="Times New Roman" w:cs="Times New Roman"/>
          <w:sz w:val="24"/>
          <w:szCs w:val="24"/>
        </w:rPr>
        <w:t xml:space="preserve"> according to gender, age and newly matched care level</w:t>
      </w:r>
      <w:r w:rsidR="000529D6">
        <w:rPr>
          <w:rFonts w:ascii="Times New Roman" w:hAnsi="Times New Roman" w:cs="Times New Roman"/>
          <w:sz w:val="24"/>
          <w:szCs w:val="24"/>
        </w:rPr>
        <w:t xml:space="preserve"> (see Table A4)</w:t>
      </w:r>
      <w:r w:rsidR="00303F32" w:rsidRPr="00B460C7">
        <w:rPr>
          <w:rFonts w:ascii="Times New Roman" w:hAnsi="Times New Roman" w:cs="Times New Roman"/>
          <w:sz w:val="24"/>
          <w:szCs w:val="24"/>
        </w:rPr>
        <w:t>.</w:t>
      </w:r>
      <w:r w:rsidR="000529D6" w:rsidRPr="00B460C7" w:rsidDel="00052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B742C" w14:textId="11C47B60" w:rsidR="000529D6" w:rsidRDefault="000529D6" w:rsidP="002E7608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DDEFA" w14:textId="441FF323" w:rsidR="000529D6" w:rsidRDefault="000529D6" w:rsidP="002E7608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F6926" w14:textId="77777777" w:rsidR="000529D6" w:rsidRDefault="000529D6" w:rsidP="002E7608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EA72F" w14:textId="52641BDE" w:rsidR="002E7608" w:rsidRPr="00860A22" w:rsidRDefault="002E7608" w:rsidP="002E7608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A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Cs/>
          <w:sz w:val="24"/>
          <w:szCs w:val="24"/>
        </w:rPr>
        <w:t>A4</w:t>
      </w:r>
      <w:r w:rsidRPr="00860A22">
        <w:rPr>
          <w:rFonts w:ascii="Times New Roman" w:hAnsi="Times New Roman" w:cs="Times New Roman"/>
          <w:bCs/>
          <w:sz w:val="24"/>
          <w:szCs w:val="24"/>
        </w:rPr>
        <w:t>: Average expected duration of residential care (months) per quintile, gender and care allowance level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282"/>
        <w:gridCol w:w="2308"/>
        <w:gridCol w:w="1539"/>
        <w:gridCol w:w="1410"/>
        <w:gridCol w:w="1155"/>
      </w:tblGrid>
      <w:tr w:rsidR="002E7608" w:rsidRPr="00860A22" w14:paraId="369D9D88" w14:textId="77777777" w:rsidTr="001D1A37">
        <w:tc>
          <w:tcPr>
            <w:tcW w:w="15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07923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Care level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3FCFF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Income quintile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D8ED7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Gender</w:t>
            </w:r>
          </w:p>
        </w:tc>
      </w:tr>
      <w:tr w:rsidR="002E7608" w:rsidRPr="00860A22" w14:paraId="752FBE18" w14:textId="77777777" w:rsidTr="001D1A37">
        <w:tc>
          <w:tcPr>
            <w:tcW w:w="890" w:type="pct"/>
            <w:tcBorders>
              <w:top w:val="single" w:sz="4" w:space="0" w:color="auto"/>
            </w:tcBorders>
          </w:tcPr>
          <w:p w14:paraId="57B13290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43ED9514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233" w:type="pct"/>
            <w:tcBorders>
              <w:top w:val="single" w:sz="4" w:space="0" w:color="auto"/>
            </w:tcBorders>
          </w:tcPr>
          <w:p w14:paraId="0C7D0725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1</w:t>
            </w:r>
            <w:r w:rsidRPr="00860A2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60A22">
              <w:rPr>
                <w:rFonts w:ascii="Times New Roman" w:hAnsi="Times New Roman" w:cs="Times New Roman"/>
              </w:rPr>
              <w:t xml:space="preserve"> quintile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3387D8FB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7D9BD40C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5E22B968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7.35</w:t>
            </w:r>
          </w:p>
        </w:tc>
      </w:tr>
      <w:tr w:rsidR="002E7608" w:rsidRPr="00860A22" w14:paraId="32C3EF1E" w14:textId="77777777" w:rsidTr="001D1A37">
        <w:tc>
          <w:tcPr>
            <w:tcW w:w="890" w:type="pct"/>
          </w:tcPr>
          <w:p w14:paraId="439C8D76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</w:tcPr>
          <w:p w14:paraId="67EBD3B0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233" w:type="pct"/>
          </w:tcPr>
          <w:p w14:paraId="5D24EF63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2</w:t>
            </w:r>
            <w:r w:rsidRPr="00860A2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60A22">
              <w:rPr>
                <w:rFonts w:ascii="Times New Roman" w:hAnsi="Times New Roman" w:cs="Times New Roman"/>
              </w:rPr>
              <w:t xml:space="preserve"> quintile</w:t>
            </w:r>
          </w:p>
        </w:tc>
        <w:tc>
          <w:tcPr>
            <w:tcW w:w="822" w:type="pct"/>
          </w:tcPr>
          <w:p w14:paraId="6D008ABE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753" w:type="pct"/>
          </w:tcPr>
          <w:p w14:paraId="48D79CCD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616" w:type="pct"/>
          </w:tcPr>
          <w:p w14:paraId="12A72F08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5.84</w:t>
            </w:r>
          </w:p>
        </w:tc>
      </w:tr>
      <w:tr w:rsidR="002E7608" w:rsidRPr="00860A22" w14:paraId="359835ED" w14:textId="77777777" w:rsidTr="001D1A37">
        <w:tc>
          <w:tcPr>
            <w:tcW w:w="890" w:type="pct"/>
          </w:tcPr>
          <w:p w14:paraId="21B927FE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574009CC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233" w:type="pct"/>
          </w:tcPr>
          <w:p w14:paraId="4EC4BEBC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3</w:t>
            </w:r>
            <w:r w:rsidRPr="00860A2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860A22">
              <w:rPr>
                <w:rFonts w:ascii="Times New Roman" w:hAnsi="Times New Roman" w:cs="Times New Roman"/>
              </w:rPr>
              <w:t xml:space="preserve"> quintile</w:t>
            </w:r>
          </w:p>
        </w:tc>
        <w:tc>
          <w:tcPr>
            <w:tcW w:w="822" w:type="pct"/>
          </w:tcPr>
          <w:p w14:paraId="6CD61427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753" w:type="pct"/>
          </w:tcPr>
          <w:p w14:paraId="6BCFFE8C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14:paraId="25652DBB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608" w:rsidRPr="00860A22" w14:paraId="2D9E4492" w14:textId="77777777" w:rsidTr="001D1A37">
        <w:tc>
          <w:tcPr>
            <w:tcW w:w="890" w:type="pct"/>
          </w:tcPr>
          <w:p w14:paraId="2B599A84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pct"/>
          </w:tcPr>
          <w:p w14:paraId="2789967E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12.65</w:t>
            </w:r>
          </w:p>
        </w:tc>
        <w:tc>
          <w:tcPr>
            <w:tcW w:w="1233" w:type="pct"/>
          </w:tcPr>
          <w:p w14:paraId="645F1FC3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4</w:t>
            </w:r>
            <w:r w:rsidRPr="00860A2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60A22">
              <w:rPr>
                <w:rFonts w:ascii="Times New Roman" w:hAnsi="Times New Roman" w:cs="Times New Roman"/>
              </w:rPr>
              <w:t xml:space="preserve"> quintile</w:t>
            </w:r>
          </w:p>
        </w:tc>
        <w:tc>
          <w:tcPr>
            <w:tcW w:w="822" w:type="pct"/>
          </w:tcPr>
          <w:p w14:paraId="30525A53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753" w:type="pct"/>
          </w:tcPr>
          <w:p w14:paraId="625FFDDD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14:paraId="179AEDB7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608" w:rsidRPr="00860A22" w14:paraId="157C2796" w14:textId="77777777" w:rsidTr="001D1A37">
        <w:tc>
          <w:tcPr>
            <w:tcW w:w="890" w:type="pct"/>
          </w:tcPr>
          <w:p w14:paraId="2BB96CA2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14:paraId="0389434B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13.59</w:t>
            </w:r>
          </w:p>
        </w:tc>
        <w:tc>
          <w:tcPr>
            <w:tcW w:w="1233" w:type="pct"/>
          </w:tcPr>
          <w:p w14:paraId="43E74FD0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5</w:t>
            </w:r>
            <w:r w:rsidRPr="00860A2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60A22">
              <w:rPr>
                <w:rFonts w:ascii="Times New Roman" w:hAnsi="Times New Roman" w:cs="Times New Roman"/>
              </w:rPr>
              <w:t xml:space="preserve"> quintile</w:t>
            </w:r>
          </w:p>
        </w:tc>
        <w:tc>
          <w:tcPr>
            <w:tcW w:w="822" w:type="pct"/>
          </w:tcPr>
          <w:p w14:paraId="1BEDC7EA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753" w:type="pct"/>
          </w:tcPr>
          <w:p w14:paraId="0C1B1E53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14:paraId="0767001E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608" w:rsidRPr="00860A22" w14:paraId="3621143F" w14:textId="77777777" w:rsidTr="001D1A37">
        <w:tc>
          <w:tcPr>
            <w:tcW w:w="890" w:type="pct"/>
          </w:tcPr>
          <w:p w14:paraId="5707712B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</w:tcPr>
          <w:p w14:paraId="538D69FE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1233" w:type="pct"/>
          </w:tcPr>
          <w:p w14:paraId="73281A46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6484E9EF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5A0F756D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14:paraId="1E18BD40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608" w:rsidRPr="00860A22" w14:paraId="5D6DBA4A" w14:textId="77777777" w:rsidTr="001D1A37">
        <w:tc>
          <w:tcPr>
            <w:tcW w:w="890" w:type="pct"/>
            <w:tcBorders>
              <w:bottom w:val="single" w:sz="4" w:space="0" w:color="auto"/>
            </w:tcBorders>
          </w:tcPr>
          <w:p w14:paraId="2E12801E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16C9C077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A22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54E9463C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14383DB2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4CA39D98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3BE1B872" w14:textId="77777777" w:rsidR="002E7608" w:rsidRPr="00860A22" w:rsidRDefault="002E7608" w:rsidP="001D1A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9090A8" w14:textId="77777777" w:rsidR="002E7608" w:rsidRPr="00860A22" w:rsidRDefault="002E7608" w:rsidP="002E760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0A22">
        <w:rPr>
          <w:rFonts w:ascii="Times New Roman" w:hAnsi="Times New Roman" w:cs="Times New Roman"/>
          <w:noProof/>
          <w:sz w:val="24"/>
          <w:szCs w:val="24"/>
        </w:rPr>
        <w:t xml:space="preserve">Source: </w:t>
      </w:r>
      <w:r w:rsidRPr="00860A22">
        <w:rPr>
          <w:rFonts w:ascii="Times New Roman" w:hAnsi="Times New Roman" w:cs="Times New Roman"/>
          <w:sz w:val="24"/>
          <w:szCs w:val="24"/>
        </w:rPr>
        <w:t>Own calculations from the simulation model applied to 65+ Austrian sample of SHARE</w:t>
      </w:r>
      <w:r w:rsidRPr="00860A22" w:rsidDel="00827B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0A22">
        <w:rPr>
          <w:rFonts w:ascii="Times New Roman" w:hAnsi="Times New Roman" w:cs="Times New Roman"/>
          <w:noProof/>
          <w:sz w:val="24"/>
          <w:szCs w:val="24"/>
        </w:rPr>
        <w:t>(2015). N=2221.</w:t>
      </w:r>
    </w:p>
    <w:p w14:paraId="088F907E" w14:textId="00197A67" w:rsidR="00524ED5" w:rsidRPr="00B460C7" w:rsidRDefault="00830673" w:rsidP="00EF5EF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0C7">
        <w:rPr>
          <w:rFonts w:ascii="Times New Roman" w:hAnsi="Times New Roman" w:cs="Times New Roman"/>
          <w:i/>
          <w:sz w:val="24"/>
          <w:szCs w:val="24"/>
        </w:rPr>
        <w:t>Parameters of the micro-simulation model</w:t>
      </w:r>
    </w:p>
    <w:p w14:paraId="4A902E42" w14:textId="14A6C307" w:rsidR="00E10D47" w:rsidRPr="00B460C7" w:rsidRDefault="00812221" w:rsidP="00EF5EF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C7">
        <w:rPr>
          <w:rFonts w:ascii="Times New Roman" w:hAnsi="Times New Roman" w:cs="Times New Roman"/>
          <w:sz w:val="24"/>
          <w:szCs w:val="24"/>
        </w:rPr>
        <w:t xml:space="preserve">To estimate OPPs, the micro-simulation model uses the 2015 rules of </w:t>
      </w:r>
      <w:proofErr w:type="spellStart"/>
      <w:r w:rsidRPr="00B460C7">
        <w:rPr>
          <w:rFonts w:ascii="Times New Roman" w:hAnsi="Times New Roman" w:cs="Times New Roman"/>
          <w:sz w:val="24"/>
          <w:szCs w:val="24"/>
        </w:rPr>
        <w:t>Pflegeregress</w:t>
      </w:r>
      <w:proofErr w:type="spellEnd"/>
      <w:r w:rsidRPr="00B460C7">
        <w:rPr>
          <w:rFonts w:ascii="Times New Roman" w:hAnsi="Times New Roman" w:cs="Times New Roman"/>
          <w:sz w:val="24"/>
          <w:szCs w:val="24"/>
        </w:rPr>
        <w:t xml:space="preserve"> to simulate income liable to be used in determining OPPs (e.g. considering the </w:t>
      </w:r>
      <w:r w:rsidR="00286BD7" w:rsidRPr="00B460C7">
        <w:rPr>
          <w:rFonts w:ascii="Times New Roman" w:hAnsi="Times New Roman" w:cs="Times New Roman"/>
          <w:sz w:val="24"/>
          <w:szCs w:val="24"/>
        </w:rPr>
        <w:t xml:space="preserve">living </w:t>
      </w:r>
      <w:r w:rsidRPr="00B460C7">
        <w:rPr>
          <w:rFonts w:ascii="Times New Roman" w:hAnsi="Times New Roman" w:cs="Times New Roman"/>
          <w:sz w:val="24"/>
          <w:szCs w:val="24"/>
        </w:rPr>
        <w:t xml:space="preserve">allowance </w:t>
      </w:r>
      <w:r w:rsidR="00286BD7" w:rsidRPr="00B460C7">
        <w:rPr>
          <w:rFonts w:ascii="Times New Roman" w:hAnsi="Times New Roman" w:cs="Times New Roman"/>
          <w:sz w:val="24"/>
          <w:szCs w:val="24"/>
        </w:rPr>
        <w:t xml:space="preserve">exception </w:t>
      </w:r>
      <w:r w:rsidRPr="00B460C7">
        <w:rPr>
          <w:rFonts w:ascii="Times New Roman" w:hAnsi="Times New Roman" w:cs="Times New Roman"/>
          <w:sz w:val="24"/>
          <w:szCs w:val="24"/>
        </w:rPr>
        <w:t>for 2015) and the amount of asset exemptions by region</w:t>
      </w:r>
      <w:r w:rsidR="003F3CF5">
        <w:rPr>
          <w:rFonts w:ascii="Times New Roman" w:hAnsi="Times New Roman" w:cs="Times New Roman"/>
          <w:sz w:val="24"/>
          <w:szCs w:val="24"/>
        </w:rPr>
        <w:t xml:space="preserve"> </w:t>
      </w:r>
      <w:r w:rsidRPr="00B460C7">
        <w:rPr>
          <w:rFonts w:ascii="Times New Roman" w:hAnsi="Times New Roman" w:cs="Times New Roman"/>
          <w:sz w:val="24"/>
          <w:szCs w:val="24"/>
        </w:rPr>
        <w:t xml:space="preserve">(Table </w:t>
      </w:r>
      <w:r w:rsidR="000F1271" w:rsidRPr="00B460C7">
        <w:rPr>
          <w:rFonts w:ascii="Times New Roman" w:hAnsi="Times New Roman" w:cs="Times New Roman"/>
          <w:sz w:val="24"/>
          <w:szCs w:val="24"/>
        </w:rPr>
        <w:t>A</w:t>
      </w:r>
      <w:r w:rsidR="000F1271">
        <w:rPr>
          <w:rFonts w:ascii="Times New Roman" w:hAnsi="Times New Roman" w:cs="Times New Roman"/>
          <w:sz w:val="24"/>
          <w:szCs w:val="24"/>
        </w:rPr>
        <w:t>5</w:t>
      </w:r>
      <w:r w:rsidRPr="00B460C7">
        <w:rPr>
          <w:rFonts w:ascii="Times New Roman" w:hAnsi="Times New Roman" w:cs="Times New Roman"/>
          <w:sz w:val="24"/>
          <w:szCs w:val="24"/>
        </w:rPr>
        <w:t xml:space="preserve">). Using the tariffs set by regional governments, annual costs with residential care in 2015 range between 37,194 EUR and 72,866 EUR. These must be covered from residents’ income and </w:t>
      </w:r>
      <w:proofErr w:type="spellStart"/>
      <w:r w:rsidRPr="00B460C7">
        <w:rPr>
          <w:rFonts w:ascii="Times New Roman" w:hAnsi="Times New Roman" w:cs="Times New Roman"/>
          <w:sz w:val="24"/>
          <w:szCs w:val="24"/>
        </w:rPr>
        <w:t>Pflegegeld</w:t>
      </w:r>
      <w:proofErr w:type="spellEnd"/>
      <w:r w:rsidRPr="00B460C7">
        <w:rPr>
          <w:rFonts w:ascii="Times New Roman" w:hAnsi="Times New Roman" w:cs="Times New Roman"/>
          <w:sz w:val="24"/>
          <w:szCs w:val="24"/>
        </w:rPr>
        <w:t>, except for a monthly living allowance</w:t>
      </w:r>
      <w:r w:rsidR="00286BD7" w:rsidRPr="00B460C7">
        <w:rPr>
          <w:rFonts w:ascii="Times New Roman" w:hAnsi="Times New Roman" w:cs="Times New Roman"/>
          <w:sz w:val="24"/>
          <w:szCs w:val="24"/>
        </w:rPr>
        <w:t xml:space="preserve"> exception</w:t>
      </w:r>
      <w:r w:rsidRPr="00B460C7">
        <w:rPr>
          <w:rFonts w:ascii="Times New Roman" w:hAnsi="Times New Roman" w:cs="Times New Roman"/>
          <w:sz w:val="24"/>
          <w:szCs w:val="24"/>
        </w:rPr>
        <w:t xml:space="preserve"> (i.e. income-based OPPs), as well as assets (i.e. asset-based OPPs), with the remainder being funded by social assistance. The pocket allowance for 2015 allow</w:t>
      </w:r>
      <w:r w:rsidR="00286BD7" w:rsidRPr="00B460C7">
        <w:rPr>
          <w:rFonts w:ascii="Times New Roman" w:hAnsi="Times New Roman" w:cs="Times New Roman"/>
          <w:sz w:val="24"/>
          <w:szCs w:val="24"/>
        </w:rPr>
        <w:t>ed</w:t>
      </w:r>
      <w:r w:rsidRPr="00B460C7">
        <w:rPr>
          <w:rFonts w:ascii="Times New Roman" w:hAnsi="Times New Roman" w:cs="Times New Roman"/>
          <w:sz w:val="24"/>
          <w:szCs w:val="24"/>
        </w:rPr>
        <w:t xml:space="preserve"> care users to keep a fixed amount of 45.18 euros per month (10% of the level 3 of the care allowance), their 13</w:t>
      </w:r>
      <w:r w:rsidRPr="00B46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60C7">
        <w:rPr>
          <w:rFonts w:ascii="Times New Roman" w:hAnsi="Times New Roman" w:cs="Times New Roman"/>
          <w:sz w:val="24"/>
          <w:szCs w:val="24"/>
        </w:rPr>
        <w:t xml:space="preserve"> and 14</w:t>
      </w:r>
      <w:r w:rsidRPr="00B46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60C7">
        <w:rPr>
          <w:rFonts w:ascii="Times New Roman" w:hAnsi="Times New Roman" w:cs="Times New Roman"/>
          <w:sz w:val="24"/>
          <w:szCs w:val="24"/>
        </w:rPr>
        <w:t xml:space="preserve"> annual payment (old-age pensions in Austria are paid 14 times a year) and 20% of their remaining pension income.  Pocket allowance </w:t>
      </w:r>
      <w:r w:rsidR="00286BD7" w:rsidRPr="00B460C7">
        <w:rPr>
          <w:rFonts w:ascii="Times New Roman" w:hAnsi="Times New Roman" w:cs="Times New Roman"/>
          <w:sz w:val="24"/>
          <w:szCs w:val="24"/>
        </w:rPr>
        <w:t>wa</w:t>
      </w:r>
      <w:r w:rsidRPr="00B460C7">
        <w:rPr>
          <w:rFonts w:ascii="Times New Roman" w:hAnsi="Times New Roman" w:cs="Times New Roman"/>
          <w:sz w:val="24"/>
          <w:szCs w:val="24"/>
        </w:rPr>
        <w:t>s set at a minimum of 214.07 euros and a maximum of 481.78. By applying these rules to our assembled dataset, we can simulate OPPs paid and the effect of asset-based OPPs’ abolishment.</w:t>
      </w:r>
    </w:p>
    <w:p w14:paraId="022D6F9A" w14:textId="4B446E8F" w:rsidR="00524ED5" w:rsidRPr="000651A2" w:rsidRDefault="00524ED5" w:rsidP="00EF5EF9">
      <w:pPr>
        <w:pStyle w:val="Caption"/>
        <w:spacing w:before="100" w:beforeAutospacing="1" w:after="100" w:afterAutospacing="1" w:line="480" w:lineRule="auto"/>
        <w:ind w:left="0" w:firstLine="0"/>
        <w:rPr>
          <w:rFonts w:ascii="Times New Roman" w:hAnsi="Times New Roman" w:cs="Times New Roman"/>
          <w:b w:val="0"/>
          <w:sz w:val="22"/>
          <w:szCs w:val="22"/>
          <w:lang w:val="en-GB"/>
        </w:rPr>
      </w:pPr>
      <w:r w:rsidRPr="00B460C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Table </w:t>
      </w:r>
      <w:r w:rsidR="000F1271" w:rsidRPr="00B460C7">
        <w:rPr>
          <w:rFonts w:ascii="Times New Roman" w:hAnsi="Times New Roman" w:cs="Times New Roman"/>
          <w:b w:val="0"/>
          <w:sz w:val="24"/>
          <w:szCs w:val="24"/>
        </w:rPr>
        <w:t>A</w:t>
      </w:r>
      <w:r w:rsidR="000F1271">
        <w:rPr>
          <w:rFonts w:ascii="Times New Roman" w:hAnsi="Times New Roman" w:cs="Times New Roman"/>
          <w:b w:val="0"/>
          <w:sz w:val="24"/>
          <w:szCs w:val="24"/>
        </w:rPr>
        <w:t>5</w:t>
      </w:r>
      <w:r w:rsidRPr="00B460C7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: Exempted asset threshold </w:t>
      </w:r>
      <w:r w:rsidR="001457C0" w:rsidRPr="00B460C7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for Pflegeregress </w:t>
      </w:r>
      <w:r w:rsidRPr="00B460C7">
        <w:rPr>
          <w:rFonts w:ascii="Times New Roman" w:hAnsi="Times New Roman" w:cs="Times New Roman"/>
          <w:b w:val="0"/>
          <w:sz w:val="24"/>
          <w:szCs w:val="24"/>
          <w:lang w:val="en-GB"/>
        </w:rPr>
        <w:t>and average cost of residential care by Austrian</w:t>
      </w:r>
      <w:r w:rsidR="00A216A4" w:rsidRPr="00B460C7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Pr="00B460C7">
        <w:rPr>
          <w:rFonts w:ascii="Times New Roman" w:hAnsi="Times New Roman" w:cs="Times New Roman"/>
          <w:b w:val="0"/>
          <w:sz w:val="24"/>
          <w:szCs w:val="24"/>
          <w:lang w:val="en-GB"/>
        </w:rPr>
        <w:t>regions, 201</w:t>
      </w:r>
      <w:r w:rsidR="00A56A3A" w:rsidRPr="00B460C7">
        <w:rPr>
          <w:rFonts w:ascii="Times New Roman" w:hAnsi="Times New Roman" w:cs="Times New Roman"/>
          <w:b w:val="0"/>
          <w:sz w:val="24"/>
          <w:szCs w:val="24"/>
          <w:lang w:val="en-GB"/>
        </w:rPr>
        <w:t>5</w:t>
      </w:r>
    </w:p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3180"/>
        <w:gridCol w:w="3557"/>
      </w:tblGrid>
      <w:tr w:rsidR="00524ED5" w:rsidRPr="000651A2" w14:paraId="3A4F37E1" w14:textId="77777777" w:rsidTr="00524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1F16FA" w14:textId="77777777" w:rsidR="00524ED5" w:rsidRPr="000651A2" w:rsidRDefault="00524ED5" w:rsidP="00EC48BE">
            <w:pPr>
              <w:pStyle w:val="ECTableHeaderLeft"/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Region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C1473B" w14:textId="66F8A7DE" w:rsidR="00524ED5" w:rsidRPr="000651A2" w:rsidRDefault="00524ED5" w:rsidP="00EC48BE">
            <w:pPr>
              <w:pStyle w:val="ECTableHeaderLeft"/>
              <w:spacing w:before="0" w:after="0" w:line="360" w:lineRule="auto"/>
              <w:ind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Exempted asset threshold (Euros)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2CD674E5" w14:textId="703E17A9" w:rsidR="00524ED5" w:rsidRPr="000651A2" w:rsidRDefault="00524ED5" w:rsidP="00EC48BE">
            <w:pPr>
              <w:pStyle w:val="ECTableHeaderLeft"/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Average annual cost of residential care (Euros)</w:t>
            </w:r>
          </w:p>
        </w:tc>
      </w:tr>
      <w:tr w:rsidR="00524ED5" w:rsidRPr="000651A2" w14:paraId="48BC1736" w14:textId="77777777" w:rsidTr="00524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0C1F7F8B" w14:textId="77777777" w:rsidR="00524ED5" w:rsidRPr="000651A2" w:rsidRDefault="00524ED5" w:rsidP="00EC48BE">
            <w:pPr>
              <w:pStyle w:val="ECTableLeft"/>
              <w:spacing w:before="0" w:after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 w:val="22"/>
                <w:szCs w:val="22"/>
              </w:rPr>
              <w:t>Vienna</w:t>
            </w:r>
          </w:p>
        </w:tc>
        <w:tc>
          <w:tcPr>
            <w:tcW w:w="1667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2F6CB1F1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4,000</w:t>
            </w:r>
          </w:p>
        </w:tc>
        <w:tc>
          <w:tcPr>
            <w:tcW w:w="1917" w:type="pct"/>
            <w:tcBorders>
              <w:top w:val="single" w:sz="4" w:space="0" w:color="auto"/>
              <w:bottom w:val="none" w:sz="0" w:space="0" w:color="auto"/>
            </w:tcBorders>
          </w:tcPr>
          <w:p w14:paraId="77F33819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72,866</w:t>
            </w:r>
          </w:p>
        </w:tc>
      </w:tr>
      <w:tr w:rsidR="00524ED5" w:rsidRPr="000651A2" w14:paraId="14DF3914" w14:textId="77777777" w:rsidTr="00524E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hideMark/>
          </w:tcPr>
          <w:p w14:paraId="72D33D78" w14:textId="77777777" w:rsidR="00524ED5" w:rsidRPr="000651A2" w:rsidRDefault="00524ED5" w:rsidP="00EC48BE">
            <w:pPr>
              <w:pStyle w:val="ECTableLeft"/>
              <w:spacing w:before="0" w:after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 w:val="22"/>
                <w:szCs w:val="22"/>
              </w:rPr>
              <w:t>Burgenland</w:t>
            </w:r>
          </w:p>
        </w:tc>
        <w:tc>
          <w:tcPr>
            <w:tcW w:w="1667" w:type="pct"/>
            <w:noWrap/>
            <w:hideMark/>
          </w:tcPr>
          <w:p w14:paraId="2CEA100B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8,450</w:t>
            </w:r>
          </w:p>
        </w:tc>
        <w:tc>
          <w:tcPr>
            <w:tcW w:w="1917" w:type="pct"/>
          </w:tcPr>
          <w:p w14:paraId="2A763BC2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50,880</w:t>
            </w:r>
          </w:p>
        </w:tc>
      </w:tr>
      <w:tr w:rsidR="00524ED5" w:rsidRPr="000651A2" w14:paraId="5DEAFB45" w14:textId="77777777" w:rsidTr="00524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29D5F33" w14:textId="77777777" w:rsidR="00524ED5" w:rsidRPr="000651A2" w:rsidRDefault="00524ED5" w:rsidP="00EC48BE">
            <w:pPr>
              <w:pStyle w:val="ECTableLeft"/>
              <w:spacing w:before="0" w:after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 w:val="22"/>
                <w:szCs w:val="22"/>
              </w:rPr>
              <w:t>Carinthia</w:t>
            </w:r>
          </w:p>
        </w:tc>
        <w:tc>
          <w:tcPr>
            <w:tcW w:w="1667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5A046F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4,222</w:t>
            </w:r>
          </w:p>
        </w:tc>
        <w:tc>
          <w:tcPr>
            <w:tcW w:w="1917" w:type="pct"/>
            <w:tcBorders>
              <w:top w:val="none" w:sz="0" w:space="0" w:color="auto"/>
              <w:bottom w:val="none" w:sz="0" w:space="0" w:color="auto"/>
            </w:tcBorders>
          </w:tcPr>
          <w:p w14:paraId="6A691F84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50,880</w:t>
            </w:r>
          </w:p>
        </w:tc>
      </w:tr>
      <w:tr w:rsidR="00524ED5" w:rsidRPr="000651A2" w14:paraId="1A832821" w14:textId="77777777" w:rsidTr="00524E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hideMark/>
          </w:tcPr>
          <w:p w14:paraId="1AB66A9F" w14:textId="77777777" w:rsidR="00524ED5" w:rsidRPr="000651A2" w:rsidRDefault="00524ED5" w:rsidP="00EC48BE">
            <w:pPr>
              <w:pStyle w:val="ECTableLeft"/>
              <w:spacing w:before="0" w:after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 w:val="22"/>
                <w:szCs w:val="22"/>
              </w:rPr>
              <w:t>Lower Austria</w:t>
            </w:r>
          </w:p>
        </w:tc>
        <w:tc>
          <w:tcPr>
            <w:tcW w:w="1667" w:type="pct"/>
            <w:noWrap/>
            <w:hideMark/>
          </w:tcPr>
          <w:p w14:paraId="63252675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12,667</w:t>
            </w:r>
          </w:p>
        </w:tc>
        <w:tc>
          <w:tcPr>
            <w:tcW w:w="1917" w:type="pct"/>
          </w:tcPr>
          <w:p w14:paraId="23414866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48,228</w:t>
            </w:r>
          </w:p>
        </w:tc>
      </w:tr>
      <w:tr w:rsidR="00524ED5" w:rsidRPr="000651A2" w14:paraId="5C403B71" w14:textId="77777777" w:rsidTr="00524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4A740DF" w14:textId="77777777" w:rsidR="00524ED5" w:rsidRPr="000651A2" w:rsidRDefault="00524ED5" w:rsidP="00EC48BE">
            <w:pPr>
              <w:pStyle w:val="ECTableLeft"/>
              <w:spacing w:before="0" w:after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 w:val="22"/>
                <w:szCs w:val="22"/>
              </w:rPr>
              <w:t>Upper Austria</w:t>
            </w:r>
          </w:p>
        </w:tc>
        <w:tc>
          <w:tcPr>
            <w:tcW w:w="1667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F707E69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7,300</w:t>
            </w:r>
          </w:p>
        </w:tc>
        <w:tc>
          <w:tcPr>
            <w:tcW w:w="1917" w:type="pct"/>
            <w:tcBorders>
              <w:top w:val="none" w:sz="0" w:space="0" w:color="auto"/>
              <w:bottom w:val="none" w:sz="0" w:space="0" w:color="auto"/>
            </w:tcBorders>
          </w:tcPr>
          <w:p w14:paraId="69AE3BFD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45,234</w:t>
            </w:r>
          </w:p>
        </w:tc>
      </w:tr>
      <w:tr w:rsidR="00524ED5" w:rsidRPr="000651A2" w14:paraId="7E0A943F" w14:textId="77777777" w:rsidTr="00524E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hideMark/>
          </w:tcPr>
          <w:p w14:paraId="2735326C" w14:textId="77777777" w:rsidR="00524ED5" w:rsidRPr="000651A2" w:rsidRDefault="00524ED5" w:rsidP="00EC48BE">
            <w:pPr>
              <w:pStyle w:val="ECTableLeft"/>
              <w:spacing w:before="0" w:after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 w:val="22"/>
                <w:szCs w:val="22"/>
              </w:rPr>
              <w:t>Salzburg</w:t>
            </w:r>
          </w:p>
        </w:tc>
        <w:tc>
          <w:tcPr>
            <w:tcW w:w="1667" w:type="pct"/>
            <w:noWrap/>
            <w:hideMark/>
          </w:tcPr>
          <w:p w14:paraId="3EDC20F1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5,235</w:t>
            </w:r>
          </w:p>
        </w:tc>
        <w:tc>
          <w:tcPr>
            <w:tcW w:w="1917" w:type="pct"/>
          </w:tcPr>
          <w:p w14:paraId="1DE890E0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50,880</w:t>
            </w:r>
          </w:p>
        </w:tc>
      </w:tr>
      <w:tr w:rsidR="00524ED5" w:rsidRPr="000651A2" w14:paraId="68A48372" w14:textId="77777777" w:rsidTr="00524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6E641E6" w14:textId="77777777" w:rsidR="00524ED5" w:rsidRPr="000651A2" w:rsidRDefault="00524ED5" w:rsidP="00EC48BE">
            <w:pPr>
              <w:pStyle w:val="ECTableLeft"/>
              <w:spacing w:before="0" w:after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 w:val="22"/>
                <w:szCs w:val="22"/>
              </w:rPr>
              <w:t>Styria</w:t>
            </w:r>
          </w:p>
        </w:tc>
        <w:tc>
          <w:tcPr>
            <w:tcW w:w="1667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7B0F0F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7,000</w:t>
            </w:r>
          </w:p>
        </w:tc>
        <w:tc>
          <w:tcPr>
            <w:tcW w:w="1917" w:type="pct"/>
            <w:tcBorders>
              <w:top w:val="none" w:sz="0" w:space="0" w:color="auto"/>
              <w:bottom w:val="none" w:sz="0" w:space="0" w:color="auto"/>
            </w:tcBorders>
          </w:tcPr>
          <w:p w14:paraId="5DFDB20D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37,193</w:t>
            </w:r>
          </w:p>
        </w:tc>
      </w:tr>
      <w:tr w:rsidR="00524ED5" w:rsidRPr="000651A2" w14:paraId="485DBDBA" w14:textId="77777777" w:rsidTr="00524E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hideMark/>
          </w:tcPr>
          <w:p w14:paraId="0A53ADBE" w14:textId="77777777" w:rsidR="00524ED5" w:rsidRPr="000651A2" w:rsidRDefault="00524ED5" w:rsidP="00EC48BE">
            <w:pPr>
              <w:pStyle w:val="ECTableLeft"/>
              <w:spacing w:before="0" w:after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 w:val="22"/>
                <w:szCs w:val="22"/>
              </w:rPr>
              <w:t>Tyrol</w:t>
            </w:r>
          </w:p>
        </w:tc>
        <w:tc>
          <w:tcPr>
            <w:tcW w:w="1667" w:type="pct"/>
            <w:noWrap/>
            <w:hideMark/>
          </w:tcPr>
          <w:p w14:paraId="473D1921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7,000</w:t>
            </w:r>
          </w:p>
        </w:tc>
        <w:tc>
          <w:tcPr>
            <w:tcW w:w="1917" w:type="pct"/>
          </w:tcPr>
          <w:p w14:paraId="0DF9EF4B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37,193</w:t>
            </w:r>
          </w:p>
        </w:tc>
      </w:tr>
      <w:tr w:rsidR="00524ED5" w:rsidRPr="000651A2" w14:paraId="07FD3A38" w14:textId="77777777" w:rsidTr="00524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top w:val="none" w:sz="0" w:space="0" w:color="auto"/>
              <w:bottom w:val="single" w:sz="4" w:space="0" w:color="auto"/>
            </w:tcBorders>
            <w:noWrap/>
          </w:tcPr>
          <w:p w14:paraId="4F446C39" w14:textId="77777777" w:rsidR="00524ED5" w:rsidRPr="000651A2" w:rsidRDefault="00524ED5" w:rsidP="00EC48BE">
            <w:pPr>
              <w:pStyle w:val="ECTableLeft"/>
              <w:spacing w:before="0" w:after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b w:val="0"/>
                <w:sz w:val="22"/>
                <w:szCs w:val="22"/>
              </w:rPr>
              <w:t>Vorarlberg</w:t>
            </w:r>
          </w:p>
        </w:tc>
        <w:tc>
          <w:tcPr>
            <w:tcW w:w="1667" w:type="pct"/>
            <w:tcBorders>
              <w:top w:val="none" w:sz="0" w:space="0" w:color="auto"/>
              <w:bottom w:val="single" w:sz="4" w:space="0" w:color="auto"/>
            </w:tcBorders>
            <w:noWrap/>
          </w:tcPr>
          <w:p w14:paraId="0EF8B6E1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917" w:type="pct"/>
            <w:tcBorders>
              <w:top w:val="none" w:sz="0" w:space="0" w:color="auto"/>
              <w:bottom w:val="single" w:sz="4" w:space="0" w:color="auto"/>
            </w:tcBorders>
          </w:tcPr>
          <w:p w14:paraId="768C85FD" w14:textId="77777777" w:rsidR="00524ED5" w:rsidRPr="000651A2" w:rsidRDefault="00524ED5" w:rsidP="00EC48BE">
            <w:pPr>
              <w:pStyle w:val="ECTableLeft"/>
              <w:spacing w:before="0" w:after="0" w:line="360" w:lineRule="auto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1A2">
              <w:rPr>
                <w:rFonts w:ascii="Times New Roman" w:hAnsi="Times New Roman" w:cs="Times New Roman"/>
                <w:sz w:val="22"/>
                <w:szCs w:val="22"/>
              </w:rPr>
              <w:t>50,880</w:t>
            </w:r>
          </w:p>
        </w:tc>
      </w:tr>
    </w:tbl>
    <w:p w14:paraId="7D40AD4C" w14:textId="4327B981" w:rsidR="000F63E9" w:rsidRPr="008F3988" w:rsidRDefault="00524ED5" w:rsidP="00286BD7">
      <w:pPr>
        <w:rPr>
          <w:rFonts w:ascii="Times New Roman" w:hAnsi="Times New Roman" w:cs="Times New Roman"/>
          <w:lang w:val="de-AT" w:eastAsia="de-DE" w:bidi="en-US"/>
        </w:rPr>
      </w:pPr>
      <w:r w:rsidRPr="008F3988">
        <w:rPr>
          <w:rFonts w:ascii="Times New Roman" w:hAnsi="Times New Roman" w:cs="Times New Roman"/>
          <w:lang w:val="de-AT" w:eastAsia="de-DE" w:bidi="en-US"/>
        </w:rPr>
        <w:t>Source:</w:t>
      </w:r>
      <w:r w:rsidR="00383032" w:rsidRPr="008F3988">
        <w:rPr>
          <w:rFonts w:ascii="Times New Roman" w:hAnsi="Times New Roman" w:cs="Times New Roman"/>
          <w:lang w:val="de-AT" w:eastAsia="de-DE" w:bidi="en-US"/>
        </w:rPr>
        <w:t xml:space="preserve"> </w:t>
      </w:r>
      <w:r w:rsidR="006E77C7" w:rsidRPr="008F3988">
        <w:rPr>
          <w:rFonts w:ascii="Times New Roman" w:hAnsi="Times New Roman" w:cs="Times New Roman"/>
          <w:lang w:val="de-AT" w:eastAsia="de-DE" w:bidi="en-US"/>
        </w:rPr>
        <w:t>BMASK (2017) Österreichischer Pflegevorsorgebericht 2016. Wien: BMASK.</w:t>
      </w:r>
    </w:p>
    <w:p w14:paraId="2EF04C67" w14:textId="6F24D052" w:rsidR="000F63E9" w:rsidRPr="00B460C7" w:rsidRDefault="000F63E9" w:rsidP="00EF5EF9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lang w:eastAsia="de-DE" w:bidi="en-US"/>
        </w:rPr>
      </w:pPr>
      <w:r w:rsidRPr="00B460C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The </w:t>
      </w:r>
      <w:r w:rsidR="000F6C73">
        <w:rPr>
          <w:rFonts w:ascii="Times New Roman" w:hAnsi="Times New Roman" w:cs="Times New Roman"/>
          <w:sz w:val="24"/>
          <w:szCs w:val="24"/>
          <w:lang w:eastAsia="de-DE" w:bidi="en-US"/>
        </w:rPr>
        <w:t>micro-</w:t>
      </w:r>
      <w:r w:rsidR="0010607F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simulation model </w:t>
      </w:r>
      <w:r w:rsidR="00672A85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relies on</w:t>
      </w:r>
      <w:r w:rsidR="0010607F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the </w:t>
      </w:r>
      <w:r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following assumption</w:t>
      </w:r>
      <w:r w:rsidR="0010607F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s</w:t>
      </w:r>
      <w:r w:rsidRPr="00B460C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: </w:t>
      </w:r>
    </w:p>
    <w:p w14:paraId="16AA9A7B" w14:textId="77777777" w:rsidR="006D1125" w:rsidRPr="00B460C7" w:rsidRDefault="006D1125" w:rsidP="00EF5EF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lang w:eastAsia="de-DE" w:bidi="en-US"/>
        </w:rPr>
      </w:pPr>
      <w:r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I</w:t>
      </w:r>
      <w:r w:rsidR="000F63E9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f an individual enters residential care in 2015, they spend their entire assigned duration </w:t>
      </w:r>
      <w:r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in residential care all at once. Time spent in residential care is not divided over the remaining course of their lifetime.</w:t>
      </w:r>
    </w:p>
    <w:p w14:paraId="366C24C1" w14:textId="610EE8DE" w:rsidR="002B347E" w:rsidRPr="002647AE" w:rsidRDefault="006D1125" w:rsidP="002647AE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lang w:eastAsia="de-DE" w:bidi="en-US"/>
        </w:rPr>
      </w:pPr>
      <w:r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All household wealth is used in calculating liable asset-related OPPs (i.e. including housing assets, regardless of whether the individual lives with a spouse that continues to live in the</w:t>
      </w:r>
      <w:r w:rsidR="0010607F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</w:t>
      </w:r>
      <w:r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house)</w:t>
      </w:r>
      <w:r w:rsidR="00672A85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.</w:t>
      </w:r>
    </w:p>
    <w:p w14:paraId="2424FA7E" w14:textId="77777777" w:rsidR="002B347E" w:rsidRDefault="002B347E" w:rsidP="002B347E">
      <w:pPr>
        <w:spacing w:before="100" w:beforeAutospacing="1" w:after="100" w:afterAutospacing="1" w:line="480" w:lineRule="auto"/>
        <w:rPr>
          <w:rFonts w:ascii="Times New Roman" w:hAnsi="Times New Roman" w:cs="Times New Roman"/>
          <w:i/>
          <w:iCs/>
          <w:sz w:val="24"/>
          <w:szCs w:val="24"/>
          <w:lang w:eastAsia="de-DE" w:bidi="en-US"/>
        </w:rPr>
      </w:pPr>
      <w:r w:rsidRPr="002647AE">
        <w:rPr>
          <w:rFonts w:ascii="Times New Roman" w:hAnsi="Times New Roman" w:cs="Times New Roman"/>
          <w:i/>
          <w:iCs/>
          <w:sz w:val="24"/>
          <w:szCs w:val="24"/>
          <w:lang w:eastAsia="de-DE" w:bidi="en-US"/>
        </w:rPr>
        <w:t>Simulating the alternative financing scenarios</w:t>
      </w:r>
    </w:p>
    <w:p w14:paraId="3D647A43" w14:textId="6154C121" w:rsidR="00C86BE0" w:rsidRPr="002647AE" w:rsidRDefault="002B347E" w:rsidP="002647AE">
      <w:pPr>
        <w:spacing w:before="100" w:beforeAutospacing="1" w:after="100" w:afterAutospacing="1" w:line="480" w:lineRule="auto"/>
        <w:rPr>
          <w:rFonts w:ascii="Times New Roman" w:hAnsi="Times New Roman" w:cs="Times New Roman"/>
          <w:i/>
          <w:iCs/>
          <w:sz w:val="24"/>
          <w:szCs w:val="24"/>
          <w:lang w:eastAsia="de-DE" w:bidi="en-US"/>
        </w:rPr>
        <w:sectPr w:rsidR="00C86BE0" w:rsidRPr="002647AE" w:rsidSect="009040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Both alternative financing scenarios were calculated endogenously according to </w:t>
      </w:r>
      <w:r w:rsidR="0074646A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income and </w:t>
      </w:r>
      <w:r>
        <w:rPr>
          <w:rFonts w:ascii="Times New Roman" w:hAnsi="Times New Roman" w:cs="Times New Roman"/>
          <w:sz w:val="24"/>
          <w:szCs w:val="24"/>
          <w:lang w:eastAsia="de-DE" w:bidi="en-US"/>
        </w:rPr>
        <w:t>wealth h</w:t>
      </w:r>
      <w:r w:rsidR="0074646A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eld </w:t>
      </w:r>
      <w:r>
        <w:rPr>
          <w:rFonts w:ascii="Times New Roman" w:hAnsi="Times New Roman" w:cs="Times New Roman"/>
          <w:sz w:val="24"/>
          <w:szCs w:val="24"/>
          <w:lang w:eastAsia="de-DE" w:bidi="en-US"/>
        </w:rPr>
        <w:t>by Austrians aged 65+ in SHARE.  For the s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t>ocial insurance contribution scenario</w:t>
      </w:r>
      <w:r>
        <w:rPr>
          <w:rFonts w:ascii="Times New Roman" w:hAnsi="Times New Roman" w:cs="Times New Roman"/>
          <w:sz w:val="24"/>
          <w:szCs w:val="24"/>
          <w:lang w:eastAsia="de-DE" w:bidi="en-US"/>
        </w:rPr>
        <w:t>,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 w:bidi="en-US"/>
        </w:rPr>
        <w:t>a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n additional social insurance contribution of 2.27% is simulated for those aged 65+. It mirrors the 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lastRenderedPageBreak/>
        <w:t>design of other social insurance contributions in Austria and is applied to the sum of all income sources (i.e. pension income plus income from employment and self-employment) exceeding €405,98 per month up to a maximum contribution base of €4,650 per month</w:t>
      </w:r>
      <w:r>
        <w:rPr>
          <w:rFonts w:ascii="Times New Roman" w:hAnsi="Times New Roman" w:cs="Times New Roman"/>
          <w:sz w:val="24"/>
          <w:szCs w:val="24"/>
          <w:lang w:eastAsia="de-DE" w:bidi="en-US"/>
        </w:rPr>
        <w:t>. The i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t>nheritance tax</w:t>
      </w:r>
      <w:r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scenario is simulated as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 w:bidi="en-US"/>
        </w:rPr>
        <w:t>a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tax rate of 31.48</w:t>
      </w:r>
      <w:r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%, 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applied to </w:t>
      </w:r>
      <w:r w:rsidR="0042687F">
        <w:rPr>
          <w:rFonts w:ascii="Times New Roman" w:hAnsi="Times New Roman" w:cs="Times New Roman"/>
          <w:sz w:val="24"/>
          <w:szCs w:val="24"/>
          <w:lang w:eastAsia="de-DE" w:bidi="en-US"/>
        </w:rPr>
        <w:t>the net wealth (</w:t>
      </w:r>
      <w:r w:rsidR="0042687F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(</w:t>
      </w:r>
      <w:proofErr w:type="gramStart"/>
      <w:r w:rsidR="0042687F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>i.e.</w:t>
      </w:r>
      <w:proofErr w:type="gramEnd"/>
      <w:r w:rsidR="0042687F" w:rsidRPr="00B460C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including housing assets</w:t>
      </w:r>
      <w:r w:rsidR="0042687F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net of debts and other financial assets) above the 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t>threshold of €300,000</w:t>
      </w:r>
      <w:r w:rsidR="006D3EBF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</w:t>
      </w:r>
      <w:r w:rsidR="0042687F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that is held by individuals that are </w:t>
      </w:r>
      <w:r w:rsidR="006D3EBF">
        <w:rPr>
          <w:rFonts w:ascii="Times New Roman" w:hAnsi="Times New Roman" w:cs="Times New Roman"/>
          <w:sz w:val="24"/>
          <w:szCs w:val="24"/>
          <w:lang w:eastAsia="de-DE" w:bidi="en-US"/>
        </w:rPr>
        <w:t>expected to die in the given year</w:t>
      </w:r>
      <w:r w:rsidRPr="002B347E">
        <w:rPr>
          <w:rFonts w:ascii="Times New Roman" w:hAnsi="Times New Roman" w:cs="Times New Roman"/>
          <w:sz w:val="24"/>
          <w:szCs w:val="24"/>
          <w:lang w:eastAsia="de-DE" w:bidi="en-US"/>
        </w:rPr>
        <w:t>.</w:t>
      </w:r>
      <w:r w:rsidR="006D3EBF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 The probability of dying was calculated </w:t>
      </w:r>
      <w:r w:rsidR="006D3EBF" w:rsidRPr="006D3EBF">
        <w:rPr>
          <w:rFonts w:ascii="Times New Roman" w:hAnsi="Times New Roman" w:cs="Times New Roman"/>
          <w:sz w:val="24"/>
          <w:szCs w:val="24"/>
          <w:lang w:eastAsia="de-DE" w:bidi="en-US"/>
        </w:rPr>
        <w:t>using information from the periodic life table for 2015 (</w:t>
      </w:r>
      <w:proofErr w:type="spellStart"/>
      <w:r w:rsidR="006D3EBF" w:rsidRPr="006D3EBF">
        <w:rPr>
          <w:rFonts w:ascii="Times New Roman" w:hAnsi="Times New Roman" w:cs="Times New Roman"/>
          <w:sz w:val="24"/>
          <w:szCs w:val="24"/>
          <w:lang w:eastAsia="de-DE" w:bidi="en-US"/>
        </w:rPr>
        <w:t>Statistik</w:t>
      </w:r>
      <w:proofErr w:type="spellEnd"/>
      <w:r w:rsidR="006D3EBF" w:rsidRPr="006D3EBF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Austria 2017a), stratified by gender, age and care level.</w:t>
      </w:r>
    </w:p>
    <w:p w14:paraId="65AC7E22" w14:textId="55235855" w:rsidR="003307B7" w:rsidRPr="00B460C7" w:rsidRDefault="005F041F" w:rsidP="00EF5EF9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0C7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</w:t>
      </w:r>
      <w:r w:rsidR="002C1260" w:rsidRPr="00B460C7">
        <w:rPr>
          <w:rFonts w:ascii="Times New Roman" w:hAnsi="Times New Roman" w:cs="Times New Roman"/>
          <w:b/>
          <w:bCs/>
          <w:sz w:val="24"/>
          <w:szCs w:val="24"/>
        </w:rPr>
        <w:t xml:space="preserve"> II: </w:t>
      </w:r>
      <w:r w:rsidR="003307B7" w:rsidRPr="00B460C7">
        <w:rPr>
          <w:rFonts w:ascii="Times New Roman" w:hAnsi="Times New Roman" w:cs="Times New Roman"/>
          <w:b/>
          <w:bCs/>
          <w:sz w:val="24"/>
          <w:szCs w:val="24"/>
        </w:rPr>
        <w:t>Sensitivity analysis</w:t>
      </w:r>
    </w:p>
    <w:p w14:paraId="2F8453A2" w14:textId="3156D56A" w:rsidR="00830673" w:rsidRPr="00B460C7" w:rsidRDefault="003307B7" w:rsidP="00EF5EF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de-DE" w:bidi="en-US"/>
        </w:rPr>
      </w:pPr>
      <w:r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There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are </w:t>
      </w:r>
      <w:r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no publicly available data on actual payers of asset-based OPPs in Austria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with </w:t>
      </w:r>
      <w:r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which 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the distribution of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simulated 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OPP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s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from 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the micro-simulation model could be compared. However, it was possible to compare </w:t>
      </w:r>
      <w:r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the </w:t>
      </w:r>
      <w:r w:rsidR="00286BD7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income distribution </w:t>
      </w:r>
      <w:r w:rsidR="00204077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of the sample used in the micro-simulation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with </w:t>
      </w:r>
      <w:r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data on actual 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users of </w:t>
      </w:r>
      <w:r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residential care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provided by the Fonds </w:t>
      </w:r>
      <w:proofErr w:type="spellStart"/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Soziales</w:t>
      </w:r>
      <w:proofErr w:type="spellEnd"/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Wien (FSW)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(for further information on the latter see </w:t>
      </w:r>
      <w:r w:rsidR="00447524" w:rsidRPr="000529D6">
        <w:rPr>
          <w:rFonts w:ascii="Times New Roman" w:hAnsi="Times New Roman" w:cs="Times New Roman"/>
          <w:sz w:val="24"/>
          <w:szCs w:val="24"/>
          <w:vertAlign w:val="superscript"/>
          <w:lang w:val="en-GB" w:eastAsia="de-DE" w:bidi="en-US"/>
        </w:rPr>
        <w:t>11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)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.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Data from the FSW 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includes all persons in the region of Vienna who </w:t>
      </w:r>
      <w:r w:rsidR="00773AF3">
        <w:rPr>
          <w:rFonts w:ascii="Times New Roman" w:hAnsi="Times New Roman" w:cs="Times New Roman"/>
          <w:sz w:val="24"/>
          <w:szCs w:val="24"/>
          <w:lang w:val="en-GB" w:eastAsia="de-DE" w:bidi="en-US"/>
        </w:rPr>
        <w:t>used</w:t>
      </w:r>
      <w:r w:rsidR="00773AF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</w:t>
      </w:r>
      <w:r w:rsidR="00773AF3">
        <w:rPr>
          <w:rFonts w:ascii="Times New Roman" w:hAnsi="Times New Roman" w:cs="Times New Roman"/>
          <w:sz w:val="24"/>
          <w:szCs w:val="24"/>
          <w:lang w:val="en-GB" w:eastAsia="de-DE" w:bidi="en-US"/>
        </w:rPr>
        <w:t>residential care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in 2011 with information on their income.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This 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income distribution </w:t>
      </w:r>
      <w:r w:rsidR="00204077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was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updated for 2015 and compared with the one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for the whole of Austria 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resulting from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the 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matching method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described in Annex I. R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esults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are 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show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n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in 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Table A</w:t>
      </w:r>
      <w:r w:rsidR="006E77C7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5</w:t>
      </w:r>
      <w:r w:rsidR="00A56A3A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.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Sample size precluded </w:t>
      </w:r>
      <w:r w:rsidR="00204077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the comparison of 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the FSW data with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the </w:t>
      </w:r>
      <w:r w:rsidR="00AD0C42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SHARE sample 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for Vienna only. We conclude that the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matching method used on administrative and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SHARE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data that underpins the micro-simulation yields a </w:t>
      </w:r>
      <w:r w:rsidR="00AD0C42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similar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profile of </w:t>
      </w:r>
      <w:r w:rsidR="00CB1584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simulated </w:t>
      </w:r>
      <w:r w:rsidR="009A25A5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users of residential care </w:t>
      </w:r>
      <w:r w:rsidR="00CB1584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whose 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income </w:t>
      </w:r>
      <w:r w:rsidR="00CB1584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distribution </w:t>
      </w:r>
      <w:r w:rsidR="00830673" w:rsidRPr="00B460C7">
        <w:rPr>
          <w:rFonts w:ascii="Times New Roman" w:hAnsi="Times New Roman" w:cs="Times New Roman"/>
          <w:sz w:val="24"/>
          <w:szCs w:val="24"/>
          <w:lang w:val="en-GB" w:eastAsia="de-DE" w:bidi="en-US"/>
        </w:rPr>
        <w:t>is comparable to actual figures from Vienna.</w:t>
      </w:r>
      <w:bookmarkStart w:id="1" w:name="_Toc57282854"/>
    </w:p>
    <w:p w14:paraId="606B20D1" w14:textId="79656D95" w:rsidR="003307B7" w:rsidRPr="000651A2" w:rsidRDefault="003307B7" w:rsidP="00EF5EF9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 w:rsidRPr="00B460C7">
        <w:rPr>
          <w:rFonts w:ascii="Times New Roman" w:hAnsi="Times New Roman" w:cs="Times New Roman"/>
          <w:sz w:val="24"/>
          <w:szCs w:val="24"/>
        </w:rPr>
        <w:t xml:space="preserve">Table </w:t>
      </w:r>
      <w:r w:rsidR="000F1271" w:rsidRPr="00B460C7">
        <w:rPr>
          <w:rFonts w:ascii="Times New Roman" w:hAnsi="Times New Roman" w:cs="Times New Roman"/>
          <w:sz w:val="24"/>
          <w:szCs w:val="24"/>
        </w:rPr>
        <w:t>A</w:t>
      </w:r>
      <w:r w:rsidR="000F1271">
        <w:rPr>
          <w:rFonts w:ascii="Times New Roman" w:hAnsi="Times New Roman" w:cs="Times New Roman"/>
          <w:sz w:val="24"/>
          <w:szCs w:val="24"/>
        </w:rPr>
        <w:t>6</w:t>
      </w:r>
      <w:r w:rsidRPr="00B460C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30673" w:rsidRPr="00B460C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B460C7">
        <w:rPr>
          <w:rFonts w:ascii="Times New Roman" w:hAnsi="Times New Roman" w:cs="Times New Roman"/>
          <w:sz w:val="24"/>
          <w:szCs w:val="24"/>
          <w:lang w:val="en-GB"/>
        </w:rPr>
        <w:t>Deviation (in percentage) between the income distribution of users of residential care in FSW data and our simulation sample</w:t>
      </w:r>
      <w:bookmarkEnd w:id="1"/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9"/>
        <w:gridCol w:w="1020"/>
        <w:gridCol w:w="1020"/>
        <w:gridCol w:w="1020"/>
        <w:gridCol w:w="1020"/>
        <w:gridCol w:w="1020"/>
        <w:gridCol w:w="1018"/>
      </w:tblGrid>
      <w:tr w:rsidR="003307B7" w:rsidRPr="000651A2" w14:paraId="57860BAA" w14:textId="77777777" w:rsidTr="009A25A5">
        <w:trPr>
          <w:trHeight w:val="302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</w:tcPr>
          <w:p w14:paraId="08D6DFF6" w14:textId="77777777" w:rsidR="003307B7" w:rsidRPr="000651A2" w:rsidRDefault="003307B7" w:rsidP="009A25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Percentile of income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A9D0F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10%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273C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25%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FA04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mean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67C3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50%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646E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75%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9977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90%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4B57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95%</w:t>
            </w:r>
          </w:p>
        </w:tc>
      </w:tr>
      <w:tr w:rsidR="003307B7" w:rsidRPr="000651A2" w14:paraId="2C7405D1" w14:textId="77777777" w:rsidTr="009A25A5">
        <w:trPr>
          <w:trHeight w:val="302"/>
        </w:trPr>
        <w:tc>
          <w:tcPr>
            <w:tcW w:w="1363" w:type="pct"/>
            <w:tcBorders>
              <w:top w:val="single" w:sz="4" w:space="0" w:color="auto"/>
            </w:tcBorders>
          </w:tcPr>
          <w:p w14:paraId="4C7A6867" w14:textId="77777777" w:rsidR="003307B7" w:rsidRPr="000651A2" w:rsidRDefault="003307B7" w:rsidP="009A25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Average deviation from FSW data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403A0" w14:textId="56B6366B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--</w:t>
            </w:r>
            <w:r w:rsidR="00B76AC0" w:rsidRPr="00F457A7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BA30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-3.72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B97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0.13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1CFC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-2.85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D66C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-8.50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622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-9.98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BB93" w14:textId="77777777" w:rsidR="003307B7" w:rsidRPr="000651A2" w:rsidRDefault="003307B7" w:rsidP="00EC48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51A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-0.47</w:t>
            </w:r>
          </w:p>
        </w:tc>
      </w:tr>
    </w:tbl>
    <w:p w14:paraId="7A0FEFE0" w14:textId="62AD6E40" w:rsidR="0077345E" w:rsidRDefault="003307B7" w:rsidP="009A25A5">
      <w:pPr>
        <w:pStyle w:val="ECTableandFigureSource"/>
        <w:spacing w:before="0" w:after="160" w:line="360" w:lineRule="auto"/>
        <w:jc w:val="left"/>
        <w:rPr>
          <w:rFonts w:ascii="Times New Roman" w:hAnsi="Times New Roman" w:cs="Times New Roman"/>
          <w:sz w:val="24"/>
          <w:lang w:val="en-GB" w:eastAsia="de-DE" w:bidi="en-US"/>
        </w:rPr>
      </w:pPr>
      <w:r w:rsidRPr="00B76AC0">
        <w:rPr>
          <w:rFonts w:ascii="Times New Roman" w:hAnsi="Times New Roman" w:cs="Times New Roman"/>
          <w:sz w:val="24"/>
          <w:lang w:val="en-GB" w:eastAsia="de-DE" w:bidi="en-US"/>
        </w:rPr>
        <w:t>Source: Own calculations using data from FSW, Statistics Austria and SHARE.</w:t>
      </w:r>
      <w:r w:rsidRPr="00B76AC0">
        <w:rPr>
          <w:rFonts w:ascii="Times New Roman" w:hAnsi="Times New Roman" w:cs="Times New Roman"/>
          <w:sz w:val="24"/>
          <w:lang w:val="en-GB" w:eastAsia="de-DE" w:bidi="en-US"/>
        </w:rPr>
        <w:br/>
        <w:t xml:space="preserve">Notes: </w:t>
      </w:r>
      <w:r w:rsidR="00B76AC0" w:rsidRPr="00F457A7">
        <w:rPr>
          <w:rFonts w:ascii="Times New Roman" w:hAnsi="Times New Roman" w:cs="Times New Roman"/>
          <w:sz w:val="24"/>
        </w:rPr>
        <w:t>†</w:t>
      </w:r>
      <w:r w:rsidRPr="00B76AC0">
        <w:rPr>
          <w:rFonts w:ascii="Times New Roman" w:hAnsi="Times New Roman" w:cs="Times New Roman"/>
          <w:sz w:val="24"/>
          <w:lang w:val="en-GB" w:eastAsia="de-DE" w:bidi="en-US"/>
        </w:rPr>
        <w:t xml:space="preserve"> No income-related information for the 1</w:t>
      </w:r>
      <w:r w:rsidRPr="00B76AC0">
        <w:rPr>
          <w:rFonts w:ascii="Times New Roman" w:hAnsi="Times New Roman" w:cs="Times New Roman"/>
          <w:sz w:val="24"/>
          <w:vertAlign w:val="superscript"/>
          <w:lang w:val="en-GB" w:eastAsia="de-DE" w:bidi="en-US"/>
        </w:rPr>
        <w:t>st</w:t>
      </w:r>
      <w:r w:rsidRPr="00B76AC0">
        <w:rPr>
          <w:rFonts w:ascii="Times New Roman" w:hAnsi="Times New Roman" w:cs="Times New Roman"/>
          <w:sz w:val="24"/>
          <w:lang w:val="en-GB" w:eastAsia="de-DE" w:bidi="en-US"/>
        </w:rPr>
        <w:t xml:space="preserve"> decile.</w:t>
      </w:r>
      <w:r w:rsidRPr="00B76AC0">
        <w:rPr>
          <w:rFonts w:ascii="Times New Roman" w:hAnsi="Times New Roman" w:cs="Times New Roman"/>
          <w:sz w:val="24"/>
          <w:lang w:val="en-GB" w:eastAsia="de-DE" w:bidi="en-US"/>
        </w:rPr>
        <w:br/>
        <w:t>Negative values mean that income in the simulation sample was lower than in the FSW data for users of residential care and vice-versa for positive values.</w:t>
      </w:r>
    </w:p>
    <w:p w14:paraId="326B6B83" w14:textId="77777777" w:rsidR="0077345E" w:rsidRDefault="0077345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de-DE" w:bidi="en-US"/>
        </w:rPr>
      </w:pPr>
      <w:r>
        <w:rPr>
          <w:rFonts w:ascii="Times New Roman" w:hAnsi="Times New Roman" w:cs="Times New Roman"/>
          <w:sz w:val="24"/>
          <w:lang w:val="en-GB" w:eastAsia="de-DE" w:bidi="en-US"/>
        </w:rPr>
        <w:br w:type="page"/>
      </w:r>
    </w:p>
    <w:p w14:paraId="5E084765" w14:textId="11A2C0A1" w:rsidR="0077345E" w:rsidRPr="00F86A88" w:rsidRDefault="0042687F" w:rsidP="0077345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APPENDIX</w:t>
      </w:r>
      <w:r w:rsidR="0077345E" w:rsidRPr="00DE4564">
        <w:rPr>
          <w:rFonts w:ascii="Times New Roman" w:hAnsi="Times New Roman" w:cs="Times New Roman"/>
          <w:b/>
          <w:bCs/>
        </w:rPr>
        <w:t xml:space="preserve"> I</w:t>
      </w:r>
      <w:r w:rsidR="0077345E">
        <w:rPr>
          <w:rFonts w:ascii="Times New Roman" w:hAnsi="Times New Roman" w:cs="Times New Roman"/>
          <w:b/>
          <w:bCs/>
        </w:rPr>
        <w:t>I</w:t>
      </w:r>
      <w:r w:rsidR="0077345E" w:rsidRPr="00DE4564">
        <w:rPr>
          <w:rFonts w:ascii="Times New Roman" w:hAnsi="Times New Roman" w:cs="Times New Roman"/>
          <w:b/>
          <w:bCs/>
        </w:rPr>
        <w:t xml:space="preserve">I: </w:t>
      </w:r>
      <w:r w:rsidR="0077345E" w:rsidRPr="00F86A88">
        <w:rPr>
          <w:rFonts w:ascii="Times New Roman" w:hAnsi="Times New Roman" w:cs="Times New Roman"/>
          <w:b/>
          <w:iCs/>
          <w:lang w:eastAsia="de-DE" w:bidi="en-US"/>
        </w:rPr>
        <w:t>Distribution of income and wealth among Austrians 65+ (SHARE)</w:t>
      </w:r>
    </w:p>
    <w:p w14:paraId="7EA7E07A" w14:textId="77777777" w:rsidR="0077345E" w:rsidRPr="006B2C4A" w:rsidRDefault="0077345E" w:rsidP="0077345E">
      <w:pPr>
        <w:spacing w:before="100" w:beforeAutospacing="1" w:after="100" w:afterAutospacing="1" w:line="480" w:lineRule="auto"/>
        <w:rPr>
          <w:rFonts w:ascii="Times New Roman" w:hAnsi="Times New Roman" w:cs="Times New Roman"/>
          <w:lang w:eastAsia="de-DE" w:bidi="en-US"/>
        </w:rPr>
      </w:pPr>
      <w:r>
        <w:rPr>
          <w:rFonts w:ascii="Times New Roman" w:hAnsi="Times New Roman" w:cs="Times New Roman"/>
          <w:lang w:eastAsia="de-DE" w:bidi="en-US"/>
        </w:rPr>
        <w:t>Table A6: Distribution of wealth and income in Austria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4"/>
        <w:gridCol w:w="1351"/>
        <w:gridCol w:w="889"/>
        <w:gridCol w:w="1002"/>
        <w:gridCol w:w="1002"/>
        <w:gridCol w:w="1002"/>
        <w:gridCol w:w="1002"/>
        <w:gridCol w:w="2118"/>
      </w:tblGrid>
      <w:tr w:rsidR="0077345E" w:rsidRPr="006B2C4A" w14:paraId="2BF8E5F6" w14:textId="77777777" w:rsidTr="001D34D6"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14:paraId="095BB304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14:paraId="1DEF5C53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2B594A7" w14:textId="77777777" w:rsidR="0077345E" w:rsidRPr="006B2C4A" w:rsidRDefault="0077345E" w:rsidP="001D34D6">
            <w:pPr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Wealth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</w:tcPr>
          <w:p w14:paraId="0B147C80" w14:textId="77777777" w:rsidR="0077345E" w:rsidRPr="006B2C4A" w:rsidRDefault="0077345E" w:rsidP="001D34D6">
            <w:pPr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lang w:eastAsia="de-DE" w:bidi="en-US"/>
              </w:rPr>
              <w:t>Average assets per household (Euros)</w:t>
            </w:r>
          </w:p>
        </w:tc>
      </w:tr>
      <w:tr w:rsidR="0077345E" w:rsidRPr="006B2C4A" w14:paraId="50ADD20F" w14:textId="77777777" w:rsidTr="001D34D6"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69AE654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7F82D22E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58C636F8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1st quintile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14:paraId="47379AE4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2nd quintile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14:paraId="3B3DEBA7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3rd quintile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14:paraId="518642CE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4th quintile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14:paraId="26BDAA36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5th quintile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14:paraId="55379722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7345E" w:rsidRPr="006B2C4A" w14:paraId="700D4298" w14:textId="77777777" w:rsidTr="001D34D6">
        <w:tc>
          <w:tcPr>
            <w:tcW w:w="10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607A11" w14:textId="77777777" w:rsidR="0077345E" w:rsidRPr="006B2C4A" w:rsidRDefault="0077345E" w:rsidP="001D34D6">
            <w:pPr>
              <w:spacing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Income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14:paraId="0B37B83E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1st quintile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3E2BC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E39AF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7E449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DAC26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1E960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14:paraId="3362CADD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67,678</w:t>
            </w:r>
          </w:p>
        </w:tc>
      </w:tr>
      <w:tr w:rsidR="0077345E" w:rsidRPr="006B2C4A" w14:paraId="5C33F2E9" w14:textId="77777777" w:rsidTr="001D34D6">
        <w:tc>
          <w:tcPr>
            <w:tcW w:w="1007" w:type="dxa"/>
            <w:vMerge/>
            <w:shd w:val="clear" w:color="auto" w:fill="auto"/>
          </w:tcPr>
          <w:p w14:paraId="47C0B7E8" w14:textId="77777777" w:rsidR="0077345E" w:rsidRPr="006B2C4A" w:rsidRDefault="0077345E" w:rsidP="001D34D6">
            <w:pPr>
              <w:spacing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14:paraId="475C0E55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2nd quintile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19E9E8F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B2C4A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D3598F6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B2C4A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39D401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B2C4A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18724DF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B2C4A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89E5840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231" w:type="dxa"/>
            <w:vAlign w:val="center"/>
          </w:tcPr>
          <w:p w14:paraId="7DAC75E6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98,530</w:t>
            </w:r>
          </w:p>
        </w:tc>
      </w:tr>
      <w:tr w:rsidR="0077345E" w:rsidRPr="006B2C4A" w14:paraId="31B8E453" w14:textId="77777777" w:rsidTr="001D34D6">
        <w:tc>
          <w:tcPr>
            <w:tcW w:w="1007" w:type="dxa"/>
            <w:vMerge/>
            <w:shd w:val="clear" w:color="auto" w:fill="auto"/>
          </w:tcPr>
          <w:p w14:paraId="4FFAC64F" w14:textId="77777777" w:rsidR="0077345E" w:rsidRPr="006B2C4A" w:rsidRDefault="0077345E" w:rsidP="001D34D6">
            <w:pPr>
              <w:spacing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14:paraId="6296B397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3rd quintile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A74A177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7632480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17C2D46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3E1AA21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3486359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2231" w:type="dxa"/>
            <w:vAlign w:val="center"/>
          </w:tcPr>
          <w:p w14:paraId="0B17F905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136,228</w:t>
            </w:r>
          </w:p>
        </w:tc>
      </w:tr>
      <w:tr w:rsidR="0077345E" w:rsidRPr="006B2C4A" w14:paraId="6B3FE23F" w14:textId="77777777" w:rsidTr="001D34D6">
        <w:tc>
          <w:tcPr>
            <w:tcW w:w="1007" w:type="dxa"/>
            <w:vMerge/>
            <w:shd w:val="clear" w:color="auto" w:fill="auto"/>
          </w:tcPr>
          <w:p w14:paraId="1D1C14C5" w14:textId="77777777" w:rsidR="0077345E" w:rsidRPr="006B2C4A" w:rsidRDefault="0077345E" w:rsidP="001D34D6">
            <w:pPr>
              <w:spacing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14:paraId="59557EE0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4th quintile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FF14D80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736FBDF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36961B9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D6A329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21.41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13E5B7F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2231" w:type="dxa"/>
            <w:vAlign w:val="center"/>
          </w:tcPr>
          <w:p w14:paraId="6048FDDD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211,220</w:t>
            </w:r>
          </w:p>
        </w:tc>
      </w:tr>
      <w:tr w:rsidR="0077345E" w:rsidRPr="006B2C4A" w14:paraId="7191533E" w14:textId="77777777" w:rsidTr="001D34D6"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D7785C" w14:textId="77777777" w:rsidR="0077345E" w:rsidRPr="006B2C4A" w:rsidRDefault="0077345E" w:rsidP="001D34D6">
            <w:pPr>
              <w:spacing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4131236F" w14:textId="77777777" w:rsidR="0077345E" w:rsidRPr="006B2C4A" w:rsidRDefault="0077345E" w:rsidP="001D34D6">
            <w:pPr>
              <w:spacing w:after="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>5th quintile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3424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2023F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D1B6D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21E0F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7E9DC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53D3708A" w14:textId="77777777" w:rsidR="0077345E" w:rsidRPr="006B2C4A" w:rsidRDefault="0077345E" w:rsidP="001D34D6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</w:rPr>
              <w:t>47,429</w:t>
            </w:r>
          </w:p>
        </w:tc>
      </w:tr>
      <w:tr w:rsidR="0077345E" w:rsidRPr="006B2C4A" w14:paraId="0080A517" w14:textId="77777777" w:rsidTr="001D34D6">
        <w:tc>
          <w:tcPr>
            <w:tcW w:w="71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336E0D" w14:textId="77777777" w:rsidR="0077345E" w:rsidRPr="006B2C4A" w:rsidRDefault="0077345E" w:rsidP="001D34D6">
            <w:pPr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6B2C4A">
              <w:rPr>
                <w:rFonts w:ascii="Times New Roman" w:hAnsi="Times New Roman" w:cs="Times New Roman"/>
                <w:bCs/>
                <w:color w:val="000000"/>
              </w:rPr>
              <w:t xml:space="preserve">Spearman Rho: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r= </w:t>
            </w:r>
            <w:r w:rsidRPr="00A44742">
              <w:rPr>
                <w:rFonts w:ascii="Times New Roman" w:hAnsi="Times New Roman" w:cs="Times New Roman"/>
                <w:bCs/>
                <w:color w:val="000000"/>
              </w:rPr>
              <w:t xml:space="preserve">0.425 </w:t>
            </w:r>
            <w:r w:rsidRPr="006B2C4A">
              <w:rPr>
                <w:rFonts w:ascii="Times New Roman" w:hAnsi="Times New Roman" w:cs="Times New Roman"/>
                <w:bCs/>
                <w:color w:val="000000"/>
              </w:rPr>
              <w:t>(p-value=</w:t>
            </w:r>
            <w:r>
              <w:rPr>
                <w:rFonts w:ascii="Times New Roman" w:hAnsi="Times New Roman" w:cs="Times New Roman"/>
                <w:bCs/>
                <w:color w:val="000000"/>
              </w:rPr>
              <w:t>0.000</w:t>
            </w:r>
            <w:r w:rsidRPr="006B2C4A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311E4BB" w14:textId="77777777" w:rsidR="0077345E" w:rsidRPr="006B2C4A" w:rsidRDefault="0077345E" w:rsidP="001D34D6">
            <w:pPr>
              <w:spacing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624A1DF3" w14:textId="2FED0E1E" w:rsidR="0077345E" w:rsidRDefault="0077345E" w:rsidP="0077345E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0A22">
        <w:rPr>
          <w:rFonts w:ascii="Times New Roman" w:hAnsi="Times New Roman" w:cs="Times New Roman"/>
          <w:noProof/>
          <w:sz w:val="24"/>
          <w:szCs w:val="24"/>
        </w:rPr>
        <w:t xml:space="preserve">Source: </w:t>
      </w:r>
      <w:r w:rsidRPr="00860A22">
        <w:rPr>
          <w:rFonts w:ascii="Times New Roman" w:hAnsi="Times New Roman" w:cs="Times New Roman"/>
          <w:sz w:val="24"/>
          <w:szCs w:val="24"/>
        </w:rPr>
        <w:t xml:space="preserve">Own calculations </w:t>
      </w:r>
      <w:r>
        <w:rPr>
          <w:rFonts w:ascii="Times New Roman" w:hAnsi="Times New Roman" w:cs="Times New Roman"/>
          <w:sz w:val="24"/>
          <w:szCs w:val="24"/>
        </w:rPr>
        <w:t>based on</w:t>
      </w:r>
      <w:r w:rsidRPr="00860A22">
        <w:rPr>
          <w:rFonts w:ascii="Times New Roman" w:hAnsi="Times New Roman" w:cs="Times New Roman"/>
          <w:sz w:val="24"/>
          <w:szCs w:val="24"/>
        </w:rPr>
        <w:t xml:space="preserve"> 65+ Austrian sample of SHARE</w:t>
      </w:r>
      <w:r w:rsidRPr="00860A22" w:rsidDel="00827B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0A22">
        <w:rPr>
          <w:rFonts w:ascii="Times New Roman" w:hAnsi="Times New Roman" w:cs="Times New Roman"/>
          <w:noProof/>
          <w:sz w:val="24"/>
          <w:szCs w:val="24"/>
        </w:rPr>
        <w:t>(2015). N=2221.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Weighted results.</w:t>
      </w:r>
    </w:p>
    <w:p w14:paraId="4763A312" w14:textId="2D77248C" w:rsidR="0042687F" w:rsidRPr="00F86A88" w:rsidRDefault="0042687F" w:rsidP="0042687F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</w:t>
      </w:r>
      <w:r w:rsidRPr="00DE4564">
        <w:rPr>
          <w:rFonts w:ascii="Times New Roman" w:hAnsi="Times New Roman" w:cs="Times New Roman"/>
          <w:b/>
          <w:bCs/>
        </w:rPr>
        <w:t xml:space="preserve"> I</w:t>
      </w:r>
      <w:r>
        <w:rPr>
          <w:rFonts w:ascii="Times New Roman" w:hAnsi="Times New Roman" w:cs="Times New Roman"/>
          <w:b/>
          <w:bCs/>
        </w:rPr>
        <w:t>V</w:t>
      </w:r>
      <w:r w:rsidRPr="00DE4564">
        <w:rPr>
          <w:rFonts w:ascii="Times New Roman" w:hAnsi="Times New Roman" w:cs="Times New Roman"/>
          <w:b/>
          <w:bCs/>
        </w:rPr>
        <w:t xml:space="preserve">: </w:t>
      </w:r>
      <w:r w:rsidR="00546C81">
        <w:rPr>
          <w:rFonts w:ascii="Times New Roman" w:hAnsi="Times New Roman" w:cs="Times New Roman"/>
          <w:b/>
          <w:iCs/>
          <w:lang w:eastAsia="de-DE" w:bidi="en-US"/>
        </w:rPr>
        <w:t>Concentration curves for baseline and alternative scenarios</w:t>
      </w:r>
    </w:p>
    <w:p w14:paraId="7C89AC48" w14:textId="7E69C894" w:rsidR="00546C81" w:rsidRDefault="00546C81" w:rsidP="00546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A1: </w:t>
      </w:r>
      <w:r w:rsidRPr="00EC60F3">
        <w:rPr>
          <w:rFonts w:ascii="Times New Roman" w:hAnsi="Times New Roman" w:cs="Times New Roman"/>
          <w:sz w:val="24"/>
          <w:szCs w:val="24"/>
        </w:rPr>
        <w:t xml:space="preserve">Concentration curves for the </w:t>
      </w:r>
      <w:proofErr w:type="spellStart"/>
      <w:r w:rsidRPr="00EC60F3">
        <w:rPr>
          <w:rFonts w:ascii="Times New Roman" w:hAnsi="Times New Roman" w:cs="Times New Roman"/>
          <w:sz w:val="24"/>
          <w:szCs w:val="24"/>
        </w:rPr>
        <w:t>Pflegeregress</w:t>
      </w:r>
      <w:proofErr w:type="spellEnd"/>
      <w:r w:rsidRPr="00EC60F3">
        <w:rPr>
          <w:rFonts w:ascii="Times New Roman" w:hAnsi="Times New Roman" w:cs="Times New Roman"/>
          <w:sz w:val="24"/>
          <w:szCs w:val="24"/>
        </w:rPr>
        <w:t xml:space="preserve"> (baseline) and alternative scenarios.</w:t>
      </w:r>
    </w:p>
    <w:p w14:paraId="48A34948" w14:textId="77777777" w:rsidR="00546C81" w:rsidRDefault="00546C81" w:rsidP="00546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41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5C9897" wp14:editId="7B568715">
            <wp:extent cx="5114925" cy="3743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F2433" w14:textId="77777777" w:rsidR="00546C81" w:rsidRPr="00C53043" w:rsidRDefault="00546C81" w:rsidP="00546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60F3">
        <w:rPr>
          <w:rFonts w:ascii="Times New Roman" w:hAnsi="Times New Roman" w:cs="Times New Roman"/>
          <w:sz w:val="24"/>
          <w:szCs w:val="24"/>
        </w:rPr>
        <w:lastRenderedPageBreak/>
        <w:t>Notes: N=2221. Cumulative proportion of OPPs paid. Ranking variable is equivalized net income.</w:t>
      </w:r>
    </w:p>
    <w:p w14:paraId="1961186B" w14:textId="77777777" w:rsidR="0042687F" w:rsidRDefault="0042687F" w:rsidP="0042687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9BCA52" w14:textId="77777777" w:rsidR="003307B7" w:rsidRPr="00B76AC0" w:rsidRDefault="003307B7" w:rsidP="009A25A5">
      <w:pPr>
        <w:pStyle w:val="ECTableandFigureSource"/>
        <w:spacing w:before="0" w:after="160" w:line="360" w:lineRule="auto"/>
        <w:jc w:val="left"/>
        <w:rPr>
          <w:rFonts w:ascii="Times New Roman" w:hAnsi="Times New Roman" w:cs="Times New Roman"/>
          <w:sz w:val="24"/>
          <w:lang w:val="en-GB" w:eastAsia="de-DE" w:bidi="en-US"/>
        </w:rPr>
      </w:pPr>
    </w:p>
    <w:p w14:paraId="47747BEA" w14:textId="77777777" w:rsidR="00383032" w:rsidRPr="000651A2" w:rsidRDefault="00383032" w:rsidP="009A25A5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383032" w:rsidRPr="000651A2" w:rsidSect="0090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FA4E" w14:textId="77777777" w:rsidR="006B4539" w:rsidRDefault="006B4539" w:rsidP="009040DB">
      <w:pPr>
        <w:spacing w:after="0" w:line="240" w:lineRule="auto"/>
      </w:pPr>
      <w:r>
        <w:separator/>
      </w:r>
    </w:p>
  </w:endnote>
  <w:endnote w:type="continuationSeparator" w:id="0">
    <w:p w14:paraId="024387CF" w14:textId="77777777" w:rsidR="006B4539" w:rsidRDefault="006B4539" w:rsidP="0090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AFA7" w14:textId="77777777" w:rsidR="006B4539" w:rsidRDefault="006B4539" w:rsidP="009040DB">
      <w:pPr>
        <w:spacing w:after="0" w:line="240" w:lineRule="auto"/>
      </w:pPr>
      <w:r>
        <w:separator/>
      </w:r>
    </w:p>
  </w:footnote>
  <w:footnote w:type="continuationSeparator" w:id="0">
    <w:p w14:paraId="0EF9F6EF" w14:textId="77777777" w:rsidR="006B4539" w:rsidRDefault="006B4539" w:rsidP="0090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3E92"/>
    <w:multiLevelType w:val="hybridMultilevel"/>
    <w:tmpl w:val="C3227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4051"/>
    <w:multiLevelType w:val="hybridMultilevel"/>
    <w:tmpl w:val="98740C6A"/>
    <w:lvl w:ilvl="0" w:tplc="E868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F1B31"/>
    <w:multiLevelType w:val="hybridMultilevel"/>
    <w:tmpl w:val="D26E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8E"/>
    <w:rsid w:val="00006E03"/>
    <w:rsid w:val="00031C59"/>
    <w:rsid w:val="000529D6"/>
    <w:rsid w:val="000651A2"/>
    <w:rsid w:val="00083A81"/>
    <w:rsid w:val="0009788A"/>
    <w:rsid w:val="000A518E"/>
    <w:rsid w:val="000B7D32"/>
    <w:rsid w:val="000B7EF3"/>
    <w:rsid w:val="000F1271"/>
    <w:rsid w:val="000F3FA0"/>
    <w:rsid w:val="000F63E9"/>
    <w:rsid w:val="000F6C73"/>
    <w:rsid w:val="0010607F"/>
    <w:rsid w:val="00111AAC"/>
    <w:rsid w:val="001334FC"/>
    <w:rsid w:val="001457C0"/>
    <w:rsid w:val="00150516"/>
    <w:rsid w:val="001726C3"/>
    <w:rsid w:val="001A5DB1"/>
    <w:rsid w:val="001A7BA0"/>
    <w:rsid w:val="001E122B"/>
    <w:rsid w:val="001E3ACA"/>
    <w:rsid w:val="001E6860"/>
    <w:rsid w:val="0020220D"/>
    <w:rsid w:val="00204077"/>
    <w:rsid w:val="00231B33"/>
    <w:rsid w:val="00234539"/>
    <w:rsid w:val="002647AE"/>
    <w:rsid w:val="00286BD7"/>
    <w:rsid w:val="0029208B"/>
    <w:rsid w:val="00295233"/>
    <w:rsid w:val="002B285B"/>
    <w:rsid w:val="002B347E"/>
    <w:rsid w:val="002C1260"/>
    <w:rsid w:val="002C6764"/>
    <w:rsid w:val="002C6E48"/>
    <w:rsid w:val="002E282F"/>
    <w:rsid w:val="002E7608"/>
    <w:rsid w:val="002F558B"/>
    <w:rsid w:val="003004ED"/>
    <w:rsid w:val="00303F32"/>
    <w:rsid w:val="00305F6D"/>
    <w:rsid w:val="003124C0"/>
    <w:rsid w:val="00326DB3"/>
    <w:rsid w:val="003307B7"/>
    <w:rsid w:val="003443E3"/>
    <w:rsid w:val="00346F53"/>
    <w:rsid w:val="0035321E"/>
    <w:rsid w:val="003726E6"/>
    <w:rsid w:val="0038005D"/>
    <w:rsid w:val="00383032"/>
    <w:rsid w:val="0038507A"/>
    <w:rsid w:val="003B2F99"/>
    <w:rsid w:val="003D300D"/>
    <w:rsid w:val="003F3CF5"/>
    <w:rsid w:val="004030A5"/>
    <w:rsid w:val="0042687F"/>
    <w:rsid w:val="00431E91"/>
    <w:rsid w:val="00447524"/>
    <w:rsid w:val="00455F42"/>
    <w:rsid w:val="004701F2"/>
    <w:rsid w:val="004777B0"/>
    <w:rsid w:val="00485A5B"/>
    <w:rsid w:val="004A3971"/>
    <w:rsid w:val="004A775A"/>
    <w:rsid w:val="004C4F11"/>
    <w:rsid w:val="004C7505"/>
    <w:rsid w:val="004D1EAF"/>
    <w:rsid w:val="00524ED5"/>
    <w:rsid w:val="005417F6"/>
    <w:rsid w:val="00546C81"/>
    <w:rsid w:val="00552714"/>
    <w:rsid w:val="00583DD9"/>
    <w:rsid w:val="005A22B4"/>
    <w:rsid w:val="005A4BAB"/>
    <w:rsid w:val="005D5EFF"/>
    <w:rsid w:val="005F041F"/>
    <w:rsid w:val="00614F68"/>
    <w:rsid w:val="00632059"/>
    <w:rsid w:val="0064271A"/>
    <w:rsid w:val="00655671"/>
    <w:rsid w:val="00672A85"/>
    <w:rsid w:val="00685373"/>
    <w:rsid w:val="0069465A"/>
    <w:rsid w:val="006B4539"/>
    <w:rsid w:val="006C5DB3"/>
    <w:rsid w:val="006D1125"/>
    <w:rsid w:val="006D3EBF"/>
    <w:rsid w:val="006E77C7"/>
    <w:rsid w:val="006F58EC"/>
    <w:rsid w:val="00705C8A"/>
    <w:rsid w:val="00707371"/>
    <w:rsid w:val="00707670"/>
    <w:rsid w:val="007104CE"/>
    <w:rsid w:val="007236F8"/>
    <w:rsid w:val="00724639"/>
    <w:rsid w:val="0073232A"/>
    <w:rsid w:val="0074646A"/>
    <w:rsid w:val="00752CD9"/>
    <w:rsid w:val="0076002C"/>
    <w:rsid w:val="0077345E"/>
    <w:rsid w:val="00773AF3"/>
    <w:rsid w:val="007E16D3"/>
    <w:rsid w:val="007F1CD1"/>
    <w:rsid w:val="007F2F9F"/>
    <w:rsid w:val="007F6263"/>
    <w:rsid w:val="00800448"/>
    <w:rsid w:val="00812221"/>
    <w:rsid w:val="00830673"/>
    <w:rsid w:val="00850BB6"/>
    <w:rsid w:val="00861564"/>
    <w:rsid w:val="00872265"/>
    <w:rsid w:val="00884A8A"/>
    <w:rsid w:val="008920FB"/>
    <w:rsid w:val="0089217B"/>
    <w:rsid w:val="008C68E8"/>
    <w:rsid w:val="008D09C1"/>
    <w:rsid w:val="008E1CEF"/>
    <w:rsid w:val="008E2998"/>
    <w:rsid w:val="008E29C7"/>
    <w:rsid w:val="008F128D"/>
    <w:rsid w:val="008F3988"/>
    <w:rsid w:val="009040DB"/>
    <w:rsid w:val="00910689"/>
    <w:rsid w:val="00957FB0"/>
    <w:rsid w:val="009606ED"/>
    <w:rsid w:val="00982366"/>
    <w:rsid w:val="009A25A5"/>
    <w:rsid w:val="009C169B"/>
    <w:rsid w:val="009C39DD"/>
    <w:rsid w:val="009D4019"/>
    <w:rsid w:val="009D5153"/>
    <w:rsid w:val="009F4393"/>
    <w:rsid w:val="00A216A4"/>
    <w:rsid w:val="00A24C18"/>
    <w:rsid w:val="00A27E58"/>
    <w:rsid w:val="00A407AB"/>
    <w:rsid w:val="00A562B3"/>
    <w:rsid w:val="00A56A3A"/>
    <w:rsid w:val="00A64F0E"/>
    <w:rsid w:val="00A85819"/>
    <w:rsid w:val="00A87420"/>
    <w:rsid w:val="00A92277"/>
    <w:rsid w:val="00AA5ECA"/>
    <w:rsid w:val="00AC3DD6"/>
    <w:rsid w:val="00AD0C42"/>
    <w:rsid w:val="00AE5AE4"/>
    <w:rsid w:val="00AF22BF"/>
    <w:rsid w:val="00AF49C0"/>
    <w:rsid w:val="00B146EF"/>
    <w:rsid w:val="00B338EE"/>
    <w:rsid w:val="00B460C7"/>
    <w:rsid w:val="00B60849"/>
    <w:rsid w:val="00B61F18"/>
    <w:rsid w:val="00B76AC0"/>
    <w:rsid w:val="00BA16BE"/>
    <w:rsid w:val="00BA23B3"/>
    <w:rsid w:val="00BB1B8F"/>
    <w:rsid w:val="00BB7BC2"/>
    <w:rsid w:val="00BC235F"/>
    <w:rsid w:val="00BC63ED"/>
    <w:rsid w:val="00BE3FBA"/>
    <w:rsid w:val="00C25866"/>
    <w:rsid w:val="00C30982"/>
    <w:rsid w:val="00C319CE"/>
    <w:rsid w:val="00C350A0"/>
    <w:rsid w:val="00C4165F"/>
    <w:rsid w:val="00C56844"/>
    <w:rsid w:val="00C67055"/>
    <w:rsid w:val="00C85C85"/>
    <w:rsid w:val="00C86BE0"/>
    <w:rsid w:val="00CB1584"/>
    <w:rsid w:val="00CB29BD"/>
    <w:rsid w:val="00CB5626"/>
    <w:rsid w:val="00CD3248"/>
    <w:rsid w:val="00D1332D"/>
    <w:rsid w:val="00D2153E"/>
    <w:rsid w:val="00D33475"/>
    <w:rsid w:val="00D40F60"/>
    <w:rsid w:val="00D51640"/>
    <w:rsid w:val="00D52610"/>
    <w:rsid w:val="00D841D9"/>
    <w:rsid w:val="00D93F3D"/>
    <w:rsid w:val="00DA4A26"/>
    <w:rsid w:val="00DB078C"/>
    <w:rsid w:val="00DE303B"/>
    <w:rsid w:val="00DF4936"/>
    <w:rsid w:val="00E02BEA"/>
    <w:rsid w:val="00E04636"/>
    <w:rsid w:val="00E10D47"/>
    <w:rsid w:val="00E148E9"/>
    <w:rsid w:val="00E17212"/>
    <w:rsid w:val="00E431F4"/>
    <w:rsid w:val="00E707E8"/>
    <w:rsid w:val="00E735CD"/>
    <w:rsid w:val="00EC35AD"/>
    <w:rsid w:val="00EC3EA2"/>
    <w:rsid w:val="00EC48BE"/>
    <w:rsid w:val="00EC6844"/>
    <w:rsid w:val="00EE51C1"/>
    <w:rsid w:val="00EF5EF9"/>
    <w:rsid w:val="00EF778A"/>
    <w:rsid w:val="00F20120"/>
    <w:rsid w:val="00F2526F"/>
    <w:rsid w:val="00F3494E"/>
    <w:rsid w:val="00F5489E"/>
    <w:rsid w:val="00F56C76"/>
    <w:rsid w:val="00F66CD4"/>
    <w:rsid w:val="00F75329"/>
    <w:rsid w:val="00F84AED"/>
    <w:rsid w:val="00FB5C35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B950F"/>
  <w15:chartTrackingRefBased/>
  <w15:docId w15:val="{FA1DB4F9-4870-498E-A8D0-C0C1EC83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8E"/>
    <w:rPr>
      <w:rFonts w:ascii="Segoe UI" w:hAnsi="Segoe UI" w:cs="Segoe UI"/>
      <w:sz w:val="18"/>
      <w:szCs w:val="18"/>
    </w:rPr>
  </w:style>
  <w:style w:type="paragraph" w:customStyle="1" w:styleId="ECTableLeft">
    <w:name w:val="EC Table Left"/>
    <w:basedOn w:val="Normal"/>
    <w:qFormat/>
    <w:rsid w:val="00632059"/>
    <w:pPr>
      <w:spacing w:before="80" w:after="80" w:line="260" w:lineRule="exact"/>
    </w:pPr>
    <w:rPr>
      <w:szCs w:val="24"/>
      <w:lang w:val="de-DE"/>
    </w:rPr>
  </w:style>
  <w:style w:type="paragraph" w:customStyle="1" w:styleId="ECTableHeaderLeft">
    <w:name w:val="EC Table Header Left"/>
    <w:basedOn w:val="Normal"/>
    <w:qFormat/>
    <w:rsid w:val="00632059"/>
    <w:pPr>
      <w:spacing w:before="80" w:after="80" w:line="260" w:lineRule="exact"/>
    </w:pPr>
    <w:rPr>
      <w:b/>
      <w:szCs w:val="24"/>
      <w:lang w:val="de-DE"/>
    </w:rPr>
  </w:style>
  <w:style w:type="paragraph" w:styleId="Caption">
    <w:name w:val="caption"/>
    <w:aliases w:val="EC Caption"/>
    <w:basedOn w:val="Normal"/>
    <w:next w:val="Normal"/>
    <w:uiPriority w:val="35"/>
    <w:unhideWhenUsed/>
    <w:qFormat/>
    <w:rsid w:val="00632059"/>
    <w:pPr>
      <w:keepNext/>
      <w:keepLines/>
      <w:tabs>
        <w:tab w:val="left" w:pos="993"/>
      </w:tabs>
      <w:spacing w:before="240" w:after="120" w:line="260" w:lineRule="exact"/>
      <w:ind w:left="851" w:hanging="851"/>
      <w:jc w:val="both"/>
    </w:pPr>
    <w:rPr>
      <w:rFonts w:ascii="Cambria" w:hAnsi="Cambria"/>
      <w:b/>
      <w:iCs/>
      <w:noProof/>
      <w:color w:val="000000" w:themeColor="text1"/>
      <w:sz w:val="20"/>
      <w:szCs w:val="18"/>
      <w:lang w:eastAsia="de-DE" w:bidi="en-US"/>
    </w:rPr>
  </w:style>
  <w:style w:type="table" w:customStyle="1" w:styleId="PlainTable21">
    <w:name w:val="Plain Table 21"/>
    <w:basedOn w:val="TableNormal"/>
    <w:uiPriority w:val="99"/>
    <w:rsid w:val="00632059"/>
    <w:pPr>
      <w:spacing w:after="0" w:line="240" w:lineRule="auto"/>
    </w:pPr>
    <w:rPr>
      <w:sz w:val="24"/>
      <w:szCs w:val="24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C25866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TableandFigureSource">
    <w:name w:val="EC Table and Figure Source"/>
    <w:basedOn w:val="Normal"/>
    <w:qFormat/>
    <w:rsid w:val="00231B33"/>
    <w:pPr>
      <w:keepLines/>
      <w:spacing w:before="60" w:after="240" w:line="240" w:lineRule="exact"/>
      <w:jc w:val="both"/>
    </w:pPr>
    <w:rPr>
      <w:sz w:val="18"/>
      <w:szCs w:val="24"/>
      <w:shd w:val="clear" w:color="auto" w:fill="FFFFFF"/>
    </w:rPr>
  </w:style>
  <w:style w:type="table" w:customStyle="1" w:styleId="TableGrid2">
    <w:name w:val="Table Grid2"/>
    <w:basedOn w:val="TableNormal"/>
    <w:next w:val="TableGrid"/>
    <w:uiPriority w:val="39"/>
    <w:rsid w:val="00231B33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8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DB"/>
  </w:style>
  <w:style w:type="paragraph" w:styleId="Footer">
    <w:name w:val="footer"/>
    <w:basedOn w:val="Normal"/>
    <w:link w:val="FooterChar"/>
    <w:uiPriority w:val="99"/>
    <w:unhideWhenUsed/>
    <w:rsid w:val="0090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DB"/>
  </w:style>
  <w:style w:type="character" w:styleId="CommentReference">
    <w:name w:val="annotation reference"/>
    <w:basedOn w:val="DefaultParagraphFont"/>
    <w:uiPriority w:val="99"/>
    <w:semiHidden/>
    <w:unhideWhenUsed/>
    <w:rsid w:val="00EF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8A"/>
    <w:rPr>
      <w:b/>
      <w:bCs/>
      <w:sz w:val="20"/>
      <w:szCs w:val="20"/>
    </w:rPr>
  </w:style>
  <w:style w:type="paragraph" w:customStyle="1" w:styleId="ECStandardParagraphLeft">
    <w:name w:val="EC Standard Paragraph Left"/>
    <w:basedOn w:val="Normal"/>
    <w:link w:val="ECStandardParagraphLeftChar"/>
    <w:qFormat/>
    <w:rsid w:val="003307B7"/>
    <w:pPr>
      <w:spacing w:after="120" w:line="320" w:lineRule="exact"/>
    </w:pPr>
    <w:rPr>
      <w:szCs w:val="24"/>
    </w:rPr>
  </w:style>
  <w:style w:type="paragraph" w:styleId="FootnoteText">
    <w:name w:val="footnote text"/>
    <w:aliases w:val="EC Fußnotentext"/>
    <w:basedOn w:val="Normal"/>
    <w:next w:val="Normal"/>
    <w:link w:val="FootnoteTextChar"/>
    <w:unhideWhenUsed/>
    <w:rsid w:val="003307B7"/>
    <w:pPr>
      <w:tabs>
        <w:tab w:val="left" w:pos="142"/>
      </w:tabs>
      <w:spacing w:after="120" w:line="240" w:lineRule="exact"/>
      <w:ind w:left="142" w:hanging="142"/>
      <w:jc w:val="both"/>
    </w:pPr>
    <w:rPr>
      <w:rFonts w:eastAsiaTheme="minorEastAsia"/>
      <w:color w:val="5A5A5A" w:themeColor="text1" w:themeTint="A5"/>
      <w:sz w:val="18"/>
      <w:szCs w:val="24"/>
      <w:lang w:val="de-AT" w:bidi="en-US"/>
    </w:rPr>
  </w:style>
  <w:style w:type="character" w:customStyle="1" w:styleId="FootnoteTextChar">
    <w:name w:val="Footnote Text Char"/>
    <w:aliases w:val="EC Fußnotentext Char"/>
    <w:basedOn w:val="DefaultParagraphFont"/>
    <w:link w:val="FootnoteText"/>
    <w:rsid w:val="003307B7"/>
    <w:rPr>
      <w:rFonts w:eastAsiaTheme="minorEastAsia"/>
      <w:color w:val="5A5A5A" w:themeColor="text1" w:themeTint="A5"/>
      <w:sz w:val="18"/>
      <w:szCs w:val="24"/>
      <w:lang w:val="de-AT" w:bidi="en-US"/>
    </w:rPr>
  </w:style>
  <w:style w:type="character" w:styleId="FootnoteReference">
    <w:name w:val="footnote reference"/>
    <w:aliases w:val="EC Fußnotenzeichen"/>
    <w:basedOn w:val="DefaultParagraphFont"/>
    <w:uiPriority w:val="99"/>
    <w:unhideWhenUsed/>
    <w:rsid w:val="003307B7"/>
    <w:rPr>
      <w:b w:val="0"/>
      <w:i w:val="0"/>
      <w:sz w:val="16"/>
      <w:vertAlign w:val="superscript"/>
    </w:rPr>
  </w:style>
  <w:style w:type="character" w:customStyle="1" w:styleId="ECStandardParagraphLeftChar">
    <w:name w:val="EC Standard Paragraph Left Char"/>
    <w:basedOn w:val="DefaultParagraphFont"/>
    <w:link w:val="ECStandardParagraphLeft"/>
    <w:rsid w:val="003307B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C475-5BEA-40C0-857A-281ED703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2085</Words>
  <Characters>11889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</dc:creator>
  <cp:keywords/>
  <dc:description/>
  <cp:lastModifiedBy>simmons</cp:lastModifiedBy>
  <cp:revision>2</cp:revision>
  <dcterms:created xsi:type="dcterms:W3CDTF">2021-07-02T07:04:00Z</dcterms:created>
  <dcterms:modified xsi:type="dcterms:W3CDTF">2021-07-02T07:04:00Z</dcterms:modified>
</cp:coreProperties>
</file>