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BF" w:rsidRPr="00F86697" w:rsidRDefault="001D0ABF" w:rsidP="0019464E">
      <w:pPr>
        <w:adjustRightInd w:val="0"/>
        <w:snapToGrid w:val="0"/>
        <w:spacing w:line="480" w:lineRule="auto"/>
        <w:jc w:val="center"/>
        <w:rPr>
          <w:rFonts w:ascii="Times New Roman" w:hAnsi="Times New Roman" w:cs="Times New Roman"/>
          <w:b/>
          <w:sz w:val="32"/>
        </w:rPr>
      </w:pPr>
      <w:r w:rsidRPr="00F86697">
        <w:rPr>
          <w:rFonts w:ascii="Times New Roman" w:hAnsi="Times New Roman" w:cs="Times New Roman"/>
          <w:b/>
          <w:sz w:val="32"/>
        </w:rPr>
        <w:t>S</w:t>
      </w:r>
      <w:r w:rsidR="0023031A">
        <w:rPr>
          <w:rFonts w:ascii="Times New Roman" w:hAnsi="Times New Roman" w:cs="Times New Roman" w:hint="eastAsia"/>
          <w:b/>
          <w:sz w:val="32"/>
        </w:rPr>
        <w:t>upple</w:t>
      </w:r>
      <w:r w:rsidR="0023031A">
        <w:rPr>
          <w:rFonts w:ascii="Times New Roman" w:hAnsi="Times New Roman" w:cs="Times New Roman"/>
          <w:b/>
          <w:sz w:val="32"/>
        </w:rPr>
        <w:t>mentary Materials</w:t>
      </w:r>
    </w:p>
    <w:p w:rsidR="00FB4715" w:rsidRPr="00E977AD" w:rsidRDefault="0092707B" w:rsidP="0019464E">
      <w:pPr>
        <w:adjustRightInd w:val="0"/>
        <w:snapToGrid w:val="0"/>
        <w:spacing w:line="480" w:lineRule="auto"/>
        <w:jc w:val="left"/>
        <w:rPr>
          <w:rFonts w:ascii="Times New Roman" w:hAnsi="Times New Roman" w:cs="Times New Roman"/>
          <w:b/>
          <w:sz w:val="28"/>
          <w:szCs w:val="28"/>
        </w:rPr>
      </w:pPr>
      <w:r>
        <w:rPr>
          <w:rFonts w:ascii="Times New Roman" w:hAnsi="Times New Roman" w:cs="Times New Roman"/>
          <w:b/>
          <w:sz w:val="28"/>
          <w:szCs w:val="28"/>
        </w:rPr>
        <w:t>Discovery of significant emission of halogenated polycyclic aromatic hydrocarbons from secondary zinc smelting</w:t>
      </w:r>
    </w:p>
    <w:p w:rsidR="00FB4715" w:rsidRPr="00E977AD" w:rsidRDefault="00FB4715" w:rsidP="0019464E">
      <w:pPr>
        <w:autoSpaceDE w:val="0"/>
        <w:autoSpaceDN w:val="0"/>
        <w:adjustRightInd w:val="0"/>
        <w:snapToGrid w:val="0"/>
        <w:spacing w:line="480" w:lineRule="auto"/>
        <w:rPr>
          <w:rFonts w:ascii="Times New Roman" w:hAnsi="Times New Roman" w:cs="Times New Roman"/>
          <w:kern w:val="0"/>
          <w:sz w:val="24"/>
          <w:szCs w:val="24"/>
        </w:rPr>
      </w:pPr>
      <w:r w:rsidRPr="00E977AD">
        <w:rPr>
          <w:rFonts w:ascii="Times New Roman" w:hAnsi="Times New Roman" w:cs="Times New Roman"/>
          <w:kern w:val="0"/>
          <w:sz w:val="24"/>
          <w:szCs w:val="24"/>
        </w:rPr>
        <w:t>Yuanping Yang</w:t>
      </w:r>
      <w:r w:rsidRPr="00E977AD">
        <w:rPr>
          <w:rFonts w:ascii="Times New Roman" w:hAnsi="Times New Roman" w:cs="Times New Roman"/>
          <w:kern w:val="0"/>
          <w:sz w:val="24"/>
          <w:szCs w:val="24"/>
          <w:vertAlign w:val="superscript"/>
        </w:rPr>
        <w:t xml:space="preserve"> a,b</w:t>
      </w:r>
      <w:r w:rsidRPr="00E977AD">
        <w:rPr>
          <w:rFonts w:ascii="Times New Roman" w:hAnsi="Times New Roman" w:cs="Times New Roman"/>
          <w:kern w:val="0"/>
          <w:sz w:val="24"/>
          <w:szCs w:val="24"/>
        </w:rPr>
        <w:t xml:space="preserve">, Lili Yang </w:t>
      </w:r>
      <w:r w:rsidRPr="00E977AD">
        <w:rPr>
          <w:rFonts w:ascii="Times New Roman" w:hAnsi="Times New Roman" w:cs="Times New Roman"/>
          <w:kern w:val="0"/>
          <w:sz w:val="24"/>
          <w:szCs w:val="24"/>
          <w:vertAlign w:val="superscript"/>
        </w:rPr>
        <w:t>a,b,*</w:t>
      </w:r>
      <w:r w:rsidRPr="00E977AD">
        <w:rPr>
          <w:rFonts w:ascii="Times New Roman" w:hAnsi="Times New Roman" w:cs="Times New Roman"/>
          <w:kern w:val="0"/>
          <w:sz w:val="24"/>
          <w:szCs w:val="24"/>
        </w:rPr>
        <w:t xml:space="preserve">, Guorui Liu </w:t>
      </w:r>
      <w:r w:rsidRPr="00E977AD">
        <w:rPr>
          <w:rFonts w:ascii="Times New Roman" w:hAnsi="Times New Roman" w:cs="Times New Roman"/>
          <w:kern w:val="0"/>
          <w:sz w:val="24"/>
          <w:szCs w:val="24"/>
          <w:vertAlign w:val="superscript"/>
        </w:rPr>
        <w:t>a,b,c</w:t>
      </w:r>
      <w:r w:rsidRPr="00E977AD">
        <w:rPr>
          <w:rFonts w:ascii="Times New Roman" w:hAnsi="Times New Roman" w:cs="Times New Roman"/>
          <w:kern w:val="0"/>
          <w:sz w:val="24"/>
          <w:szCs w:val="24"/>
        </w:rPr>
        <w:t xml:space="preserve">, Minghui Zheng </w:t>
      </w:r>
      <w:r w:rsidRPr="00E977AD">
        <w:rPr>
          <w:rFonts w:ascii="Times New Roman" w:hAnsi="Times New Roman" w:cs="Times New Roman"/>
          <w:kern w:val="0"/>
          <w:sz w:val="24"/>
          <w:szCs w:val="24"/>
          <w:vertAlign w:val="superscript"/>
        </w:rPr>
        <w:t>a,b</w:t>
      </w:r>
      <w:r>
        <w:rPr>
          <w:rFonts w:ascii="Times New Roman" w:hAnsi="Times New Roman" w:cs="Times New Roman"/>
          <w:kern w:val="0"/>
          <w:sz w:val="24"/>
          <w:szCs w:val="24"/>
          <w:vertAlign w:val="superscript"/>
        </w:rPr>
        <w:t>,c</w:t>
      </w:r>
      <w:r w:rsidRPr="00E977AD">
        <w:rPr>
          <w:rFonts w:ascii="Times New Roman" w:hAnsi="Times New Roman" w:cs="Times New Roman"/>
          <w:kern w:val="0"/>
          <w:sz w:val="24"/>
          <w:szCs w:val="24"/>
        </w:rPr>
        <w:t>, Qiuting Yang</w:t>
      </w:r>
      <w:r w:rsidRPr="00E977AD">
        <w:rPr>
          <w:rFonts w:ascii="Times New Roman" w:hAnsi="Times New Roman" w:cs="Times New Roman"/>
          <w:kern w:val="0"/>
          <w:sz w:val="24"/>
          <w:szCs w:val="24"/>
          <w:vertAlign w:val="superscript"/>
        </w:rPr>
        <w:t xml:space="preserve"> a,b</w:t>
      </w:r>
      <w:r w:rsidRPr="00E977AD">
        <w:rPr>
          <w:rFonts w:ascii="Times New Roman" w:hAnsi="Times New Roman" w:cs="Times New Roman"/>
          <w:kern w:val="0"/>
          <w:sz w:val="24"/>
          <w:szCs w:val="24"/>
        </w:rPr>
        <w:t>, Shuting Liu</w:t>
      </w:r>
      <w:r w:rsidRPr="00FA63B3">
        <w:rPr>
          <w:rFonts w:ascii="Times New Roman" w:hAnsi="Times New Roman" w:cs="Times New Roman"/>
          <w:kern w:val="0"/>
          <w:sz w:val="24"/>
          <w:szCs w:val="24"/>
          <w:vertAlign w:val="superscript"/>
        </w:rPr>
        <w:t xml:space="preserve"> </w:t>
      </w:r>
      <w:r w:rsidRPr="00E977AD">
        <w:rPr>
          <w:rFonts w:ascii="Times New Roman" w:hAnsi="Times New Roman" w:cs="Times New Roman"/>
          <w:kern w:val="0"/>
          <w:sz w:val="24"/>
          <w:szCs w:val="24"/>
          <w:vertAlign w:val="superscript"/>
        </w:rPr>
        <w:t>a,b</w:t>
      </w:r>
    </w:p>
    <w:p w:rsidR="00FB4715" w:rsidRPr="00E977AD" w:rsidRDefault="00FB4715" w:rsidP="0019464E">
      <w:pPr>
        <w:autoSpaceDE w:val="0"/>
        <w:autoSpaceDN w:val="0"/>
        <w:adjustRightInd w:val="0"/>
        <w:snapToGrid w:val="0"/>
        <w:spacing w:line="480" w:lineRule="auto"/>
        <w:rPr>
          <w:rFonts w:ascii="Times New Roman" w:hAnsi="Times New Roman" w:cs="Times New Roman"/>
          <w:kern w:val="0"/>
          <w:sz w:val="24"/>
          <w:szCs w:val="24"/>
        </w:rPr>
      </w:pPr>
      <w:r w:rsidRPr="00E977AD">
        <w:rPr>
          <w:rFonts w:ascii="Times New Roman" w:hAnsi="Times New Roman" w:cs="Times New Roman"/>
          <w:kern w:val="0"/>
          <w:sz w:val="24"/>
          <w:szCs w:val="24"/>
          <w:vertAlign w:val="superscript"/>
        </w:rPr>
        <w:t>a</w:t>
      </w:r>
      <w:r w:rsidRPr="00E977AD">
        <w:rPr>
          <w:rFonts w:ascii="Times New Roman" w:hAnsi="Times New Roman" w:cs="Times New Roman"/>
          <w:kern w:val="0"/>
          <w:sz w:val="24"/>
          <w:szCs w:val="24"/>
        </w:rPr>
        <w:t xml:space="preserve"> State Key Laboratory of Environmental Chemistry and Ecotoxicology, Research Center for Eco-Environmental Sciences, Chinese Academy of Sciences, Beijing, 100085, China</w:t>
      </w:r>
    </w:p>
    <w:p w:rsidR="00FB4715" w:rsidRPr="00E977AD" w:rsidRDefault="00FB4715" w:rsidP="0019464E">
      <w:pPr>
        <w:autoSpaceDE w:val="0"/>
        <w:autoSpaceDN w:val="0"/>
        <w:adjustRightInd w:val="0"/>
        <w:snapToGrid w:val="0"/>
        <w:spacing w:line="480" w:lineRule="auto"/>
        <w:rPr>
          <w:rFonts w:ascii="Times New Roman" w:hAnsi="Times New Roman" w:cs="Times New Roman"/>
          <w:kern w:val="0"/>
          <w:sz w:val="24"/>
          <w:szCs w:val="24"/>
        </w:rPr>
      </w:pPr>
      <w:r w:rsidRPr="00E977AD">
        <w:rPr>
          <w:rFonts w:ascii="Times New Roman" w:hAnsi="Times New Roman" w:cs="Times New Roman"/>
          <w:kern w:val="0"/>
          <w:sz w:val="24"/>
          <w:szCs w:val="24"/>
          <w:vertAlign w:val="superscript"/>
        </w:rPr>
        <w:t>b</w:t>
      </w:r>
      <w:r w:rsidRPr="00E977AD">
        <w:rPr>
          <w:rFonts w:ascii="Times New Roman" w:hAnsi="Times New Roman" w:cs="Times New Roman"/>
          <w:kern w:val="0"/>
          <w:sz w:val="24"/>
          <w:szCs w:val="24"/>
        </w:rPr>
        <w:t xml:space="preserve"> College of Resources and Environment, University of Chinese Academy of Sciences, Beijing, 100049, China</w:t>
      </w:r>
    </w:p>
    <w:p w:rsidR="00FB4715" w:rsidRPr="00E977AD" w:rsidRDefault="00FB4715" w:rsidP="0019464E">
      <w:pPr>
        <w:pStyle w:val="a4"/>
        <w:adjustRightInd w:val="0"/>
        <w:snapToGrid w:val="0"/>
        <w:spacing w:before="0" w:beforeAutospacing="0" w:after="0" w:afterAutospacing="0" w:line="480" w:lineRule="auto"/>
        <w:jc w:val="both"/>
        <w:rPr>
          <w:rFonts w:ascii="Times New Roman" w:hAnsi="Times New Roman" w:cs="Times New Roman"/>
          <w:kern w:val="2"/>
          <w:sz w:val="24"/>
          <w:szCs w:val="24"/>
        </w:rPr>
      </w:pPr>
      <w:r w:rsidRPr="00E977AD">
        <w:rPr>
          <w:rFonts w:ascii="Times New Roman" w:hAnsi="Times New Roman" w:cs="Times New Roman"/>
          <w:kern w:val="2"/>
          <w:sz w:val="24"/>
          <w:szCs w:val="24"/>
          <w:vertAlign w:val="superscript"/>
        </w:rPr>
        <w:t>c</w:t>
      </w:r>
      <w:r w:rsidRPr="00E977AD">
        <w:rPr>
          <w:rFonts w:ascii="Times New Roman" w:hAnsi="Times New Roman" w:cs="Times New Roman"/>
          <w:kern w:val="2"/>
          <w:sz w:val="24"/>
          <w:szCs w:val="24"/>
        </w:rPr>
        <w:t xml:space="preserve"> School of Environment, Hangzhou Institute for Advanced Study, UCAS, Hangzhou </w:t>
      </w:r>
      <w:r w:rsidRPr="00E977AD">
        <w:rPr>
          <w:rFonts w:ascii="Times New Roman" w:hAnsi="Times New Roman" w:cs="Times New Roman"/>
          <w:sz w:val="24"/>
          <w:szCs w:val="24"/>
        </w:rPr>
        <w:t>310000</w:t>
      </w:r>
      <w:r w:rsidRPr="00E977AD">
        <w:rPr>
          <w:rFonts w:ascii="Times New Roman" w:hAnsi="Times New Roman" w:cs="Times New Roman"/>
          <w:kern w:val="2"/>
          <w:sz w:val="24"/>
          <w:szCs w:val="24"/>
        </w:rPr>
        <w:t>, China</w:t>
      </w:r>
    </w:p>
    <w:p w:rsidR="00FB4715" w:rsidRPr="00E977AD" w:rsidRDefault="00FB4715" w:rsidP="0019464E">
      <w:pPr>
        <w:adjustRightInd w:val="0"/>
        <w:snapToGrid w:val="0"/>
        <w:spacing w:line="480" w:lineRule="auto"/>
        <w:rPr>
          <w:rFonts w:ascii="Times New Roman" w:hAnsi="Times New Roman" w:cs="Times New Roman"/>
          <w:kern w:val="0"/>
          <w:sz w:val="24"/>
          <w:szCs w:val="24"/>
        </w:rPr>
      </w:pPr>
      <w:r w:rsidRPr="00E977AD">
        <w:rPr>
          <w:rFonts w:ascii="Times New Roman" w:hAnsi="Times New Roman" w:cs="Times New Roman"/>
          <w:kern w:val="0"/>
          <w:sz w:val="24"/>
          <w:szCs w:val="24"/>
          <w:vertAlign w:val="superscript"/>
        </w:rPr>
        <w:t>*</w:t>
      </w:r>
      <w:r w:rsidRPr="00E977AD">
        <w:rPr>
          <w:rFonts w:ascii="Times New Roman" w:hAnsi="Times New Roman" w:cs="Times New Roman"/>
          <w:kern w:val="0"/>
          <w:sz w:val="24"/>
          <w:szCs w:val="24"/>
        </w:rPr>
        <w:t xml:space="preserve"> Corresponding author:</w:t>
      </w:r>
      <w:r w:rsidRPr="00E977AD">
        <w:rPr>
          <w:rFonts w:ascii="Times New Roman" w:eastAsia="宋体" w:hAnsi="Times New Roman" w:cs="Times New Roman"/>
          <w:sz w:val="24"/>
          <w:szCs w:val="24"/>
        </w:rPr>
        <w:t xml:space="preserve"> Tel: +86-10-6284-9356</w:t>
      </w:r>
    </w:p>
    <w:p w:rsidR="00FB4715" w:rsidRPr="007F339D" w:rsidRDefault="00FB4715" w:rsidP="0019464E">
      <w:pPr>
        <w:adjustRightInd w:val="0"/>
        <w:snapToGrid w:val="0"/>
        <w:spacing w:line="480" w:lineRule="auto"/>
        <w:rPr>
          <w:rFonts w:ascii="Times New Roman" w:hAnsi="Times New Roman" w:cs="Times New Roman"/>
          <w:color w:val="0563C1" w:themeColor="hyperlink"/>
          <w:kern w:val="0"/>
          <w:sz w:val="24"/>
          <w:szCs w:val="24"/>
          <w:u w:val="single"/>
        </w:rPr>
      </w:pPr>
      <w:r w:rsidRPr="00E977AD">
        <w:rPr>
          <w:rFonts w:ascii="Times New Roman" w:hAnsi="Times New Roman" w:cs="Times New Roman"/>
          <w:kern w:val="0"/>
          <w:sz w:val="24"/>
          <w:szCs w:val="24"/>
        </w:rPr>
        <w:t>E</w:t>
      </w:r>
      <w:r w:rsidRPr="007F339D">
        <w:rPr>
          <w:rFonts w:ascii="Times New Roman" w:hAnsi="Times New Roman" w:cs="Times New Roman"/>
          <w:kern w:val="0"/>
          <w:sz w:val="24"/>
          <w:szCs w:val="24"/>
        </w:rPr>
        <w:t xml:space="preserve">-mail: </w:t>
      </w:r>
      <w:r w:rsidRPr="007F339D">
        <w:rPr>
          <w:rStyle w:val="a3"/>
          <w:rFonts w:ascii="Times New Roman" w:hAnsi="Times New Roman" w:cs="Times New Roman"/>
          <w:kern w:val="0"/>
          <w:sz w:val="24"/>
          <w:szCs w:val="24"/>
        </w:rPr>
        <w:t>llyang@rcees.ac.cn</w:t>
      </w:r>
    </w:p>
    <w:p w:rsidR="00C8662D" w:rsidRPr="007F339D" w:rsidRDefault="00C8662D" w:rsidP="00C8662D">
      <w:pPr>
        <w:adjustRightInd w:val="0"/>
        <w:snapToGrid w:val="0"/>
        <w:spacing w:line="480" w:lineRule="auto"/>
        <w:rPr>
          <w:rFonts w:ascii="Times New Roman" w:hAnsi="Times New Roman" w:cs="Times New Roman"/>
          <w:color w:val="0563C1" w:themeColor="hyperlink"/>
          <w:kern w:val="0"/>
          <w:sz w:val="24"/>
          <w:szCs w:val="24"/>
          <w:u w:val="single"/>
        </w:rPr>
      </w:pPr>
    </w:p>
    <w:p w:rsidR="00D612F5" w:rsidRPr="007F339D" w:rsidRDefault="00D612F5">
      <w:pPr>
        <w:widowControl/>
        <w:jc w:val="left"/>
        <w:rPr>
          <w:rFonts w:ascii="Times New Roman" w:hAnsi="Times New Roman" w:cs="Times New Roman"/>
          <w:sz w:val="24"/>
          <w:szCs w:val="24"/>
        </w:rPr>
      </w:pPr>
    </w:p>
    <w:p w:rsidR="001D0ABF" w:rsidRPr="007F339D" w:rsidRDefault="001D0ABF">
      <w:pPr>
        <w:widowControl/>
        <w:jc w:val="left"/>
        <w:rPr>
          <w:rFonts w:ascii="Times New Roman" w:hAnsi="Times New Roman" w:cs="Times New Roman"/>
          <w:sz w:val="24"/>
          <w:szCs w:val="24"/>
        </w:rPr>
      </w:pPr>
    </w:p>
    <w:p w:rsidR="001D0ABF" w:rsidRPr="007F339D" w:rsidRDefault="001D0ABF" w:rsidP="001D0ABF">
      <w:pPr>
        <w:rPr>
          <w:rFonts w:ascii="Times New Roman" w:hAnsi="Times New Roman" w:cs="Times New Roman"/>
          <w:b/>
          <w:bCs/>
          <w:color w:val="000000" w:themeColor="text1"/>
          <w:sz w:val="24"/>
          <w:szCs w:val="24"/>
        </w:rPr>
      </w:pPr>
      <w:r w:rsidRPr="007F339D">
        <w:rPr>
          <w:rFonts w:ascii="Times New Roman" w:hAnsi="Times New Roman" w:cs="Times New Roman"/>
          <w:bCs/>
          <w:color w:val="000000" w:themeColor="text1"/>
          <w:sz w:val="24"/>
          <w:szCs w:val="24"/>
        </w:rPr>
        <w:t>Journal:</w:t>
      </w:r>
      <w:r w:rsidRPr="007F339D">
        <w:rPr>
          <w:rFonts w:ascii="Times New Roman" w:hAnsi="Times New Roman" w:cs="Times New Roman"/>
          <w:b/>
          <w:bCs/>
          <w:color w:val="000000" w:themeColor="text1"/>
          <w:sz w:val="24"/>
          <w:szCs w:val="24"/>
        </w:rPr>
        <w:t xml:space="preserve"> </w:t>
      </w:r>
      <w:r w:rsidR="00DB3AC0">
        <w:rPr>
          <w:rFonts w:ascii="Times New Roman" w:hAnsi="Times New Roman" w:cs="Times New Roman"/>
          <w:bCs/>
          <w:color w:val="000000" w:themeColor="text1"/>
          <w:sz w:val="24"/>
          <w:szCs w:val="24"/>
        </w:rPr>
        <w:t>Environmental Chemistry Letters</w:t>
      </w:r>
      <w:bookmarkStart w:id="0" w:name="_GoBack"/>
      <w:bookmarkEnd w:id="0"/>
    </w:p>
    <w:p w:rsidR="001D0ABF" w:rsidRPr="007F339D" w:rsidRDefault="001D0ABF" w:rsidP="001D0ABF">
      <w:pPr>
        <w:rPr>
          <w:rFonts w:ascii="Times New Roman" w:hAnsi="Times New Roman" w:cs="Times New Roman"/>
          <w:b/>
          <w:bCs/>
          <w:color w:val="000000" w:themeColor="text1"/>
          <w:sz w:val="24"/>
          <w:szCs w:val="24"/>
        </w:rPr>
      </w:pPr>
    </w:p>
    <w:p w:rsidR="001D0ABF" w:rsidRDefault="001D0ABF" w:rsidP="001D0ABF">
      <w:pPr>
        <w:rPr>
          <w:rFonts w:ascii="Times New Roman" w:hAnsi="Times New Roman" w:cs="Times New Roman"/>
          <w:b/>
          <w:bCs/>
          <w:color w:val="000000" w:themeColor="text1"/>
          <w:sz w:val="24"/>
          <w:szCs w:val="24"/>
        </w:rPr>
      </w:pPr>
      <w:r w:rsidRPr="007F339D">
        <w:rPr>
          <w:rFonts w:ascii="Times New Roman" w:hAnsi="Times New Roman" w:cs="Times New Roman"/>
          <w:b/>
          <w:bCs/>
          <w:color w:val="000000" w:themeColor="text1"/>
          <w:sz w:val="24"/>
          <w:szCs w:val="24"/>
        </w:rPr>
        <w:t>Contents:</w:t>
      </w:r>
    </w:p>
    <w:p w:rsidR="00F12A03" w:rsidRPr="007F339D" w:rsidRDefault="00F12A03" w:rsidP="001D0ABF">
      <w:pPr>
        <w:rPr>
          <w:rFonts w:ascii="Times New Roman" w:hAnsi="Times New Roman" w:cs="Times New Roman"/>
          <w:b/>
          <w:bCs/>
          <w:color w:val="000000" w:themeColor="text1"/>
          <w:sz w:val="24"/>
          <w:szCs w:val="24"/>
        </w:rPr>
      </w:pPr>
      <w:r w:rsidRPr="00F12A03">
        <w:rPr>
          <w:rFonts w:ascii="Times New Roman" w:hAnsi="Times New Roman" w:cs="Times New Roman"/>
          <w:b/>
          <w:bCs/>
          <w:color w:val="000000" w:themeColor="text1"/>
          <w:sz w:val="24"/>
          <w:szCs w:val="24"/>
        </w:rPr>
        <w:t>Analysis</w:t>
      </w:r>
      <w:r>
        <w:rPr>
          <w:rFonts w:ascii="Times New Roman" w:hAnsi="Times New Roman" w:cs="Times New Roman"/>
          <w:b/>
          <w:bCs/>
          <w:color w:val="000000" w:themeColor="text1"/>
          <w:sz w:val="24"/>
          <w:szCs w:val="24"/>
        </w:rPr>
        <w:t xml:space="preserve"> Methods of</w:t>
      </w:r>
      <w:r w:rsidRPr="00F12A03">
        <w:rPr>
          <w:rFonts w:ascii="Times New Roman" w:hAnsi="Times New Roman" w:cs="Times New Roman"/>
          <w:b/>
          <w:bCs/>
          <w:color w:val="000000" w:themeColor="text1"/>
          <w:sz w:val="24"/>
          <w:szCs w:val="24"/>
        </w:rPr>
        <w:t xml:space="preserve"> Cl/Br-PAH in Stack Gas Samples from SeZn Plants</w:t>
      </w:r>
      <w:r w:rsidR="009F632F">
        <w:rPr>
          <w:rFonts w:ascii="Times New Roman" w:hAnsi="Times New Roman" w:cs="Times New Roman"/>
          <w:b/>
          <w:bCs/>
          <w:color w:val="000000" w:themeColor="text1"/>
          <w:sz w:val="24"/>
          <w:szCs w:val="24"/>
        </w:rPr>
        <w:t>.</w:t>
      </w:r>
    </w:p>
    <w:p w:rsidR="001D0ABF" w:rsidRPr="007F339D" w:rsidRDefault="001D0ABF" w:rsidP="001D0ABF">
      <w:pPr>
        <w:spacing w:beforeLines="50" w:before="156" w:line="360" w:lineRule="auto"/>
        <w:ind w:left="482" w:hangingChars="200" w:hanging="482"/>
        <w:rPr>
          <w:rFonts w:ascii="Times New Roman" w:hAnsi="Times New Roman" w:cs="Times New Roman"/>
          <w:bCs/>
          <w:color w:val="000000" w:themeColor="text1"/>
          <w:sz w:val="24"/>
          <w:szCs w:val="24"/>
        </w:rPr>
      </w:pPr>
      <w:r w:rsidRPr="007F339D">
        <w:rPr>
          <w:rFonts w:ascii="Times New Roman" w:hAnsi="Times New Roman" w:cs="Times New Roman"/>
          <w:b/>
          <w:bCs/>
          <w:color w:val="000000" w:themeColor="text1"/>
          <w:sz w:val="24"/>
          <w:szCs w:val="24"/>
        </w:rPr>
        <w:t>Table S1</w:t>
      </w:r>
      <w:r w:rsidRPr="007F339D">
        <w:rPr>
          <w:rFonts w:ascii="Times New Roman" w:hAnsi="Times New Roman" w:cs="Times New Roman"/>
          <w:bCs/>
          <w:color w:val="000000" w:themeColor="text1"/>
          <w:sz w:val="24"/>
          <w:szCs w:val="24"/>
        </w:rPr>
        <w:t xml:space="preserve">. Emission factors of Cl-PAHs and Br-PAHs in stack gas samples from various secondary nonferrous metal smelting processes </w:t>
      </w:r>
    </w:p>
    <w:p w:rsidR="001D0ABF" w:rsidRPr="007F339D" w:rsidRDefault="001D0ABF" w:rsidP="001D0ABF">
      <w:pPr>
        <w:spacing w:beforeLines="50" w:before="156" w:line="360" w:lineRule="auto"/>
        <w:ind w:left="482" w:hangingChars="200" w:hanging="482"/>
        <w:rPr>
          <w:rFonts w:ascii="Times New Roman" w:hAnsi="Times New Roman" w:cs="Times New Roman"/>
          <w:bCs/>
          <w:color w:val="000000" w:themeColor="text1"/>
          <w:sz w:val="24"/>
          <w:szCs w:val="24"/>
        </w:rPr>
      </w:pPr>
      <w:r w:rsidRPr="007F339D">
        <w:rPr>
          <w:rFonts w:ascii="Times New Roman" w:hAnsi="Times New Roman" w:cs="Times New Roman"/>
          <w:b/>
          <w:bCs/>
          <w:color w:val="000000" w:themeColor="text1"/>
          <w:sz w:val="24"/>
          <w:szCs w:val="24"/>
        </w:rPr>
        <w:t>Figure S1</w:t>
      </w:r>
      <w:r w:rsidRPr="007F339D">
        <w:rPr>
          <w:rFonts w:ascii="Times New Roman" w:hAnsi="Times New Roman" w:cs="Times New Roman"/>
          <w:bCs/>
          <w:color w:val="000000" w:themeColor="text1"/>
          <w:sz w:val="24"/>
          <w:szCs w:val="24"/>
        </w:rPr>
        <w:t xml:space="preserve">. (a) Cl-PAHs TEQ concentration and (b) Br-PAHs concentrations in the stack gas from different secondary nonferrous metal smelting processes including secondary aluminum smelting (SeAl), secondary copper smelting (SeCu), secondary lead smelting (SePb) and secondary zinc smelting (SeZn). </w:t>
      </w:r>
    </w:p>
    <w:p w:rsidR="00F12A03" w:rsidRDefault="00F12A03">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12A03" w:rsidRDefault="00267415">
      <w:pPr>
        <w:widowControl/>
        <w:jc w:val="left"/>
        <w:rPr>
          <w:rFonts w:ascii="Times New Roman" w:hAnsi="Times New Roman" w:cs="Times New Roman"/>
          <w:sz w:val="24"/>
          <w:szCs w:val="24"/>
        </w:rPr>
      </w:pPr>
      <w:r w:rsidRPr="00F12A03">
        <w:rPr>
          <w:rFonts w:ascii="Times New Roman" w:hAnsi="Times New Roman" w:cs="Times New Roman"/>
          <w:b/>
          <w:bCs/>
          <w:color w:val="000000" w:themeColor="text1"/>
          <w:sz w:val="24"/>
          <w:szCs w:val="24"/>
        </w:rPr>
        <w:lastRenderedPageBreak/>
        <w:t>Analysis</w:t>
      </w:r>
      <w:r>
        <w:rPr>
          <w:rFonts w:ascii="Times New Roman" w:hAnsi="Times New Roman" w:cs="Times New Roman"/>
          <w:b/>
          <w:bCs/>
          <w:color w:val="000000" w:themeColor="text1"/>
          <w:sz w:val="24"/>
          <w:szCs w:val="24"/>
        </w:rPr>
        <w:t xml:space="preserve"> Methods of</w:t>
      </w:r>
      <w:r w:rsidRPr="00F12A03">
        <w:rPr>
          <w:rFonts w:ascii="Times New Roman" w:hAnsi="Times New Roman" w:cs="Times New Roman"/>
          <w:b/>
          <w:bCs/>
          <w:color w:val="000000" w:themeColor="text1"/>
          <w:sz w:val="24"/>
          <w:szCs w:val="24"/>
        </w:rPr>
        <w:t xml:space="preserve"> Cl/Br-PAH in Stack Gas Samples from SeZn Plants</w:t>
      </w:r>
    </w:p>
    <w:p w:rsidR="00F12A03" w:rsidRDefault="00267415" w:rsidP="00267415">
      <w:pPr>
        <w:widowControl/>
        <w:spacing w:line="360" w:lineRule="auto"/>
        <w:ind w:firstLineChars="200" w:firstLine="480"/>
        <w:rPr>
          <w:rFonts w:ascii="Times New Roman" w:hAnsi="Times New Roman" w:cs="Times New Roman"/>
          <w:sz w:val="24"/>
          <w:szCs w:val="24"/>
        </w:rPr>
      </w:pPr>
      <w:r w:rsidRPr="00267415">
        <w:rPr>
          <w:rFonts w:ascii="Times New Roman" w:hAnsi="Times New Roman" w:cs="Times New Roman"/>
          <w:sz w:val="24"/>
          <w:szCs w:val="24"/>
        </w:rPr>
        <w:t xml:space="preserve">Before sampling, isotopic internal standards of Cl/Br-PAHs including 13C6-1-chloropyrene, </w:t>
      </w:r>
      <w:r w:rsidRPr="007B20C4">
        <w:rPr>
          <w:rFonts w:ascii="Times New Roman" w:hAnsi="Times New Roman" w:cs="Times New Roman"/>
          <w:sz w:val="24"/>
          <w:szCs w:val="24"/>
          <w:vertAlign w:val="superscript"/>
        </w:rPr>
        <w:t>13</w:t>
      </w:r>
      <w:r w:rsidRPr="00267415">
        <w:rPr>
          <w:rFonts w:ascii="Times New Roman" w:hAnsi="Times New Roman" w:cs="Times New Roman"/>
          <w:sz w:val="24"/>
          <w:szCs w:val="24"/>
        </w:rPr>
        <w:t>C</w:t>
      </w:r>
      <w:r w:rsidRPr="007B20C4">
        <w:rPr>
          <w:rFonts w:ascii="Times New Roman" w:hAnsi="Times New Roman" w:cs="Times New Roman"/>
          <w:sz w:val="24"/>
          <w:szCs w:val="24"/>
          <w:vertAlign w:val="subscript"/>
        </w:rPr>
        <w:t>6</w:t>
      </w:r>
      <w:r w:rsidRPr="00267415">
        <w:rPr>
          <w:rFonts w:ascii="Times New Roman" w:hAnsi="Times New Roman" w:cs="Times New Roman"/>
          <w:sz w:val="24"/>
          <w:szCs w:val="24"/>
        </w:rPr>
        <w:t xml:space="preserve">-7-chlorobenz[a]anthracene, </w:t>
      </w:r>
      <w:r w:rsidRPr="007B20C4">
        <w:rPr>
          <w:rFonts w:ascii="Times New Roman" w:hAnsi="Times New Roman" w:cs="Times New Roman"/>
          <w:sz w:val="24"/>
          <w:szCs w:val="24"/>
          <w:vertAlign w:val="superscript"/>
        </w:rPr>
        <w:t>13</w:t>
      </w:r>
      <w:r w:rsidRPr="00267415">
        <w:rPr>
          <w:rFonts w:ascii="Times New Roman" w:hAnsi="Times New Roman" w:cs="Times New Roman"/>
          <w:sz w:val="24"/>
          <w:szCs w:val="24"/>
        </w:rPr>
        <w:t>C</w:t>
      </w:r>
      <w:r w:rsidRPr="007B20C4">
        <w:rPr>
          <w:rFonts w:ascii="Times New Roman" w:hAnsi="Times New Roman" w:cs="Times New Roman"/>
          <w:sz w:val="24"/>
          <w:szCs w:val="24"/>
          <w:vertAlign w:val="subscript"/>
        </w:rPr>
        <w:t>6</w:t>
      </w:r>
      <w:r w:rsidRPr="00267415">
        <w:rPr>
          <w:rFonts w:ascii="Times New Roman" w:hAnsi="Times New Roman" w:cs="Times New Roman"/>
          <w:sz w:val="24"/>
          <w:szCs w:val="24"/>
        </w:rPr>
        <w:t xml:space="preserve">-7-bromobenz[a]anthracene (Cambridge Isotope Laboratories, Tewksbury, MA, USA), </w:t>
      </w:r>
      <w:r w:rsidRPr="007B20C4">
        <w:rPr>
          <w:rFonts w:ascii="Times New Roman" w:hAnsi="Times New Roman" w:cs="Times New Roman"/>
          <w:sz w:val="24"/>
          <w:szCs w:val="24"/>
          <w:vertAlign w:val="superscript"/>
        </w:rPr>
        <w:t>13</w:t>
      </w:r>
      <w:r w:rsidRPr="00267415">
        <w:rPr>
          <w:rFonts w:ascii="Times New Roman" w:hAnsi="Times New Roman" w:cs="Times New Roman"/>
          <w:sz w:val="24"/>
          <w:szCs w:val="24"/>
        </w:rPr>
        <w:t>C</w:t>
      </w:r>
      <w:r w:rsidRPr="007B20C4">
        <w:rPr>
          <w:rFonts w:ascii="Times New Roman" w:hAnsi="Times New Roman" w:cs="Times New Roman"/>
          <w:sz w:val="24"/>
          <w:szCs w:val="24"/>
          <w:vertAlign w:val="subscript"/>
        </w:rPr>
        <w:t>6</w:t>
      </w:r>
      <w:r w:rsidRPr="00267415">
        <w:rPr>
          <w:rFonts w:ascii="Times New Roman" w:hAnsi="Times New Roman" w:cs="Times New Roman"/>
          <w:sz w:val="24"/>
          <w:szCs w:val="24"/>
        </w:rPr>
        <w:t xml:space="preserve">-9-chlorophenanthrene, </w:t>
      </w:r>
      <w:r w:rsidRPr="007B20C4">
        <w:rPr>
          <w:rFonts w:ascii="Times New Roman" w:hAnsi="Times New Roman" w:cs="Times New Roman"/>
          <w:sz w:val="24"/>
          <w:szCs w:val="24"/>
          <w:vertAlign w:val="superscript"/>
        </w:rPr>
        <w:t>13</w:t>
      </w:r>
      <w:r w:rsidRPr="00267415">
        <w:rPr>
          <w:rFonts w:ascii="Times New Roman" w:hAnsi="Times New Roman" w:cs="Times New Roman"/>
          <w:sz w:val="24"/>
          <w:szCs w:val="24"/>
        </w:rPr>
        <w:t>C</w:t>
      </w:r>
      <w:r w:rsidRPr="007B20C4">
        <w:rPr>
          <w:rFonts w:ascii="Times New Roman" w:hAnsi="Times New Roman" w:cs="Times New Roman"/>
          <w:sz w:val="24"/>
          <w:szCs w:val="24"/>
          <w:vertAlign w:val="subscript"/>
        </w:rPr>
        <w:t>6</w:t>
      </w:r>
      <w:r w:rsidRPr="00267415">
        <w:rPr>
          <w:rFonts w:ascii="Times New Roman" w:hAnsi="Times New Roman" w:cs="Times New Roman"/>
          <w:sz w:val="24"/>
          <w:szCs w:val="24"/>
        </w:rPr>
        <w:t>-2-choroanthracene, and 9-bromophenanthrene-d9 (Toronto Research Chemicals, North York, ON, Canada) were added to an adsorbent agent (XAD-2 resin) as sampling markers to evaluate the recovery during sampling. The stack gas collected was wrapped in aluminum foil and sealed in valve bags. Samples were stored in a refrigerator until sample purification and instrumental analysis.</w:t>
      </w:r>
    </w:p>
    <w:p w:rsidR="00F12A03" w:rsidRDefault="00267415" w:rsidP="00267415">
      <w:pPr>
        <w:widowControl/>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 xml:space="preserve">During purification of samples from SeZn industries that contain more organic </w:t>
      </w:r>
      <w:r>
        <w:rPr>
          <w:rFonts w:ascii="Times New Roman" w:eastAsia="宋体" w:hAnsi="Times New Roman" w:cs="Times New Roman"/>
          <w:kern w:val="0"/>
          <w:sz w:val="24"/>
          <w:szCs w:val="24"/>
        </w:rPr>
        <w:t xml:space="preserve">impurities, using only </w:t>
      </w:r>
      <w:r>
        <w:rPr>
          <w:rFonts w:ascii="Times New Roman" w:eastAsia="宋体" w:hAnsi="Times New Roman" w:cs="Times New Roman"/>
          <w:sz w:val="24"/>
          <w:szCs w:val="24"/>
        </w:rPr>
        <w:t xml:space="preserve">activated silica gel column cannot achieve the purification required for analyzing Cl/Br-PAHs at trace levels. </w:t>
      </w:r>
      <w:r>
        <w:rPr>
          <w:rFonts w:ascii="Times New Roman" w:eastAsia="宋体" w:hAnsi="Times New Roman" w:cs="Times New Roman"/>
          <w:kern w:val="0"/>
          <w:sz w:val="24"/>
          <w:szCs w:val="24"/>
        </w:rPr>
        <w:t xml:space="preserve">A gel permeation chromatography column and an inverted activated carbon column were added for sample purification. </w:t>
      </w:r>
      <w:r w:rsidRPr="00267415">
        <w:rPr>
          <w:rFonts w:ascii="Times New Roman" w:hAnsi="Times New Roman" w:cs="Times New Roman"/>
          <w:sz w:val="24"/>
          <w:szCs w:val="24"/>
        </w:rPr>
        <w:t xml:space="preserve">For gel permeation chromatography column purification, 70 mL N-hexane/dichloromethane (1/1, v/v) were used for pre-leaching, and 130 mL N-hexane/dichloromethane (1/1, v/v) were then used as the eluent after loading the samples. The eluent was then concentrated and passed through the activated carbon column for further purification. N-hexane/dichloromethane (60 mL, 4/1, V/V) solution and 100 mL of toluene were used for pre-leaching. After sample loading, 60 mL of N-hexane/dichloromethane (4/1, V/V) solution were used for leaching and the leachate was discarded. Next, the activated carbon column was reversed and eluted with 100 mL toluene. The eluent was then concentrated to approximately 20 µL by rotary evaporator and nitrogen blower, and </w:t>
      </w:r>
      <w:r w:rsidRPr="007B20C4">
        <w:rPr>
          <w:rFonts w:ascii="Times New Roman" w:hAnsi="Times New Roman" w:cs="Times New Roman"/>
          <w:sz w:val="24"/>
          <w:szCs w:val="24"/>
          <w:vertAlign w:val="superscript"/>
        </w:rPr>
        <w:t>13</w:t>
      </w:r>
      <w:r w:rsidRPr="00267415">
        <w:rPr>
          <w:rFonts w:ascii="Times New Roman" w:hAnsi="Times New Roman" w:cs="Times New Roman"/>
          <w:sz w:val="24"/>
          <w:szCs w:val="24"/>
        </w:rPr>
        <w:t>C</w:t>
      </w:r>
      <w:r w:rsidRPr="007B20C4">
        <w:rPr>
          <w:rFonts w:ascii="Times New Roman" w:hAnsi="Times New Roman" w:cs="Times New Roman"/>
          <w:sz w:val="24"/>
          <w:szCs w:val="24"/>
          <w:vertAlign w:val="subscript"/>
        </w:rPr>
        <w:t>6</w:t>
      </w:r>
      <w:r w:rsidRPr="00267415">
        <w:rPr>
          <w:rFonts w:ascii="Times New Roman" w:hAnsi="Times New Roman" w:cs="Times New Roman"/>
          <w:sz w:val="24"/>
          <w:szCs w:val="24"/>
        </w:rPr>
        <w:t>-7,12-diClBenz[a]anthracene (Cambridge Isotope Laboratories) was added as an injection standard for the calculation of recoveries. The determination was conducted on a DB-5MS capillary column (60.0 m × 0.25 mm ID × 0.25 µm, Agilent Technologies, Santa Clara, CA, USA). The</w:t>
      </w:r>
      <w:r w:rsidRPr="00267415">
        <w:rPr>
          <w:rFonts w:ascii="Times New Roman" w:hAnsi="Times New Roman" w:cs="Times New Roman" w:hint="eastAsia"/>
          <w:sz w:val="24"/>
          <w:szCs w:val="24"/>
        </w:rPr>
        <w:t xml:space="preserve"> gas chromatography inlet temperature was 280</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 and the carrier gas was high-purity helium (</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99.999%). The programmed temperature of the column was as follows: initial temperature 50</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 then increase to 175</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 at 25</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C/min, increase to 200</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 at 5</w:t>
      </w:r>
      <w:r w:rsidRPr="00267415">
        <w:rPr>
          <w:rFonts w:ascii="Times New Roman" w:hAnsi="Times New Roman" w:cs="Times New Roman" w:hint="eastAsia"/>
          <w:sz w:val="24"/>
          <w:szCs w:val="24"/>
        </w:rPr>
        <w:t>°</w:t>
      </w:r>
      <w:r w:rsidRPr="00267415">
        <w:rPr>
          <w:rFonts w:ascii="Times New Roman" w:hAnsi="Times New Roman" w:cs="Times New Roman" w:hint="eastAsia"/>
          <w:sz w:val="24"/>
          <w:szCs w:val="24"/>
        </w:rPr>
        <w:t>C/min for 2</w:t>
      </w:r>
      <w:r w:rsidRPr="00267415">
        <w:rPr>
          <w:rFonts w:ascii="Times New Roman" w:hAnsi="Times New Roman" w:cs="Times New Roman"/>
          <w:sz w:val="24"/>
          <w:szCs w:val="24"/>
        </w:rPr>
        <w:t xml:space="preserve">8 min, then </w:t>
      </w:r>
      <w:r w:rsidRPr="00267415">
        <w:rPr>
          <w:rFonts w:ascii="Times New Roman" w:hAnsi="Times New Roman" w:cs="Times New Roman"/>
          <w:sz w:val="24"/>
          <w:szCs w:val="24"/>
        </w:rPr>
        <w:lastRenderedPageBreak/>
        <w:t>increase to 300°C at 8°C/min for 10 min. The ionization mode was electron impact and the electron energy was set to 45 eV.</w:t>
      </w:r>
      <w:r>
        <w:rPr>
          <w:rFonts w:ascii="Times New Roman" w:hAnsi="Times New Roman" w:cs="Times New Roman"/>
          <w:sz w:val="24"/>
          <w:szCs w:val="24"/>
        </w:rPr>
        <w:t xml:space="preserve"> </w:t>
      </w:r>
      <w:r w:rsidR="00F12A03">
        <w:rPr>
          <w:rFonts w:ascii="Times New Roman" w:hAnsi="Times New Roman" w:cs="Times New Roman"/>
          <w:sz w:val="24"/>
          <w:szCs w:val="24"/>
        </w:rPr>
        <w:br w:type="page"/>
      </w:r>
    </w:p>
    <w:p w:rsidR="001D0ABF" w:rsidRPr="007F339D" w:rsidRDefault="001D0ABF" w:rsidP="00267415">
      <w:pPr>
        <w:widowControl/>
        <w:rPr>
          <w:rFonts w:ascii="Times New Roman" w:hAnsi="Times New Roman" w:cs="Times New Roman"/>
          <w:sz w:val="24"/>
          <w:szCs w:val="24"/>
        </w:rPr>
        <w:sectPr w:rsidR="001D0ABF" w:rsidRPr="007F339D">
          <w:pgSz w:w="11906" w:h="16838"/>
          <w:pgMar w:top="1440" w:right="1800" w:bottom="1440" w:left="1800" w:header="851" w:footer="992" w:gutter="0"/>
          <w:cols w:space="425"/>
          <w:docGrid w:type="lines" w:linePitch="312"/>
        </w:sectPr>
      </w:pPr>
    </w:p>
    <w:p w:rsidR="00D612F5" w:rsidRPr="007F339D" w:rsidRDefault="00F41BDB" w:rsidP="00CA1757">
      <w:pPr>
        <w:spacing w:before="120" w:after="120" w:line="360" w:lineRule="auto"/>
        <w:jc w:val="left"/>
        <w:rPr>
          <w:rFonts w:ascii="Times New Roman" w:eastAsia="宋体" w:hAnsi="Times New Roman" w:cs="Times New Roman"/>
          <w:bCs/>
          <w:color w:val="000000"/>
          <w:kern w:val="0"/>
          <w:sz w:val="24"/>
          <w:szCs w:val="24"/>
        </w:rPr>
      </w:pPr>
      <w:r w:rsidRPr="007F339D">
        <w:rPr>
          <w:rFonts w:ascii="Times New Roman" w:hAnsi="Times New Roman" w:cs="Times New Roman"/>
          <w:b/>
          <w:sz w:val="24"/>
          <w:szCs w:val="24"/>
        </w:rPr>
        <w:lastRenderedPageBreak/>
        <w:t>Table S1</w:t>
      </w:r>
      <w:r w:rsidR="00626F6C" w:rsidRPr="007F339D">
        <w:rPr>
          <w:rFonts w:ascii="Times New Roman" w:hAnsi="Times New Roman" w:cs="Times New Roman"/>
          <w:sz w:val="24"/>
          <w:szCs w:val="24"/>
        </w:rPr>
        <w:t>.</w:t>
      </w:r>
      <w:r w:rsidR="00D612F5" w:rsidRPr="007F339D">
        <w:rPr>
          <w:rFonts w:ascii="Times New Roman" w:hAnsi="Times New Roman" w:cs="Times New Roman"/>
          <w:sz w:val="24"/>
          <w:szCs w:val="24"/>
        </w:rPr>
        <w:t xml:space="preserve">  </w:t>
      </w:r>
      <w:r w:rsidR="00D612F5" w:rsidRPr="007F339D">
        <w:rPr>
          <w:rFonts w:ascii="Times New Roman" w:eastAsia="宋体" w:hAnsi="Times New Roman" w:cs="Times New Roman"/>
          <w:bCs/>
          <w:color w:val="000000"/>
          <w:kern w:val="0"/>
          <w:sz w:val="24"/>
          <w:szCs w:val="24"/>
        </w:rPr>
        <w:t>Emission factors of Cl-PAHs and Br-PAHs in stack gas samples from various secondary nonferrous metal smelting processes</w:t>
      </w:r>
    </w:p>
    <w:tbl>
      <w:tblPr>
        <w:tblStyle w:val="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95"/>
        <w:gridCol w:w="2175"/>
        <w:gridCol w:w="1048"/>
        <w:gridCol w:w="1168"/>
        <w:gridCol w:w="1260"/>
        <w:gridCol w:w="870"/>
        <w:gridCol w:w="846"/>
        <w:gridCol w:w="846"/>
        <w:gridCol w:w="858"/>
        <w:gridCol w:w="858"/>
        <w:gridCol w:w="835"/>
        <w:gridCol w:w="811"/>
        <w:gridCol w:w="888"/>
      </w:tblGrid>
      <w:tr w:rsidR="00AC1D2E" w:rsidRPr="007F339D" w:rsidTr="007F339D">
        <w:trPr>
          <w:trHeight w:val="298"/>
          <w:jc w:val="center"/>
        </w:trPr>
        <w:tc>
          <w:tcPr>
            <w:tcW w:w="2835" w:type="dxa"/>
            <w:gridSpan w:val="2"/>
            <w:vMerge w:val="restart"/>
            <w:tcBorders>
              <w:top w:val="single" w:sz="4" w:space="0" w:color="auto"/>
              <w:left w:val="nil"/>
              <w:bottom w:val="single" w:sz="4" w:space="0" w:color="auto"/>
              <w:right w:val="nil"/>
            </w:tcBorders>
            <w:vAlign w:val="center"/>
          </w:tcPr>
          <w:p w:rsidR="00AC1D2E" w:rsidRPr="007F339D" w:rsidRDefault="00AC1D2E">
            <w:pPr>
              <w:spacing w:line="360" w:lineRule="auto"/>
              <w:rPr>
                <w:sz w:val="21"/>
                <w:szCs w:val="21"/>
              </w:rPr>
            </w:pPr>
          </w:p>
        </w:tc>
        <w:tc>
          <w:tcPr>
            <w:tcW w:w="7754" w:type="dxa"/>
            <w:gridSpan w:val="8"/>
            <w:tcBorders>
              <w:top w:val="single" w:sz="4" w:space="0" w:color="auto"/>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In this study</w:t>
            </w:r>
          </w:p>
        </w:tc>
        <w:tc>
          <w:tcPr>
            <w:tcW w:w="0" w:type="auto"/>
            <w:vMerge w:val="restart"/>
            <w:tcBorders>
              <w:top w:val="single" w:sz="4" w:space="0" w:color="auto"/>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SecCu</w:t>
            </w:r>
            <w:r w:rsidRPr="007F339D">
              <w:rPr>
                <w:szCs w:val="21"/>
              </w:rPr>
              <w:fldChar w:fldCharType="begin">
                <w:fldData xml:space="preserve">PEVuZE5vdGU+PENpdGU+PEF1dGhvcj5KaW48L0F1dGhvcj48WWVhcj4yMDE3PC9ZZWFyPjxSZWNO
dW0+MjY1PC9SZWNOdW0+PERpc3BsYXlUZXh0PjxzdHlsZSBmYWNlPSJzdXBlcnNjcmlwdCI+MTwv
c3R5bGU+PC9EaXNwbGF5VGV4dD48cmVjb3JkPjxyZWMtbnVtYmVyPjI2NTwvcmVjLW51bWJlcj48
Zm9yZWlnbi1rZXlzPjxrZXkgYXBwPSJFTiIgZGItaWQ9InZlZWZheGZ2ajlkcnhsZXhzem01YTBz
aXJ3MDllcnh2czl4diIgdGltZXN0YW1wPSIwIj4yNjU8L2tleT48L2ZvcmVpZ24ta2V5cz48cmVm
LXR5cGUgbmFtZT0iSm91cm5hbCBBcnRpY2xlIj4xNzwvcmVmLXR5cGU+PGNvbnRyaWJ1dG9ycz48
YXV0aG9ycz48YXV0aG9yPkppbiwgUi48L2F1dGhvcj48YXV0aG9yPlpoYW4sIEouPC9hdXRob3I+
PGF1dGhvcj5MaXUsIEcuPC9hdXRob3I+PGF1dGhvcj5aaGFvLCBZLjwvYXV0aG9yPjxhdXRob3I+
WmhlbmcsIE0uPC9hdXRob3I+PGF1dGhvcj5ZYW5nLCBMLjwvYXV0aG9yPjxhdXRob3I+V2FuZywg
TS48L2F1dGhvcj48L2F1dGhvcnM+PC9jb250cmlidXRvcnM+PGF1dGgtYWRkcmVzcz5TdGF0ZSBL
ZXkgTGFib3JhdG9yeSBvZiBFbnZpcm9ubWVudGFsIENoZW1pc3RyeSBhbmQgRWNvdG94aWNvbG9n
eSwgUmVzZWFyY2ggQ2VudGVyIGZvciBFY28tRW52aXJvbm1lbnRhbCBTY2llbmNlcywgQ2hpbmVz
ZSBBY2FkZW15IG9mIFNjaWVuY2VzLCBCZWlqaW5nIDEwMDA4NSwgQ2hpbmE7IFVuaXZlcnNpdHkg
b2YgQ2hpbmVzZSBBY2FkZW15IG9mIFNjaWVuY2VzLCBCZWlqaW5nIDEwMDA0OSwgQ2hpbmEuJiN4
RDtTdGF0ZSBLZXkgTGFib3JhdG9yeSBvZiBTb2xpZCBXYXN0ZSBSZXVzZSBmb3IgQnVpbGRpbmcg
TWF0ZXJpYWxzLCBCZWlqaW5nIEJ1aWxkaW5nIE1hdGVyaWFscyBBY2FkZW15IG9mIFNjaWVuY2Vz
IFJlc2VhcmNoLCBCZWlqaW5nIDEwMDA0MSwgQ2hpbmEuJiN4RDtTdGF0ZSBLZXkgTGFib3JhdG9y
eSBvZiBFbnZpcm9ubWVudGFsIENoZW1pc3RyeSBhbmQgRWNvdG94aWNvbG9neSwgUmVzZWFyY2gg
Q2VudGVyIGZvciBFY28tRW52aXJvbm1lbnRhbCBTY2llbmNlcywgQ2hpbmVzZSBBY2FkZW15IG9m
IFNjaWVuY2VzLCBCZWlqaW5nIDEwMDA4NSwgQ2hpbmE7IFVuaXZlcnNpdHkgb2YgQ2hpbmVzZSBB
Y2FkZW15IG9mIFNjaWVuY2VzLCBCZWlqaW5nIDEwMDA0OSwgQ2hpbmEuIEVsZWN0cm9uaWMgYWRk
cmVzczogZ3JsaXVAcmNlZXMuYWMuY24uPC9hdXRoLWFkZHJlc3M+PHRpdGxlcz48dGl0bGU+UHJv
ZmlsZXMgb2YgcG9seWNobG9yaW5hdGVkIGJpcGhlbnlscyAoUENCcykgaW4gY2VtZW50IGtpbG5z
IGNvLXByb2Nlc3Npbmcgc29saWQgd2FzdGU8L3RpdGxlPjxzZWNvbmRhcnktdGl0bGU+Q2hlbW9z
cGhlcmU8L3NlY29uZGFyeS10aXRsZT48YWx0LXRpdGxlPkNoZW1vc3BoZXJlPC9hbHQtdGl0bGU+
PC90aXRsZXM+PHBlcmlvZGljYWw+PGZ1bGwtdGl0bGU+Q2hlbW9zcGhlcmU8L2Z1bGwtdGl0bGU+
PC9wZXJpb2RpY2FsPjxhbHQtcGVyaW9kaWNhbD48ZnVsbC10aXRsZT5DaGVtb3NwaGVyZTwvZnVs
bC10aXRsZT48L2FsdC1wZXJpb2RpY2FsPjxwYWdlcz4xNjUtMTcyPC9wYWdlcz48dm9sdW1lPjE3
NDwvdm9sdW1lPjxrZXl3b3Jkcz48a2V5d29yZD5EaW94aW5zL2FuYWx5c2lzPC9rZXl3b3JkPjxr
ZXl3b3JkPkVudmlyb25tZW50YWwgTW9uaXRvcmluZy9tZXRob2RzPC9rZXl3b3JkPjxrZXl3b3Jk
PkluY2luZXJhdGlvbi8qbWV0aG9kczwva2V5d29yZD48a2V5d29yZD5Qb2x5Y2hsb3JpbmF0ZWQg
QmlwaGVueWxzLyphbmFseXNpczwva2V5d29yZD48a2V5d29yZD5TZXdhZ2UvKmFuYWx5c2lzL2No
ZW1pc3RyeTwva2V5d29yZD48a2V5d29yZD5Tb2xpZCBXYXN0ZS8qYW5hbHlzaXM8L2tleXdvcmQ+
PC9rZXl3b3Jkcz48ZGF0ZXM+PHllYXI+MjAxNzwveWVhcj48cHViLWRhdGVzPjxkYXRlPk1heTwv
ZGF0ZT48L3B1Yi1kYXRlcz48L2RhdGVzPjxpc2JuPjE4NzktMTI5OCAoRWxlY3Ryb25pYykmI3hE
OzAwNDUtNjUzNSAoTGlua2luZyk8L2lzYm4+PGFjY2Vzc2lvbi1udW0+MjgxNjE1MTc8L2FjY2Vz
c2lvbi1udW0+PHVybHM+PHJlbGF0ZWQtdXJscz48dXJsPmh0dHA6Ly93d3cubmNiaS5ubG0ubmlo
Lmdvdi9wdWJtZWQvMjgxNjE1MTc8L3VybD48L3JlbGF0ZWQtdXJscz48L3VybHM+PGVsZWN0cm9u
aWMtcmVzb3VyY2UtbnVtPjEwLjEwMTYvai5jaGVtb3NwaGVyZS4yMDE3LjAxLjExNTwvZWxlY3Ry
b25pYy1yZXNvdXJjZS1udW0+PC9yZWNvcmQ+PC9DaXRlPjwvRW5kTm90ZT4A
</w:fldData>
              </w:fldChar>
            </w:r>
            <w:r w:rsidRPr="007F339D">
              <w:rPr>
                <w:sz w:val="21"/>
                <w:szCs w:val="21"/>
              </w:rPr>
              <w:instrText xml:space="preserve"> ADDIN EN.CITE </w:instrText>
            </w:r>
            <w:r w:rsidRPr="007F339D">
              <w:rPr>
                <w:szCs w:val="21"/>
              </w:rPr>
              <w:fldChar w:fldCharType="begin">
                <w:fldData xml:space="preserve">PEVuZE5vdGU+PENpdGU+PEF1dGhvcj5KaW48L0F1dGhvcj48WWVhcj4yMDE3PC9ZZWFyPjxSZWNO
dW0+MjY1PC9SZWNOdW0+PERpc3BsYXlUZXh0PjxzdHlsZSBmYWNlPSJzdXBlcnNjcmlwdCI+MTwv
c3R5bGU+PC9EaXNwbGF5VGV4dD48cmVjb3JkPjxyZWMtbnVtYmVyPjI2NTwvcmVjLW51bWJlcj48
Zm9yZWlnbi1rZXlzPjxrZXkgYXBwPSJFTiIgZGItaWQ9InZlZWZheGZ2ajlkcnhsZXhzem01YTBz
aXJ3MDllcnh2czl4diIgdGltZXN0YW1wPSIwIj4yNjU8L2tleT48L2ZvcmVpZ24ta2V5cz48cmVm
LXR5cGUgbmFtZT0iSm91cm5hbCBBcnRpY2xlIj4xNzwvcmVmLXR5cGU+PGNvbnRyaWJ1dG9ycz48
YXV0aG9ycz48YXV0aG9yPkppbiwgUi48L2F1dGhvcj48YXV0aG9yPlpoYW4sIEouPC9hdXRob3I+
PGF1dGhvcj5MaXUsIEcuPC9hdXRob3I+PGF1dGhvcj5aaGFvLCBZLjwvYXV0aG9yPjxhdXRob3I+
WmhlbmcsIE0uPC9hdXRob3I+PGF1dGhvcj5ZYW5nLCBMLjwvYXV0aG9yPjxhdXRob3I+V2FuZywg
TS48L2F1dGhvcj48L2F1dGhvcnM+PC9jb250cmlidXRvcnM+PGF1dGgtYWRkcmVzcz5TdGF0ZSBL
ZXkgTGFib3JhdG9yeSBvZiBFbnZpcm9ubWVudGFsIENoZW1pc3RyeSBhbmQgRWNvdG94aWNvbG9n
eSwgUmVzZWFyY2ggQ2VudGVyIGZvciBFY28tRW52aXJvbm1lbnRhbCBTY2llbmNlcywgQ2hpbmVz
ZSBBY2FkZW15IG9mIFNjaWVuY2VzLCBCZWlqaW5nIDEwMDA4NSwgQ2hpbmE7IFVuaXZlcnNpdHkg
b2YgQ2hpbmVzZSBBY2FkZW15IG9mIFNjaWVuY2VzLCBCZWlqaW5nIDEwMDA0OSwgQ2hpbmEuJiN4
RDtTdGF0ZSBLZXkgTGFib3JhdG9yeSBvZiBTb2xpZCBXYXN0ZSBSZXVzZSBmb3IgQnVpbGRpbmcg
TWF0ZXJpYWxzLCBCZWlqaW5nIEJ1aWxkaW5nIE1hdGVyaWFscyBBY2FkZW15IG9mIFNjaWVuY2Vz
IFJlc2VhcmNoLCBCZWlqaW5nIDEwMDA0MSwgQ2hpbmEuJiN4RDtTdGF0ZSBLZXkgTGFib3JhdG9y
eSBvZiBFbnZpcm9ubWVudGFsIENoZW1pc3RyeSBhbmQgRWNvdG94aWNvbG9neSwgUmVzZWFyY2gg
Q2VudGVyIGZvciBFY28tRW52aXJvbm1lbnRhbCBTY2llbmNlcywgQ2hpbmVzZSBBY2FkZW15IG9m
IFNjaWVuY2VzLCBCZWlqaW5nIDEwMDA4NSwgQ2hpbmE7IFVuaXZlcnNpdHkgb2YgQ2hpbmVzZSBB
Y2FkZW15IG9mIFNjaWVuY2VzLCBCZWlqaW5nIDEwMDA0OSwgQ2hpbmEuIEVsZWN0cm9uaWMgYWRk
cmVzczogZ3JsaXVAcmNlZXMuYWMuY24uPC9hdXRoLWFkZHJlc3M+PHRpdGxlcz48dGl0bGU+UHJv
ZmlsZXMgb2YgcG9seWNobG9yaW5hdGVkIGJpcGhlbnlscyAoUENCcykgaW4gY2VtZW50IGtpbG5z
IGNvLXByb2Nlc3Npbmcgc29saWQgd2FzdGU8L3RpdGxlPjxzZWNvbmRhcnktdGl0bGU+Q2hlbW9z
cGhlcmU8L3NlY29uZGFyeS10aXRsZT48YWx0LXRpdGxlPkNoZW1vc3BoZXJlPC9hbHQtdGl0bGU+
PC90aXRsZXM+PHBlcmlvZGljYWw+PGZ1bGwtdGl0bGU+Q2hlbW9zcGhlcmU8L2Z1bGwtdGl0bGU+
PC9wZXJpb2RpY2FsPjxhbHQtcGVyaW9kaWNhbD48ZnVsbC10aXRsZT5DaGVtb3NwaGVyZTwvZnVs
bC10aXRsZT48L2FsdC1wZXJpb2RpY2FsPjxwYWdlcz4xNjUtMTcyPC9wYWdlcz48dm9sdW1lPjE3
NDwvdm9sdW1lPjxrZXl3b3Jkcz48a2V5d29yZD5EaW94aW5zL2FuYWx5c2lzPC9rZXl3b3JkPjxr
ZXl3b3JkPkVudmlyb25tZW50YWwgTW9uaXRvcmluZy9tZXRob2RzPC9rZXl3b3JkPjxrZXl3b3Jk
PkluY2luZXJhdGlvbi8qbWV0aG9kczwva2V5d29yZD48a2V5d29yZD5Qb2x5Y2hsb3JpbmF0ZWQg
QmlwaGVueWxzLyphbmFseXNpczwva2V5d29yZD48a2V5d29yZD5TZXdhZ2UvKmFuYWx5c2lzL2No
ZW1pc3RyeTwva2V5d29yZD48a2V5d29yZD5Tb2xpZCBXYXN0ZS8qYW5hbHlzaXM8L2tleXdvcmQ+
PC9rZXl3b3Jkcz48ZGF0ZXM+PHllYXI+MjAxNzwveWVhcj48cHViLWRhdGVzPjxkYXRlPk1heTwv
ZGF0ZT48L3B1Yi1kYXRlcz48L2RhdGVzPjxpc2JuPjE4NzktMTI5OCAoRWxlY3Ryb25pYykmI3hE
OzAwNDUtNjUzNSAoTGlua2luZyk8L2lzYm4+PGFjY2Vzc2lvbi1udW0+MjgxNjE1MTc8L2FjY2Vz
c2lvbi1udW0+PHVybHM+PHJlbGF0ZWQtdXJscz48dXJsPmh0dHA6Ly93d3cubmNiaS5ubG0ubmlo
Lmdvdi9wdWJtZWQvMjgxNjE1MTc8L3VybD48L3JlbGF0ZWQtdXJscz48L3VybHM+PGVsZWN0cm9u
aWMtcmVzb3VyY2UtbnVtPjEwLjEwMTYvai5jaGVtb3NwaGVyZS4yMDE3LjAxLjExNTwvZWxlY3Ry
b25pYy1yZXNvdXJjZS1udW0+PC9yZWNvcmQ+PC9DaXRlPjwvRW5kTm90ZT4A
</w:fldData>
              </w:fldChar>
            </w:r>
            <w:r w:rsidRPr="007F339D">
              <w:rPr>
                <w:sz w:val="21"/>
                <w:szCs w:val="21"/>
              </w:rPr>
              <w:instrText xml:space="preserve"> ADDIN EN.CITE.DATA </w:instrText>
            </w:r>
            <w:r w:rsidRPr="007F339D">
              <w:rPr>
                <w:szCs w:val="21"/>
              </w:rPr>
            </w:r>
            <w:r w:rsidRPr="007F339D">
              <w:rPr>
                <w:szCs w:val="21"/>
              </w:rPr>
              <w:fldChar w:fldCharType="end"/>
            </w:r>
            <w:r w:rsidRPr="007F339D">
              <w:rPr>
                <w:szCs w:val="21"/>
              </w:rPr>
            </w:r>
            <w:r w:rsidRPr="007F339D">
              <w:rPr>
                <w:szCs w:val="21"/>
              </w:rPr>
              <w:fldChar w:fldCharType="separate"/>
            </w:r>
            <w:r w:rsidRPr="007F339D">
              <w:rPr>
                <w:noProof/>
                <w:sz w:val="21"/>
                <w:szCs w:val="21"/>
                <w:vertAlign w:val="superscript"/>
              </w:rPr>
              <w:t>1</w:t>
            </w:r>
            <w:r w:rsidRPr="007F339D">
              <w:rPr>
                <w:szCs w:val="21"/>
              </w:rPr>
              <w:fldChar w:fldCharType="end"/>
            </w:r>
          </w:p>
        </w:tc>
        <w:tc>
          <w:tcPr>
            <w:tcW w:w="0" w:type="auto"/>
            <w:vMerge w:val="restart"/>
            <w:tcBorders>
              <w:top w:val="single" w:sz="4" w:space="0" w:color="auto"/>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SecPb</w:t>
            </w:r>
            <w:r w:rsidRPr="007F339D">
              <w:rPr>
                <w:szCs w:val="21"/>
              </w:rPr>
              <w:fldChar w:fldCharType="begin"/>
            </w:r>
            <w:r w:rsidRPr="007F339D">
              <w:rPr>
                <w:sz w:val="21"/>
                <w:szCs w:val="21"/>
              </w:rPr>
              <w:instrText xml:space="preserve"> ADDIN EN.CITE &lt;EndNote&gt;&lt;Cite&gt;&lt;Author&gt;Xu&lt;/Author&gt;&lt;Year&gt;2018&lt;/Year&gt;&lt;RecNum&gt;1572&lt;/RecNum&gt;&lt;DisplayText&gt;&lt;style face="superscript"&gt;2&lt;/style&gt;&lt;/DisplayText&gt;&lt;record&gt;&lt;rec-number&gt;1572&lt;/rec-number&gt;&lt;foreign-keys&gt;&lt;key app="EN" db-id="etsp2vvvbwdvd5ews2b5xdsb90vdsxdrx0xt" timestamp="1591993330"&gt;1572&lt;/key&gt;&lt;/foreign-keys&gt;&lt;ref-type name="Journal Article"&gt;17&lt;/ref-type&gt;&lt;contributors&gt;&lt;authors&gt;&lt;author&gt;Xu, Yang&lt;/author&gt;&lt;author&gt;Yang, Lili&lt;/author&gt;&lt;author&gt;Zheng, Minghui&lt;/author&gt;&lt;author&gt;Jin, Rong&lt;/author&gt;&lt;author&gt;Wu, Xiaolin&lt;/author&gt;&lt;author&gt;Li, Cui&lt;/author&gt;&lt;author&gt;Liu, Guorui&lt;/author&gt;&lt;/authors&gt;&lt;/contributors&gt;&lt;titles&gt;&lt;title&gt;Chlorinated and brominated polycyclic aromatic hydrocarbons from metallurgical plants&lt;/title&gt;&lt;secondary-title&gt;Environmental Science &amp;amp; Technology&lt;/secondary-title&gt;&lt;/titles&gt;&lt;periodical&gt;&lt;full-title&gt;Environmental Science &amp;amp; Technology&lt;/full-title&gt;&lt;abbr-1&gt;Environ. Sci. Technol.&lt;/abbr-1&gt;&lt;abbr-2&gt;Environ Sci Technol&lt;/abbr-2&gt;&lt;/periodical&gt;&lt;pages&gt;7334-7342&lt;/pages&gt;&lt;volume&gt;52&lt;/volume&gt;&lt;number&gt;13&lt;/number&gt;&lt;dates&gt;&lt;year&gt;2018&lt;/year&gt;&lt;/dates&gt;&lt;label&gt;&lt;style face="normal" font="default" size="100%"&gt;XU YANG-&lt;/style&gt;&lt;style face="normal" font="default" charset="134" size="100%"&gt;</w:instrText>
            </w:r>
            <w:r w:rsidRPr="007F339D">
              <w:rPr>
                <w:sz w:val="21"/>
                <w:szCs w:val="21"/>
              </w:rPr>
              <w:instrText>引用</w:instrText>
            </w:r>
            <w:r w:rsidRPr="007F339D">
              <w:rPr>
                <w:sz w:val="21"/>
                <w:szCs w:val="21"/>
              </w:rPr>
              <w:instrText>&lt;/style&gt;&lt;/label&gt;&lt;urls&gt;&lt;/urls&gt;&lt;/record&gt;&lt;/Cite&gt;&lt;/EndNote&gt;</w:instrText>
            </w:r>
            <w:r w:rsidRPr="007F339D">
              <w:rPr>
                <w:szCs w:val="21"/>
              </w:rPr>
              <w:fldChar w:fldCharType="separate"/>
            </w:r>
            <w:r w:rsidRPr="007F339D">
              <w:rPr>
                <w:noProof/>
                <w:sz w:val="21"/>
                <w:szCs w:val="21"/>
                <w:vertAlign w:val="superscript"/>
              </w:rPr>
              <w:t>2</w:t>
            </w:r>
            <w:r w:rsidRPr="007F339D">
              <w:rPr>
                <w:szCs w:val="21"/>
              </w:rPr>
              <w:fldChar w:fldCharType="end"/>
            </w:r>
          </w:p>
        </w:tc>
        <w:tc>
          <w:tcPr>
            <w:tcW w:w="0" w:type="auto"/>
            <w:vMerge w:val="restart"/>
            <w:tcBorders>
              <w:top w:val="single" w:sz="4" w:space="0" w:color="auto"/>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SecAl</w:t>
            </w:r>
            <w:r w:rsidRPr="007F339D">
              <w:rPr>
                <w:szCs w:val="21"/>
              </w:rPr>
              <w:fldChar w:fldCharType="begin"/>
            </w:r>
            <w:r w:rsidRPr="007F339D">
              <w:rPr>
                <w:sz w:val="21"/>
                <w:szCs w:val="21"/>
              </w:rPr>
              <w:instrText xml:space="preserve"> ADDIN EN.CITE &lt;EndNote&gt;&lt;Cite&gt;&lt;Author&gt;Xu&lt;/Author&gt;&lt;Year&gt;2018&lt;/Year&gt;&lt;RecNum&gt;1572&lt;/RecNum&gt;&lt;DisplayText&gt;&lt;style face="superscript"&gt;2&lt;/style&gt;&lt;/DisplayText&gt;&lt;record&gt;&lt;rec-number&gt;1572&lt;/rec-number&gt;&lt;foreign-keys&gt;&lt;key app="EN" db-id="etsp2vvvbwdvd5ews2b5xdsb90vdsxdrx0xt" timestamp="1591993330"&gt;1572&lt;/key&gt;&lt;/foreign-keys&gt;&lt;ref-type name="Journal Article"&gt;17&lt;/ref-type&gt;&lt;contributors&gt;&lt;authors&gt;&lt;author&gt;Xu, Yang&lt;/author&gt;&lt;author&gt;Yang, Lili&lt;/author&gt;&lt;author&gt;Zheng, Minghui&lt;/author&gt;&lt;author&gt;Jin, Rong&lt;/author&gt;&lt;author&gt;Wu, Xiaolin&lt;/author&gt;&lt;author&gt;Li, Cui&lt;/author&gt;&lt;author&gt;Liu, Guorui&lt;/author&gt;&lt;/authors&gt;&lt;/contributors&gt;&lt;titles&gt;&lt;title&gt;Chlorinated and brominated polycyclic aromatic hydrocarbons from metallurgical plants&lt;/title&gt;&lt;secondary-title&gt;Environmental Science &amp;amp; Technology&lt;/secondary-title&gt;&lt;/titles&gt;&lt;periodical&gt;&lt;full-title&gt;Environmental Science &amp;amp; Technology&lt;/full-title&gt;&lt;abbr-1&gt;Environ. Sci. Technol.&lt;/abbr-1&gt;&lt;abbr-2&gt;Environ Sci Technol&lt;/abbr-2&gt;&lt;/periodical&gt;&lt;pages&gt;7334-7342&lt;/pages&gt;&lt;volume&gt;52&lt;/volume&gt;&lt;number&gt;13&lt;/number&gt;&lt;dates&gt;&lt;year&gt;2018&lt;/year&gt;&lt;/dates&gt;&lt;label&gt;&lt;style face="normal" font="default" size="100%"&gt;XU YANG-&lt;/style&gt;&lt;style face="normal" font="default" charset="134" size="100%"&gt;</w:instrText>
            </w:r>
            <w:r w:rsidRPr="007F339D">
              <w:rPr>
                <w:sz w:val="21"/>
                <w:szCs w:val="21"/>
              </w:rPr>
              <w:instrText>引用</w:instrText>
            </w:r>
            <w:r w:rsidRPr="007F339D">
              <w:rPr>
                <w:sz w:val="21"/>
                <w:szCs w:val="21"/>
              </w:rPr>
              <w:instrText>&lt;/style&gt;&lt;/label&gt;&lt;urls&gt;&lt;/urls&gt;&lt;/record&gt;&lt;/Cite&gt;&lt;/EndNote&gt;</w:instrText>
            </w:r>
            <w:r w:rsidRPr="007F339D">
              <w:rPr>
                <w:szCs w:val="21"/>
              </w:rPr>
              <w:fldChar w:fldCharType="separate"/>
            </w:r>
            <w:r w:rsidRPr="007F339D">
              <w:rPr>
                <w:noProof/>
                <w:sz w:val="21"/>
                <w:szCs w:val="21"/>
                <w:vertAlign w:val="superscript"/>
              </w:rPr>
              <w:t>2</w:t>
            </w:r>
            <w:r w:rsidRPr="007F339D">
              <w:rPr>
                <w:szCs w:val="21"/>
              </w:rPr>
              <w:fldChar w:fldCharType="end"/>
            </w:r>
          </w:p>
        </w:tc>
      </w:tr>
      <w:tr w:rsidR="00AC1D2E" w:rsidRPr="007F339D" w:rsidTr="007F339D">
        <w:trPr>
          <w:trHeight w:val="596"/>
          <w:jc w:val="center"/>
        </w:trPr>
        <w:tc>
          <w:tcPr>
            <w:tcW w:w="2835" w:type="dxa"/>
            <w:gridSpan w:val="2"/>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c>
          <w:tcPr>
            <w:tcW w:w="1048" w:type="dxa"/>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SecCu1</w:t>
            </w:r>
          </w:p>
        </w:tc>
        <w:tc>
          <w:tcPr>
            <w:tcW w:w="1168" w:type="dxa"/>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SecCu2</w:t>
            </w:r>
          </w:p>
        </w:tc>
        <w:tc>
          <w:tcPr>
            <w:tcW w:w="1260" w:type="dxa"/>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SecCu3</w:t>
            </w:r>
          </w:p>
        </w:tc>
        <w:tc>
          <w:tcPr>
            <w:tcW w:w="0" w:type="auto"/>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SecCu4</w:t>
            </w:r>
          </w:p>
        </w:tc>
        <w:tc>
          <w:tcPr>
            <w:tcW w:w="0" w:type="auto"/>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SecPb1</w:t>
            </w:r>
          </w:p>
        </w:tc>
        <w:tc>
          <w:tcPr>
            <w:tcW w:w="0" w:type="auto"/>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SecPb2</w:t>
            </w:r>
          </w:p>
        </w:tc>
        <w:tc>
          <w:tcPr>
            <w:tcW w:w="0" w:type="auto"/>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SecZn1</w:t>
            </w:r>
          </w:p>
        </w:tc>
        <w:tc>
          <w:tcPr>
            <w:tcW w:w="0" w:type="auto"/>
            <w:tcBorders>
              <w:top w:val="single" w:sz="4" w:space="0" w:color="auto"/>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SecZn2</w:t>
            </w:r>
          </w:p>
        </w:tc>
        <w:tc>
          <w:tcPr>
            <w:tcW w:w="0" w:type="auto"/>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c>
          <w:tcPr>
            <w:tcW w:w="0" w:type="auto"/>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c>
          <w:tcPr>
            <w:tcW w:w="0" w:type="auto"/>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r>
      <w:tr w:rsidR="00AC1D2E" w:rsidRPr="007F339D" w:rsidTr="007F339D">
        <w:trPr>
          <w:trHeight w:val="286"/>
          <w:jc w:val="center"/>
        </w:trPr>
        <w:tc>
          <w:tcPr>
            <w:tcW w:w="0" w:type="auto"/>
            <w:vMerge w:val="restart"/>
            <w:tcBorders>
              <w:top w:val="single" w:sz="4" w:space="0" w:color="auto"/>
              <w:left w:val="nil"/>
              <w:bottom w:val="single" w:sz="4" w:space="0" w:color="auto"/>
              <w:right w:val="nil"/>
            </w:tcBorders>
            <w:vAlign w:val="center"/>
            <w:hideMark/>
          </w:tcPr>
          <w:p w:rsidR="00AC1D2E" w:rsidRPr="007F339D" w:rsidRDefault="00641D3C">
            <w:pPr>
              <w:spacing w:line="360" w:lineRule="auto"/>
              <w:rPr>
                <w:sz w:val="21"/>
                <w:szCs w:val="21"/>
              </w:rPr>
            </w:pPr>
            <w:r>
              <w:rPr>
                <w:sz w:val="21"/>
                <w:szCs w:val="21"/>
              </w:rPr>
              <w:t xml:space="preserve">Emission factor in </w:t>
            </w:r>
            <w:r w:rsidR="00AC1D2E" w:rsidRPr="007F339D">
              <w:rPr>
                <w:sz w:val="21"/>
                <w:szCs w:val="21"/>
              </w:rPr>
              <w:t>Mass</w:t>
            </w:r>
          </w:p>
        </w:tc>
        <w:tc>
          <w:tcPr>
            <w:tcW w:w="2175"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Cl-PAHs(mg t</w:t>
            </w:r>
            <w:r w:rsidRPr="007F339D">
              <w:rPr>
                <w:sz w:val="21"/>
                <w:szCs w:val="21"/>
                <w:vertAlign w:val="superscript"/>
              </w:rPr>
              <w:t>-1</w:t>
            </w:r>
            <w:r w:rsidRPr="007F339D">
              <w:rPr>
                <w:sz w:val="21"/>
                <w:szCs w:val="21"/>
              </w:rPr>
              <w:t>)</w:t>
            </w:r>
          </w:p>
        </w:tc>
        <w:tc>
          <w:tcPr>
            <w:tcW w:w="1048"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0.11</w:t>
            </w:r>
          </w:p>
        </w:tc>
        <w:tc>
          <w:tcPr>
            <w:tcW w:w="1168"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2.35</w:t>
            </w:r>
          </w:p>
        </w:tc>
        <w:tc>
          <w:tcPr>
            <w:tcW w:w="1260"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2.38</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0.60</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0.23</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14.59</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85.55</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272.03</w:t>
            </w:r>
          </w:p>
        </w:tc>
        <w:tc>
          <w:tcPr>
            <w:tcW w:w="0" w:type="auto"/>
            <w:tcBorders>
              <w:top w:val="single" w:sz="4" w:space="0" w:color="auto"/>
              <w:left w:val="nil"/>
              <w:bottom w:val="nil"/>
              <w:right w:val="nil"/>
            </w:tcBorders>
            <w:vAlign w:val="center"/>
            <w:hideMark/>
          </w:tcPr>
          <w:p w:rsidR="00AC1D2E" w:rsidRPr="007F339D" w:rsidRDefault="00AC1D2E">
            <w:pPr>
              <w:spacing w:line="360" w:lineRule="auto"/>
              <w:jc w:val="center"/>
              <w:rPr>
                <w:sz w:val="21"/>
                <w:szCs w:val="21"/>
              </w:rPr>
            </w:pPr>
            <w:r w:rsidRPr="007F339D">
              <w:rPr>
                <w:sz w:val="21"/>
                <w:szCs w:val="21"/>
              </w:rPr>
              <w:t>0.3</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0.5</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0.2-1.1</w:t>
            </w:r>
          </w:p>
        </w:tc>
      </w:tr>
      <w:tr w:rsidR="00AC1D2E" w:rsidRPr="007F339D" w:rsidTr="007F339D">
        <w:trPr>
          <w:trHeight w:val="298"/>
          <w:jc w:val="center"/>
        </w:trPr>
        <w:tc>
          <w:tcPr>
            <w:tcW w:w="0" w:type="auto"/>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c>
          <w:tcPr>
            <w:tcW w:w="2175"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Br-PAHs(mg t</w:t>
            </w:r>
            <w:r w:rsidRPr="007F339D">
              <w:rPr>
                <w:sz w:val="21"/>
                <w:szCs w:val="21"/>
                <w:vertAlign w:val="superscript"/>
              </w:rPr>
              <w:t>-1</w:t>
            </w:r>
            <w:r w:rsidRPr="007F339D">
              <w:rPr>
                <w:sz w:val="21"/>
                <w:szCs w:val="21"/>
              </w:rPr>
              <w:t>)</w:t>
            </w:r>
          </w:p>
        </w:tc>
        <w:tc>
          <w:tcPr>
            <w:tcW w:w="1048"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0.29</w:t>
            </w:r>
          </w:p>
        </w:tc>
        <w:tc>
          <w:tcPr>
            <w:tcW w:w="1168"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0.09</w:t>
            </w:r>
          </w:p>
        </w:tc>
        <w:tc>
          <w:tcPr>
            <w:tcW w:w="1260"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1.14</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0.016</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0.018</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0.33</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3.47</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3.69</w:t>
            </w:r>
          </w:p>
        </w:tc>
        <w:tc>
          <w:tcPr>
            <w:tcW w:w="0" w:type="auto"/>
            <w:tcBorders>
              <w:top w:val="nil"/>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0.05</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0.03</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0.04</w:t>
            </w:r>
          </w:p>
        </w:tc>
      </w:tr>
      <w:tr w:rsidR="00AC1D2E" w:rsidRPr="007F339D" w:rsidTr="007F339D">
        <w:trPr>
          <w:trHeight w:val="298"/>
          <w:jc w:val="center"/>
        </w:trPr>
        <w:tc>
          <w:tcPr>
            <w:tcW w:w="0" w:type="auto"/>
            <w:vMerge w:val="restart"/>
            <w:tcBorders>
              <w:top w:val="single" w:sz="4" w:space="0" w:color="auto"/>
              <w:left w:val="nil"/>
              <w:bottom w:val="single" w:sz="4" w:space="0" w:color="auto"/>
              <w:right w:val="nil"/>
            </w:tcBorders>
            <w:vAlign w:val="center"/>
            <w:hideMark/>
          </w:tcPr>
          <w:p w:rsidR="00AC1D2E" w:rsidRPr="007F339D" w:rsidRDefault="00641D3C">
            <w:pPr>
              <w:spacing w:line="360" w:lineRule="auto"/>
              <w:rPr>
                <w:sz w:val="21"/>
                <w:szCs w:val="21"/>
              </w:rPr>
            </w:pPr>
            <w:r>
              <w:rPr>
                <w:sz w:val="21"/>
                <w:szCs w:val="21"/>
              </w:rPr>
              <w:t xml:space="preserve">Emission factor in </w:t>
            </w:r>
            <w:r w:rsidR="00AC1D2E" w:rsidRPr="007F339D">
              <w:rPr>
                <w:sz w:val="21"/>
                <w:szCs w:val="21"/>
              </w:rPr>
              <w:t>TEQ</w:t>
            </w:r>
          </w:p>
        </w:tc>
        <w:tc>
          <w:tcPr>
            <w:tcW w:w="2175"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Cl-PAHs (μg TEQ t</w:t>
            </w:r>
            <w:r w:rsidRPr="007F339D">
              <w:rPr>
                <w:sz w:val="21"/>
                <w:szCs w:val="21"/>
                <w:vertAlign w:val="superscript"/>
              </w:rPr>
              <w:t>-1</w:t>
            </w:r>
            <w:r w:rsidRPr="007F339D">
              <w:rPr>
                <w:sz w:val="21"/>
                <w:szCs w:val="21"/>
              </w:rPr>
              <w:t>)</w:t>
            </w:r>
          </w:p>
        </w:tc>
        <w:tc>
          <w:tcPr>
            <w:tcW w:w="1048"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0.15</w:t>
            </w:r>
          </w:p>
        </w:tc>
        <w:tc>
          <w:tcPr>
            <w:tcW w:w="1168"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1.52</w:t>
            </w:r>
          </w:p>
        </w:tc>
        <w:tc>
          <w:tcPr>
            <w:tcW w:w="1260" w:type="dxa"/>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7.09</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0.35</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0.24</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6.49</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98.84</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324.34</w:t>
            </w:r>
          </w:p>
        </w:tc>
        <w:tc>
          <w:tcPr>
            <w:tcW w:w="0" w:type="auto"/>
            <w:tcBorders>
              <w:top w:val="single" w:sz="4" w:space="0" w:color="auto"/>
              <w:left w:val="nil"/>
              <w:bottom w:val="nil"/>
              <w:right w:val="nil"/>
            </w:tcBorders>
            <w:vAlign w:val="center"/>
            <w:hideMark/>
          </w:tcPr>
          <w:p w:rsidR="00AC1D2E" w:rsidRPr="007F339D" w:rsidRDefault="00AC1D2E">
            <w:pPr>
              <w:spacing w:line="360" w:lineRule="auto"/>
              <w:jc w:val="center"/>
              <w:rPr>
                <w:sz w:val="21"/>
                <w:szCs w:val="21"/>
              </w:rPr>
            </w:pPr>
            <w:r w:rsidRPr="007F339D">
              <w:rPr>
                <w:sz w:val="21"/>
                <w:szCs w:val="21"/>
              </w:rPr>
              <w:t>1.1</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0.5</w:t>
            </w:r>
          </w:p>
        </w:tc>
        <w:tc>
          <w:tcPr>
            <w:tcW w:w="0" w:type="auto"/>
            <w:tcBorders>
              <w:top w:val="single" w:sz="4" w:space="0" w:color="auto"/>
              <w:left w:val="nil"/>
              <w:bottom w:val="nil"/>
              <w:right w:val="nil"/>
            </w:tcBorders>
            <w:vAlign w:val="center"/>
            <w:hideMark/>
          </w:tcPr>
          <w:p w:rsidR="00AC1D2E" w:rsidRPr="007F339D" w:rsidRDefault="00AC1D2E">
            <w:pPr>
              <w:spacing w:line="360" w:lineRule="auto"/>
              <w:rPr>
                <w:sz w:val="21"/>
                <w:szCs w:val="21"/>
              </w:rPr>
            </w:pPr>
            <w:r w:rsidRPr="007F339D">
              <w:rPr>
                <w:sz w:val="21"/>
                <w:szCs w:val="21"/>
              </w:rPr>
              <w:t>0.9-1.8</w:t>
            </w:r>
          </w:p>
        </w:tc>
      </w:tr>
      <w:tr w:rsidR="00AC1D2E" w:rsidRPr="007F339D" w:rsidTr="007F339D">
        <w:trPr>
          <w:trHeight w:val="298"/>
          <w:jc w:val="center"/>
        </w:trPr>
        <w:tc>
          <w:tcPr>
            <w:tcW w:w="0" w:type="auto"/>
            <w:vMerge/>
            <w:tcBorders>
              <w:top w:val="single" w:sz="4" w:space="0" w:color="auto"/>
              <w:left w:val="nil"/>
              <w:bottom w:val="single" w:sz="4" w:space="0" w:color="auto"/>
              <w:right w:val="nil"/>
            </w:tcBorders>
            <w:vAlign w:val="center"/>
            <w:hideMark/>
          </w:tcPr>
          <w:p w:rsidR="00AC1D2E" w:rsidRPr="007F339D" w:rsidRDefault="00AC1D2E">
            <w:pPr>
              <w:widowControl/>
              <w:jc w:val="left"/>
              <w:rPr>
                <w:sz w:val="21"/>
                <w:szCs w:val="21"/>
              </w:rPr>
            </w:pPr>
          </w:p>
        </w:tc>
        <w:tc>
          <w:tcPr>
            <w:tcW w:w="2175"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Br-PAHs (μg TEQ t</w:t>
            </w:r>
            <w:r w:rsidRPr="007F339D">
              <w:rPr>
                <w:sz w:val="21"/>
                <w:szCs w:val="21"/>
                <w:vertAlign w:val="superscript"/>
              </w:rPr>
              <w:t>-1</w:t>
            </w:r>
            <w:r w:rsidRPr="007F339D">
              <w:rPr>
                <w:sz w:val="21"/>
                <w:szCs w:val="21"/>
              </w:rPr>
              <w:t>)</w:t>
            </w:r>
          </w:p>
        </w:tc>
        <w:tc>
          <w:tcPr>
            <w:tcW w:w="1048"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0.05</w:t>
            </w:r>
          </w:p>
        </w:tc>
        <w:tc>
          <w:tcPr>
            <w:tcW w:w="1168"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0.02</w:t>
            </w:r>
          </w:p>
        </w:tc>
        <w:tc>
          <w:tcPr>
            <w:tcW w:w="1260" w:type="dxa"/>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1.34</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0.005</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0.0044</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0.041</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0.78</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0.82</w:t>
            </w:r>
          </w:p>
        </w:tc>
        <w:tc>
          <w:tcPr>
            <w:tcW w:w="0" w:type="auto"/>
            <w:tcBorders>
              <w:top w:val="nil"/>
              <w:left w:val="nil"/>
              <w:bottom w:val="single" w:sz="4" w:space="0" w:color="auto"/>
              <w:right w:val="nil"/>
            </w:tcBorders>
            <w:vAlign w:val="center"/>
            <w:hideMark/>
          </w:tcPr>
          <w:p w:rsidR="00AC1D2E" w:rsidRPr="007F339D" w:rsidRDefault="00AC1D2E">
            <w:pPr>
              <w:spacing w:line="360" w:lineRule="auto"/>
              <w:jc w:val="center"/>
              <w:rPr>
                <w:sz w:val="21"/>
                <w:szCs w:val="21"/>
              </w:rPr>
            </w:pPr>
            <w:r w:rsidRPr="007F339D">
              <w:rPr>
                <w:sz w:val="21"/>
                <w:szCs w:val="21"/>
              </w:rPr>
              <w:t>0.01</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0.01</w:t>
            </w:r>
          </w:p>
        </w:tc>
        <w:tc>
          <w:tcPr>
            <w:tcW w:w="0" w:type="auto"/>
            <w:tcBorders>
              <w:top w:val="nil"/>
              <w:left w:val="nil"/>
              <w:bottom w:val="single" w:sz="4" w:space="0" w:color="auto"/>
              <w:right w:val="nil"/>
            </w:tcBorders>
            <w:vAlign w:val="center"/>
            <w:hideMark/>
          </w:tcPr>
          <w:p w:rsidR="00AC1D2E" w:rsidRPr="007F339D" w:rsidRDefault="00AC1D2E">
            <w:pPr>
              <w:spacing w:line="360" w:lineRule="auto"/>
              <w:rPr>
                <w:sz w:val="21"/>
                <w:szCs w:val="21"/>
              </w:rPr>
            </w:pPr>
            <w:r w:rsidRPr="007F339D">
              <w:rPr>
                <w:sz w:val="21"/>
                <w:szCs w:val="21"/>
              </w:rPr>
              <w:t>0.05-0.06</w:t>
            </w:r>
          </w:p>
        </w:tc>
      </w:tr>
    </w:tbl>
    <w:p w:rsidR="00357583" w:rsidRPr="007F339D" w:rsidRDefault="00FF3DDC">
      <w:pPr>
        <w:widowControl/>
        <w:jc w:val="left"/>
        <w:rPr>
          <w:rFonts w:ascii="Times New Roman" w:hAnsi="Times New Roman" w:cs="Times New Roman"/>
          <w:sz w:val="24"/>
          <w:szCs w:val="24"/>
        </w:rPr>
      </w:pPr>
      <w:r w:rsidRPr="007F339D">
        <w:rPr>
          <w:rFonts w:ascii="Times New Roman" w:eastAsia="宋体" w:hAnsi="Times New Roman" w:cs="Times New Roman"/>
          <w:color w:val="000000"/>
          <w:sz w:val="24"/>
          <w:szCs w:val="24"/>
        </w:rPr>
        <w:t>SecCu: Secondary copper smelting process; SecPb: Secondary lead smelting process; SecZn: Secondary zinc smelting process; SecAl: Secondary aluminum smelting process.</w:t>
      </w:r>
    </w:p>
    <w:p w:rsidR="00F41BDB" w:rsidRPr="00F86697" w:rsidRDefault="00F41BDB">
      <w:pPr>
        <w:widowControl/>
        <w:jc w:val="left"/>
        <w:rPr>
          <w:rFonts w:ascii="Times New Roman" w:hAnsi="Times New Roman" w:cs="Times New Roman"/>
        </w:rPr>
      </w:pPr>
    </w:p>
    <w:p w:rsidR="00357583" w:rsidRPr="00F86697" w:rsidRDefault="00357583">
      <w:pPr>
        <w:widowControl/>
        <w:jc w:val="left"/>
        <w:rPr>
          <w:rFonts w:ascii="Times New Roman" w:hAnsi="Times New Roman" w:cs="Times New Roman"/>
        </w:rPr>
      </w:pPr>
    </w:p>
    <w:p w:rsidR="00357583" w:rsidRPr="00F86697" w:rsidRDefault="00357583">
      <w:pPr>
        <w:widowControl/>
        <w:jc w:val="left"/>
        <w:rPr>
          <w:rFonts w:ascii="Times New Roman" w:hAnsi="Times New Roman" w:cs="Times New Roman"/>
        </w:rPr>
      </w:pPr>
      <w:r w:rsidRPr="00F86697">
        <w:rPr>
          <w:rFonts w:ascii="Times New Roman" w:hAnsi="Times New Roman" w:cs="Times New Roman"/>
        </w:rPr>
        <w:br w:type="page"/>
      </w:r>
    </w:p>
    <w:p w:rsidR="00D612F5" w:rsidRPr="00F86697" w:rsidRDefault="00D612F5">
      <w:pPr>
        <w:widowControl/>
        <w:jc w:val="left"/>
        <w:rPr>
          <w:rFonts w:ascii="Times New Roman" w:hAnsi="Times New Roman" w:cs="Times New Roman"/>
        </w:rPr>
        <w:sectPr w:rsidR="00D612F5" w:rsidRPr="00F86697" w:rsidSect="00D612F5">
          <w:pgSz w:w="16838" w:h="11906" w:orient="landscape"/>
          <w:pgMar w:top="1797" w:right="1440" w:bottom="1797" w:left="1440" w:header="851" w:footer="992" w:gutter="0"/>
          <w:cols w:space="425"/>
          <w:docGrid w:type="linesAndChars" w:linePitch="312"/>
        </w:sectPr>
      </w:pPr>
    </w:p>
    <w:p w:rsidR="00D8139E" w:rsidRPr="00F86697" w:rsidRDefault="00D8139E">
      <w:pPr>
        <w:widowControl/>
        <w:jc w:val="left"/>
        <w:rPr>
          <w:rFonts w:ascii="Times New Roman" w:hAnsi="Times New Roman" w:cs="Times New Roman"/>
        </w:rPr>
      </w:pPr>
    </w:p>
    <w:p w:rsidR="00C8662D" w:rsidRPr="00F86697" w:rsidRDefault="0046076E">
      <w:pPr>
        <w:widowControl/>
        <w:jc w:val="left"/>
        <w:rPr>
          <w:rFonts w:ascii="Times New Roman" w:hAnsi="Times New Roman" w:cs="Times New Roman"/>
        </w:rPr>
      </w:pPr>
      <w:r w:rsidRPr="00F86697">
        <w:rPr>
          <w:rFonts w:ascii="Times New Roman" w:hAnsi="Times New Roman" w:cs="Times New Roman"/>
          <w:noProof/>
        </w:rPr>
        <w:drawing>
          <wp:inline distT="0" distB="0" distL="0" distR="0">
            <wp:extent cx="5278120" cy="249963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120" cy="2499637"/>
                    </a:xfrm>
                    <a:prstGeom prst="rect">
                      <a:avLst/>
                    </a:prstGeom>
                    <a:noFill/>
                    <a:ln>
                      <a:noFill/>
                    </a:ln>
                  </pic:spPr>
                </pic:pic>
              </a:graphicData>
            </a:graphic>
          </wp:inline>
        </w:drawing>
      </w:r>
    </w:p>
    <w:p w:rsidR="00980D8B" w:rsidRPr="00641D3C" w:rsidRDefault="00980D8B" w:rsidP="00641D3C">
      <w:pPr>
        <w:widowControl/>
        <w:adjustRightInd w:val="0"/>
        <w:snapToGrid w:val="0"/>
        <w:spacing w:line="360" w:lineRule="auto"/>
        <w:rPr>
          <w:rFonts w:ascii="Times New Roman" w:hAnsi="Times New Roman" w:cs="Times New Roman"/>
          <w:sz w:val="24"/>
          <w:szCs w:val="24"/>
        </w:rPr>
      </w:pPr>
      <w:r w:rsidRPr="00641D3C">
        <w:rPr>
          <w:rFonts w:ascii="Times New Roman" w:hAnsi="Times New Roman" w:cs="Times New Roman"/>
          <w:b/>
          <w:sz w:val="24"/>
          <w:szCs w:val="24"/>
        </w:rPr>
        <w:t>Figure S1</w:t>
      </w:r>
      <w:r w:rsidR="00626F6C" w:rsidRPr="00641D3C">
        <w:rPr>
          <w:rFonts w:ascii="Times New Roman" w:hAnsi="Times New Roman" w:cs="Times New Roman"/>
          <w:b/>
          <w:sz w:val="24"/>
          <w:szCs w:val="24"/>
        </w:rPr>
        <w:t>.</w:t>
      </w:r>
      <w:r w:rsidRPr="00641D3C">
        <w:rPr>
          <w:rFonts w:ascii="Times New Roman" w:hAnsi="Times New Roman" w:cs="Times New Roman"/>
          <w:sz w:val="24"/>
          <w:szCs w:val="24"/>
        </w:rPr>
        <w:t xml:space="preserve">  </w:t>
      </w:r>
      <w:r w:rsidRPr="00641D3C">
        <w:rPr>
          <w:rFonts w:ascii="Times New Roman" w:hAnsi="Times New Roman" w:cs="Times New Roman"/>
          <w:bCs/>
          <w:spacing w:val="3"/>
          <w:sz w:val="24"/>
          <w:szCs w:val="24"/>
        </w:rPr>
        <w:t>a) Cl-PAHs mass concentration, (b) Br-PAHs mass concentration, (c) Cl-PAHs TEQ concentration and (d) Br-PAHs concentrations in the stack gas from different secondary nonferrous metal smelting processes including secondary aluminum smelting (SeAl), secondary copper smelting (SeCu), secondary lead smelting (SePb) and secondary zinc smelting (SeZn).</w:t>
      </w:r>
    </w:p>
    <w:p w:rsidR="00AC1D2E" w:rsidRPr="00641D3C" w:rsidRDefault="00AC1D2E" w:rsidP="00641D3C">
      <w:pPr>
        <w:adjustRightInd w:val="0"/>
        <w:snapToGrid w:val="0"/>
        <w:spacing w:line="360" w:lineRule="auto"/>
        <w:rPr>
          <w:rFonts w:ascii="Times New Roman" w:hAnsi="Times New Roman" w:cs="Times New Roman"/>
          <w:sz w:val="24"/>
          <w:szCs w:val="24"/>
        </w:rPr>
      </w:pPr>
    </w:p>
    <w:p w:rsidR="00AC1D2E" w:rsidRPr="008B7F0A" w:rsidRDefault="008B7F0A">
      <w:pPr>
        <w:rPr>
          <w:rFonts w:ascii="Times New Roman" w:hAnsi="Times New Roman" w:cs="Times New Roman"/>
          <w:b/>
          <w:sz w:val="24"/>
          <w:szCs w:val="24"/>
        </w:rPr>
      </w:pPr>
      <w:r>
        <w:rPr>
          <w:rFonts w:ascii="Times New Roman" w:hAnsi="Times New Roman" w:cs="Times New Roman"/>
          <w:b/>
          <w:sz w:val="24"/>
          <w:szCs w:val="24"/>
        </w:rPr>
        <w:t>References</w:t>
      </w:r>
    </w:p>
    <w:p w:rsidR="00FF3DDC" w:rsidRPr="008B7F0A" w:rsidRDefault="00AC1D2E" w:rsidP="00745079">
      <w:pPr>
        <w:pStyle w:val="EndNoteBibliography"/>
        <w:ind w:left="420" w:hangingChars="200" w:hanging="420"/>
        <w:rPr>
          <w:rFonts w:ascii="Times New Roman" w:hAnsi="Times New Roman" w:cs="Times New Roman"/>
          <w:sz w:val="21"/>
          <w:szCs w:val="21"/>
        </w:rPr>
      </w:pPr>
      <w:r w:rsidRPr="008B7F0A">
        <w:rPr>
          <w:rFonts w:ascii="Times New Roman" w:hAnsi="Times New Roman" w:cs="Times New Roman"/>
          <w:sz w:val="21"/>
          <w:szCs w:val="21"/>
        </w:rPr>
        <w:fldChar w:fldCharType="begin"/>
      </w:r>
      <w:r w:rsidRPr="008B7F0A">
        <w:rPr>
          <w:rFonts w:ascii="Times New Roman" w:hAnsi="Times New Roman" w:cs="Times New Roman"/>
          <w:sz w:val="21"/>
          <w:szCs w:val="21"/>
        </w:rPr>
        <w:instrText xml:space="preserve"> ADDIN EN.REFLIST </w:instrText>
      </w:r>
      <w:r w:rsidRPr="008B7F0A">
        <w:rPr>
          <w:rFonts w:ascii="Times New Roman" w:hAnsi="Times New Roman" w:cs="Times New Roman"/>
          <w:sz w:val="21"/>
          <w:szCs w:val="21"/>
        </w:rPr>
        <w:fldChar w:fldCharType="separate"/>
      </w:r>
      <w:r w:rsidR="00FF3DDC" w:rsidRPr="008B7F0A">
        <w:rPr>
          <w:rFonts w:ascii="Times New Roman" w:hAnsi="Times New Roman" w:cs="Times New Roman"/>
          <w:sz w:val="21"/>
          <w:szCs w:val="21"/>
        </w:rPr>
        <w:t>1.</w:t>
      </w:r>
      <w:r w:rsidR="00FF3DDC" w:rsidRPr="008B7F0A">
        <w:rPr>
          <w:rFonts w:ascii="Times New Roman" w:hAnsi="Times New Roman" w:cs="Times New Roman"/>
          <w:sz w:val="21"/>
          <w:szCs w:val="21"/>
        </w:rPr>
        <w:tab/>
        <w:t xml:space="preserve">Jin, R.; Zhan, J.; Liu, G.; Zhao, Y.; Zheng, M.; Yang, L.; Wang, M., Profiles of polychlorinated biphenyls (PCBs) in cement kilns co-processing solid waste. </w:t>
      </w:r>
      <w:r w:rsidR="00FF3DDC" w:rsidRPr="008B7F0A">
        <w:rPr>
          <w:rFonts w:ascii="Times New Roman" w:hAnsi="Times New Roman" w:cs="Times New Roman"/>
          <w:i/>
          <w:sz w:val="21"/>
          <w:szCs w:val="21"/>
        </w:rPr>
        <w:t xml:space="preserve">Chemosphere </w:t>
      </w:r>
      <w:r w:rsidR="00FF3DDC" w:rsidRPr="008B7F0A">
        <w:rPr>
          <w:rFonts w:ascii="Times New Roman" w:hAnsi="Times New Roman" w:cs="Times New Roman"/>
          <w:b/>
          <w:sz w:val="21"/>
          <w:szCs w:val="21"/>
        </w:rPr>
        <w:t>2017,</w:t>
      </w:r>
      <w:r w:rsidR="00FF3DDC" w:rsidRPr="008B7F0A">
        <w:rPr>
          <w:rFonts w:ascii="Times New Roman" w:hAnsi="Times New Roman" w:cs="Times New Roman"/>
          <w:sz w:val="21"/>
          <w:szCs w:val="21"/>
        </w:rPr>
        <w:t xml:space="preserve"> </w:t>
      </w:r>
      <w:r w:rsidR="00FF3DDC" w:rsidRPr="008B7F0A">
        <w:rPr>
          <w:rFonts w:ascii="Times New Roman" w:hAnsi="Times New Roman" w:cs="Times New Roman"/>
          <w:i/>
          <w:sz w:val="21"/>
          <w:szCs w:val="21"/>
        </w:rPr>
        <w:t>174</w:t>
      </w:r>
      <w:r w:rsidR="00FF3DDC" w:rsidRPr="008B7F0A">
        <w:rPr>
          <w:rFonts w:ascii="Times New Roman" w:hAnsi="Times New Roman" w:cs="Times New Roman"/>
          <w:sz w:val="21"/>
          <w:szCs w:val="21"/>
        </w:rPr>
        <w:t>, 165-172.</w:t>
      </w:r>
    </w:p>
    <w:p w:rsidR="00FF3DDC" w:rsidRPr="008B7F0A" w:rsidRDefault="00FF3DDC" w:rsidP="00745079">
      <w:pPr>
        <w:pStyle w:val="EndNoteBibliography"/>
        <w:ind w:left="420" w:hangingChars="200" w:hanging="420"/>
        <w:rPr>
          <w:rFonts w:ascii="Times New Roman" w:hAnsi="Times New Roman" w:cs="Times New Roman"/>
          <w:sz w:val="21"/>
          <w:szCs w:val="21"/>
        </w:rPr>
      </w:pPr>
      <w:r w:rsidRPr="008B7F0A">
        <w:rPr>
          <w:rFonts w:ascii="Times New Roman" w:hAnsi="Times New Roman" w:cs="Times New Roman"/>
          <w:sz w:val="21"/>
          <w:szCs w:val="21"/>
        </w:rPr>
        <w:t>2.</w:t>
      </w:r>
      <w:r w:rsidRPr="008B7F0A">
        <w:rPr>
          <w:rFonts w:ascii="Times New Roman" w:hAnsi="Times New Roman" w:cs="Times New Roman"/>
          <w:sz w:val="21"/>
          <w:szCs w:val="21"/>
        </w:rPr>
        <w:tab/>
        <w:t xml:space="preserve">Xu, Y.; Yang, L.; Zheng, M.; Jin, R.; Wu, X.; Li, C.; Liu, G., Chlorinated and brominated polycyclic aromatic hydrocarbons from metallurgical plants. </w:t>
      </w:r>
      <w:r w:rsidRPr="008B7F0A">
        <w:rPr>
          <w:rFonts w:ascii="Times New Roman" w:hAnsi="Times New Roman" w:cs="Times New Roman"/>
          <w:i/>
          <w:sz w:val="21"/>
          <w:szCs w:val="21"/>
        </w:rPr>
        <w:t xml:space="preserve">Environ. Sci. Technol. </w:t>
      </w:r>
      <w:r w:rsidRPr="008B7F0A">
        <w:rPr>
          <w:rFonts w:ascii="Times New Roman" w:hAnsi="Times New Roman" w:cs="Times New Roman"/>
          <w:b/>
          <w:sz w:val="21"/>
          <w:szCs w:val="21"/>
        </w:rPr>
        <w:t>2018,</w:t>
      </w:r>
      <w:r w:rsidRPr="008B7F0A">
        <w:rPr>
          <w:rFonts w:ascii="Times New Roman" w:hAnsi="Times New Roman" w:cs="Times New Roman"/>
          <w:sz w:val="21"/>
          <w:szCs w:val="21"/>
        </w:rPr>
        <w:t xml:space="preserve"> </w:t>
      </w:r>
      <w:r w:rsidRPr="008B7F0A">
        <w:rPr>
          <w:rFonts w:ascii="Times New Roman" w:hAnsi="Times New Roman" w:cs="Times New Roman"/>
          <w:i/>
          <w:sz w:val="21"/>
          <w:szCs w:val="21"/>
        </w:rPr>
        <w:t>52</w:t>
      </w:r>
      <w:r w:rsidRPr="008B7F0A">
        <w:rPr>
          <w:rFonts w:ascii="Times New Roman" w:hAnsi="Times New Roman" w:cs="Times New Roman"/>
          <w:sz w:val="21"/>
          <w:szCs w:val="21"/>
        </w:rPr>
        <w:t>, (13), 7334-7342.</w:t>
      </w:r>
    </w:p>
    <w:p w:rsidR="00980D8B" w:rsidRPr="00F86697" w:rsidRDefault="00AC1D2E" w:rsidP="00745079">
      <w:pPr>
        <w:ind w:left="420" w:hangingChars="200" w:hanging="420"/>
        <w:rPr>
          <w:rFonts w:ascii="Times New Roman" w:hAnsi="Times New Roman" w:cs="Times New Roman"/>
        </w:rPr>
      </w:pPr>
      <w:r w:rsidRPr="008B7F0A">
        <w:rPr>
          <w:rFonts w:ascii="Times New Roman" w:hAnsi="Times New Roman" w:cs="Times New Roman"/>
          <w:szCs w:val="21"/>
        </w:rPr>
        <w:fldChar w:fldCharType="end"/>
      </w:r>
    </w:p>
    <w:sectPr w:rsidR="00980D8B" w:rsidRPr="00F86697" w:rsidSect="00D612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BF" w:rsidRDefault="00BF20BF" w:rsidP="00FB4715">
      <w:r>
        <w:separator/>
      </w:r>
    </w:p>
  </w:endnote>
  <w:endnote w:type="continuationSeparator" w:id="0">
    <w:p w:rsidR="00BF20BF" w:rsidRDefault="00BF20BF" w:rsidP="00FB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BF" w:rsidRDefault="00BF20BF" w:rsidP="00FB4715">
      <w:r>
        <w:separator/>
      </w:r>
    </w:p>
  </w:footnote>
  <w:footnote w:type="continuationSeparator" w:id="0">
    <w:p w:rsidR="00BF20BF" w:rsidRDefault="00BF20BF" w:rsidP="00FB4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efaxfvj9drxlexszm5a0sirw09erxvs9xv&quot;&gt;My EndNote Library&lt;record-ids&gt;&lt;item&gt;265&lt;/item&gt;&lt;/record-ids&gt;&lt;/item&gt;&lt;/Libraries&gt;"/>
  </w:docVars>
  <w:rsids>
    <w:rsidRoot w:val="002B01FA"/>
    <w:rsid w:val="0019464E"/>
    <w:rsid w:val="001A7D6C"/>
    <w:rsid w:val="001B5285"/>
    <w:rsid w:val="001D0ABF"/>
    <w:rsid w:val="0023031A"/>
    <w:rsid w:val="00267415"/>
    <w:rsid w:val="002B01FA"/>
    <w:rsid w:val="002E1A9C"/>
    <w:rsid w:val="00357583"/>
    <w:rsid w:val="003F1F5D"/>
    <w:rsid w:val="0046076E"/>
    <w:rsid w:val="004C3881"/>
    <w:rsid w:val="004D0DDF"/>
    <w:rsid w:val="005F2BF1"/>
    <w:rsid w:val="00626F6C"/>
    <w:rsid w:val="00641D3C"/>
    <w:rsid w:val="007033A0"/>
    <w:rsid w:val="00745079"/>
    <w:rsid w:val="007B20C4"/>
    <w:rsid w:val="007F339D"/>
    <w:rsid w:val="008B7F0A"/>
    <w:rsid w:val="0092707B"/>
    <w:rsid w:val="00980D8B"/>
    <w:rsid w:val="009F632F"/>
    <w:rsid w:val="00A510AF"/>
    <w:rsid w:val="00AC1D2E"/>
    <w:rsid w:val="00BF20BF"/>
    <w:rsid w:val="00C8662D"/>
    <w:rsid w:val="00CA1757"/>
    <w:rsid w:val="00D612F5"/>
    <w:rsid w:val="00D8139E"/>
    <w:rsid w:val="00DB3AC0"/>
    <w:rsid w:val="00E955C6"/>
    <w:rsid w:val="00EC0FD2"/>
    <w:rsid w:val="00F12A03"/>
    <w:rsid w:val="00F3016B"/>
    <w:rsid w:val="00F41BDB"/>
    <w:rsid w:val="00F832DD"/>
    <w:rsid w:val="00F86697"/>
    <w:rsid w:val="00FB4715"/>
    <w:rsid w:val="00FF3DDC"/>
    <w:rsid w:val="00FF6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45EE9-AE82-4BD0-90C8-2BC236D3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62D"/>
    <w:rPr>
      <w:color w:val="0563C1" w:themeColor="hyperlink"/>
      <w:u w:val="single"/>
    </w:rPr>
  </w:style>
  <w:style w:type="paragraph" w:styleId="a4">
    <w:name w:val="Normal (Web)"/>
    <w:basedOn w:val="a"/>
    <w:link w:val="Char"/>
    <w:uiPriority w:val="99"/>
    <w:unhideWhenUsed/>
    <w:rsid w:val="00C8662D"/>
    <w:pPr>
      <w:widowControl/>
      <w:spacing w:before="100" w:beforeAutospacing="1" w:after="100" w:afterAutospacing="1"/>
      <w:jc w:val="left"/>
    </w:pPr>
    <w:rPr>
      <w:rFonts w:ascii="Calibri" w:hAnsi="Calibri" w:cs="Calibri"/>
      <w:kern w:val="0"/>
      <w:sz w:val="22"/>
    </w:rPr>
  </w:style>
  <w:style w:type="character" w:customStyle="1" w:styleId="Char">
    <w:name w:val="普通(网站) Char"/>
    <w:basedOn w:val="a0"/>
    <w:link w:val="a4"/>
    <w:uiPriority w:val="99"/>
    <w:rsid w:val="00C8662D"/>
    <w:rPr>
      <w:rFonts w:ascii="Calibri" w:hAnsi="Calibri" w:cs="Calibri"/>
      <w:kern w:val="0"/>
      <w:sz w:val="22"/>
    </w:rPr>
  </w:style>
  <w:style w:type="table" w:customStyle="1" w:styleId="3">
    <w:name w:val="网格型3"/>
    <w:basedOn w:val="a1"/>
    <w:next w:val="a5"/>
    <w:uiPriority w:val="39"/>
    <w:rsid w:val="00D612F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AC1D2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C1D2E"/>
    <w:rPr>
      <w:rFonts w:ascii="Calibri" w:hAnsi="Calibri" w:cs="Calibri"/>
      <w:noProof/>
      <w:sz w:val="20"/>
    </w:rPr>
  </w:style>
  <w:style w:type="paragraph" w:customStyle="1" w:styleId="EndNoteBibliography">
    <w:name w:val="EndNote Bibliography"/>
    <w:basedOn w:val="a"/>
    <w:link w:val="EndNoteBibliographyChar"/>
    <w:rsid w:val="00AC1D2E"/>
    <w:rPr>
      <w:rFonts w:ascii="Calibri" w:hAnsi="Calibri" w:cs="Calibri"/>
      <w:noProof/>
      <w:sz w:val="20"/>
    </w:rPr>
  </w:style>
  <w:style w:type="character" w:customStyle="1" w:styleId="EndNoteBibliographyChar">
    <w:name w:val="EndNote Bibliography Char"/>
    <w:basedOn w:val="a0"/>
    <w:link w:val="EndNoteBibliography"/>
    <w:rsid w:val="00AC1D2E"/>
    <w:rPr>
      <w:rFonts w:ascii="Calibri" w:hAnsi="Calibri" w:cs="Calibri"/>
      <w:noProof/>
      <w:sz w:val="20"/>
    </w:rPr>
  </w:style>
  <w:style w:type="paragraph" w:styleId="a6">
    <w:name w:val="header"/>
    <w:basedOn w:val="a"/>
    <w:link w:val="Char0"/>
    <w:uiPriority w:val="99"/>
    <w:unhideWhenUsed/>
    <w:rsid w:val="00FB47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B4715"/>
    <w:rPr>
      <w:sz w:val="18"/>
      <w:szCs w:val="18"/>
    </w:rPr>
  </w:style>
  <w:style w:type="paragraph" w:styleId="a7">
    <w:name w:val="footer"/>
    <w:basedOn w:val="a"/>
    <w:link w:val="Char1"/>
    <w:uiPriority w:val="99"/>
    <w:unhideWhenUsed/>
    <w:rsid w:val="00FB4715"/>
    <w:pPr>
      <w:tabs>
        <w:tab w:val="center" w:pos="4153"/>
        <w:tab w:val="right" w:pos="8306"/>
      </w:tabs>
      <w:snapToGrid w:val="0"/>
      <w:jc w:val="left"/>
    </w:pPr>
    <w:rPr>
      <w:sz w:val="18"/>
      <w:szCs w:val="18"/>
    </w:rPr>
  </w:style>
  <w:style w:type="character" w:customStyle="1" w:styleId="Char1">
    <w:name w:val="页脚 Char"/>
    <w:basedOn w:val="a0"/>
    <w:link w:val="a7"/>
    <w:uiPriority w:val="99"/>
    <w:rsid w:val="00FB4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9684">
      <w:bodyDiv w:val="1"/>
      <w:marLeft w:val="0"/>
      <w:marRight w:val="0"/>
      <w:marTop w:val="0"/>
      <w:marBottom w:val="0"/>
      <w:divBdr>
        <w:top w:val="none" w:sz="0" w:space="0" w:color="auto"/>
        <w:left w:val="none" w:sz="0" w:space="0" w:color="auto"/>
        <w:bottom w:val="none" w:sz="0" w:space="0" w:color="auto"/>
        <w:right w:val="none" w:sz="0" w:space="0" w:color="auto"/>
      </w:divBdr>
    </w:div>
    <w:div w:id="957105009">
      <w:bodyDiv w:val="1"/>
      <w:marLeft w:val="0"/>
      <w:marRight w:val="0"/>
      <w:marTop w:val="0"/>
      <w:marBottom w:val="0"/>
      <w:divBdr>
        <w:top w:val="none" w:sz="0" w:space="0" w:color="auto"/>
        <w:left w:val="none" w:sz="0" w:space="0" w:color="auto"/>
        <w:bottom w:val="none" w:sz="0" w:space="0" w:color="auto"/>
        <w:right w:val="none" w:sz="0" w:space="0" w:color="auto"/>
      </w:divBdr>
    </w:div>
    <w:div w:id="1262690464">
      <w:bodyDiv w:val="1"/>
      <w:marLeft w:val="0"/>
      <w:marRight w:val="0"/>
      <w:marTop w:val="0"/>
      <w:marBottom w:val="0"/>
      <w:divBdr>
        <w:top w:val="none" w:sz="0" w:space="0" w:color="auto"/>
        <w:left w:val="none" w:sz="0" w:space="0" w:color="auto"/>
        <w:bottom w:val="none" w:sz="0" w:space="0" w:color="auto"/>
        <w:right w:val="none" w:sz="0" w:space="0" w:color="auto"/>
      </w:divBdr>
    </w:div>
    <w:div w:id="18023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52</cp:revision>
  <dcterms:created xsi:type="dcterms:W3CDTF">2021-07-22T06:09:00Z</dcterms:created>
  <dcterms:modified xsi:type="dcterms:W3CDTF">2021-08-23T04:24:00Z</dcterms:modified>
</cp:coreProperties>
</file>