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B56C" w14:textId="77777777" w:rsidR="000F0316" w:rsidRPr="00D704BB" w:rsidRDefault="000F0316" w:rsidP="000F03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498946"/>
      <w:r>
        <w:rPr>
          <w:rFonts w:ascii="Times New Roman" w:hAnsi="Times New Roman" w:cs="Times New Roman" w:hint="eastAsia"/>
          <w:b/>
          <w:bCs/>
          <w:sz w:val="24"/>
          <w:szCs w:val="24"/>
        </w:rPr>
        <w:t>Neural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correlations between </w:t>
      </w:r>
      <w:r w:rsidRPr="00D704BB">
        <w:rPr>
          <w:rFonts w:ascii="Times New Roman" w:hAnsi="Times New Roman" w:cs="Times New Roman"/>
          <w:b/>
          <w:bCs/>
          <w:sz w:val="24"/>
          <w:szCs w:val="24"/>
        </w:rPr>
        <w:t xml:space="preserve">executive function and social function in autism </w:t>
      </w:r>
      <w:r w:rsidRPr="00D704BB">
        <w:rPr>
          <w:rFonts w:ascii="Times New Roman" w:hAnsi="Times New Roman" w:cs="Times New Roman" w:hint="eastAsia"/>
          <w:b/>
          <w:bCs/>
          <w:sz w:val="24"/>
          <w:szCs w:val="24"/>
        </w:rPr>
        <w:t>spectrum</w:t>
      </w:r>
      <w:r w:rsidRPr="00D704BB">
        <w:rPr>
          <w:rFonts w:ascii="Times New Roman" w:hAnsi="Times New Roman" w:cs="Times New Roman"/>
          <w:b/>
          <w:bCs/>
          <w:sz w:val="24"/>
          <w:szCs w:val="24"/>
        </w:rPr>
        <w:t xml:space="preserve"> disorder</w:t>
      </w:r>
      <w:r>
        <w:rPr>
          <w:rFonts w:ascii="Times New Roman" w:hAnsi="Times New Roman" w:cs="Times New Roman"/>
          <w:b/>
          <w:bCs/>
          <w:sz w:val="24"/>
          <w:szCs w:val="24"/>
        </w:rPr>
        <w:t>: a mediation analysis of fMRI</w:t>
      </w:r>
    </w:p>
    <w:bookmarkEnd w:id="0"/>
    <w:p w14:paraId="5E6F724A" w14:textId="77777777" w:rsidR="00772ABE" w:rsidRPr="000F0316" w:rsidRDefault="00772ABE">
      <w:pPr>
        <w:rPr>
          <w:rFonts w:ascii="Times New Roman" w:hAnsi="Times New Roman" w:cs="Times New Roman"/>
          <w:sz w:val="24"/>
          <w:szCs w:val="24"/>
        </w:rPr>
      </w:pPr>
    </w:p>
    <w:p w14:paraId="1AFF7ABE" w14:textId="77777777" w:rsidR="00772ABE" w:rsidRPr="00C61B88" w:rsidRDefault="00772ABE">
      <w:pPr>
        <w:rPr>
          <w:rFonts w:ascii="Times New Roman" w:hAnsi="Times New Roman" w:cs="Times New Roman"/>
          <w:sz w:val="24"/>
          <w:szCs w:val="24"/>
        </w:rPr>
      </w:pPr>
    </w:p>
    <w:p w14:paraId="04D6E390" w14:textId="005A111D" w:rsidR="00F84D28" w:rsidRPr="00C61B88" w:rsidRDefault="00F84D28">
      <w:pPr>
        <w:rPr>
          <w:rFonts w:ascii="Times New Roman" w:hAnsi="Times New Roman" w:cs="Times New Roman"/>
          <w:sz w:val="24"/>
          <w:szCs w:val="24"/>
        </w:rPr>
      </w:pPr>
      <w:r w:rsidRPr="00C61B88">
        <w:rPr>
          <w:rFonts w:ascii="Times New Roman" w:hAnsi="Times New Roman" w:cs="Times New Roman"/>
          <w:sz w:val="24"/>
          <w:szCs w:val="24"/>
        </w:rPr>
        <w:t xml:space="preserve">Table </w:t>
      </w:r>
      <w:r w:rsidR="00890940">
        <w:rPr>
          <w:rFonts w:ascii="Times New Roman" w:hAnsi="Times New Roman" w:cs="Times New Roman"/>
          <w:sz w:val="24"/>
          <w:szCs w:val="24"/>
        </w:rPr>
        <w:t>S</w:t>
      </w:r>
      <w:r w:rsidRPr="00C61B88">
        <w:rPr>
          <w:rFonts w:ascii="Times New Roman" w:hAnsi="Times New Roman" w:cs="Times New Roman"/>
          <w:sz w:val="24"/>
          <w:szCs w:val="24"/>
        </w:rPr>
        <w:t xml:space="preserve">1. </w:t>
      </w:r>
      <w:r w:rsidR="00772ABE" w:rsidRPr="00C61B88">
        <w:rPr>
          <w:rFonts w:ascii="Times New Roman" w:hAnsi="Times New Roman" w:cs="Times New Roman"/>
          <w:sz w:val="24"/>
          <w:szCs w:val="24"/>
        </w:rPr>
        <w:t xml:space="preserve">Sequence parameters of resting-state fMRI of the included datasets </w:t>
      </w:r>
      <w:r w:rsidR="005200D8" w:rsidRPr="00C61B88">
        <w:rPr>
          <w:rFonts w:ascii="Times New Roman" w:hAnsi="Times New Roman" w:cs="Times New Roman"/>
          <w:sz w:val="24"/>
          <w:szCs w:val="24"/>
        </w:rPr>
        <w:t>(</w:t>
      </w:r>
      <w:r w:rsidR="00D37194" w:rsidRPr="00D3719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37194">
        <w:rPr>
          <w:rFonts w:ascii="Times New Roman" w:hAnsi="Times New Roman" w:cs="Times New Roman"/>
          <w:sz w:val="24"/>
          <w:szCs w:val="24"/>
        </w:rPr>
        <w:t xml:space="preserve"> = </w:t>
      </w:r>
      <w:r w:rsidR="005200D8" w:rsidRPr="00C61B88">
        <w:rPr>
          <w:rFonts w:ascii="Times New Roman" w:hAnsi="Times New Roman" w:cs="Times New Roman"/>
          <w:sz w:val="24"/>
          <w:szCs w:val="24"/>
        </w:rPr>
        <w:t>186</w:t>
      </w:r>
      <w:r w:rsidR="00D37194" w:rsidRPr="00D37194">
        <w:rPr>
          <w:rFonts w:ascii="Times New Roman" w:hAnsi="Times New Roman" w:cs="Times New Roman"/>
          <w:sz w:val="24"/>
          <w:szCs w:val="24"/>
        </w:rPr>
        <w:t xml:space="preserve"> </w:t>
      </w:r>
      <w:r w:rsidR="00D37194" w:rsidRPr="00C61B88">
        <w:rPr>
          <w:rFonts w:ascii="Times New Roman" w:hAnsi="Times New Roman" w:cs="Times New Roman"/>
          <w:sz w:val="24"/>
          <w:szCs w:val="24"/>
        </w:rPr>
        <w:t>participants</w:t>
      </w:r>
      <w:r w:rsidR="00772ABE" w:rsidRPr="00C61B88">
        <w:rPr>
          <w:rFonts w:ascii="Times New Roman" w:hAnsi="Times New Roman" w:cs="Times New Roman"/>
          <w:sz w:val="24"/>
          <w:szCs w:val="24"/>
        </w:rPr>
        <w:t xml:space="preserve">, </w:t>
      </w:r>
      <w:r w:rsidR="00D37194" w:rsidRPr="00D3719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37194">
        <w:rPr>
          <w:rFonts w:ascii="Times New Roman" w:hAnsi="Times New Roman" w:cs="Times New Roman"/>
          <w:sz w:val="24"/>
          <w:szCs w:val="24"/>
        </w:rPr>
        <w:t xml:space="preserve"> = 5 </w:t>
      </w:r>
      <w:r w:rsidR="00772ABE" w:rsidRPr="00C61B88">
        <w:rPr>
          <w:rFonts w:ascii="Times New Roman" w:hAnsi="Times New Roman" w:cs="Times New Roman"/>
          <w:sz w:val="24"/>
          <w:szCs w:val="24"/>
        </w:rPr>
        <w:t>datasets</w:t>
      </w:r>
      <w:r w:rsidR="005200D8" w:rsidRPr="00C61B88">
        <w:rPr>
          <w:rFonts w:ascii="Times New Roman" w:hAnsi="Times New Roman" w:cs="Times New Roman"/>
          <w:sz w:val="24"/>
          <w:szCs w:val="24"/>
        </w:rPr>
        <w:t>)</w:t>
      </w:r>
      <w:r w:rsidR="00D371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826"/>
        <w:gridCol w:w="904"/>
        <w:gridCol w:w="939"/>
        <w:gridCol w:w="775"/>
        <w:gridCol w:w="692"/>
        <w:gridCol w:w="891"/>
        <w:gridCol w:w="927"/>
        <w:gridCol w:w="1397"/>
      </w:tblGrid>
      <w:tr w:rsidR="003870D3" w:rsidRPr="00D37194" w14:paraId="0DF5DE6D" w14:textId="51DBBE8C" w:rsidTr="003870D3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F96AE" w14:textId="5224857B" w:rsidR="00C61B88" w:rsidRPr="00D37194" w:rsidRDefault="00C61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ataset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31FA469" w14:textId="30E0D5F6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 (°</w:t>
            </w: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F9E939" w14:textId="71503928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TE 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0904F2" w14:textId="69ABDBF0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R (</w:t>
            </w:r>
            <w:proofErr w:type="spellStart"/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0D6A" w14:textId="7B113FD2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8814" w14:textId="6FAC3EEC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219B" w14:textId="2A330D63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ap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9DAC7" w14:textId="28CD58C0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acq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D8C8C6" w14:textId="594CD054" w:rsidR="00C61B88" w:rsidRPr="00D37194" w:rsidRDefault="00C61B88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 (</w:t>
            </w:r>
            <w:proofErr w:type="spellStart"/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min:sec</w:t>
            </w:r>
            <w:proofErr w:type="spellEnd"/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70D3" w:rsidRPr="00D37194" w14:paraId="5626CD86" w14:textId="50AB2235" w:rsidTr="003870D3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2C62A808" w14:textId="27505C0C" w:rsidR="00C61B88" w:rsidRPr="00D37194" w:rsidRDefault="00C61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0C73B32F" w14:textId="74DE9ADE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26818D" w14:textId="562BE1F1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F9689A" w14:textId="780084BE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D509BB" w14:textId="37AD33BF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E32813" w14:textId="415C3E4A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850BE9" w14:textId="2CECD18C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D1297D" w14:textId="542F4D02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9D50C7" w14:textId="509E017B" w:rsidR="00C61B88" w:rsidRPr="00D37194" w:rsidRDefault="004E79EC" w:rsidP="00520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5: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70D3" w:rsidRPr="00D37194" w14:paraId="569D0457" w14:textId="0E704E96" w:rsidTr="003870D3">
        <w:tc>
          <w:tcPr>
            <w:tcW w:w="1030" w:type="dxa"/>
            <w:vAlign w:val="center"/>
          </w:tcPr>
          <w:p w14:paraId="29A76C64" w14:textId="389058DE" w:rsidR="00C61B88" w:rsidRPr="00D37194" w:rsidRDefault="004E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K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</w:p>
        </w:tc>
        <w:tc>
          <w:tcPr>
            <w:tcW w:w="1097" w:type="dxa"/>
          </w:tcPr>
          <w:p w14:paraId="1CE57664" w14:textId="4E5B3BEF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7E8068F" w14:textId="1B7C9235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AEF1B73" w14:textId="782E1AC8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</w:p>
        </w:tc>
        <w:tc>
          <w:tcPr>
            <w:tcW w:w="992" w:type="dxa"/>
            <w:vAlign w:val="center"/>
          </w:tcPr>
          <w:p w14:paraId="16F60296" w14:textId="22D3B024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  <w:vAlign w:val="center"/>
          </w:tcPr>
          <w:p w14:paraId="76CDE831" w14:textId="2E191A50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54518660" w14:textId="1413429C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497EB0" w14:textId="20DCCF15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14:paraId="7095B344" w14:textId="68DFFD88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</w:tr>
      <w:tr w:rsidR="003870D3" w:rsidRPr="00D37194" w14:paraId="00FF066E" w14:textId="51BEEED6" w:rsidTr="003870D3">
        <w:tc>
          <w:tcPr>
            <w:tcW w:w="1030" w:type="dxa"/>
            <w:vAlign w:val="center"/>
          </w:tcPr>
          <w:p w14:paraId="60BC53EC" w14:textId="564D1E9E" w:rsidR="00C61B88" w:rsidRPr="00D37194" w:rsidRDefault="00C61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YU_1</w:t>
            </w:r>
          </w:p>
        </w:tc>
        <w:tc>
          <w:tcPr>
            <w:tcW w:w="1097" w:type="dxa"/>
          </w:tcPr>
          <w:p w14:paraId="347E725C" w14:textId="62096316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1391E7" w14:textId="1B56D989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B0CB367" w14:textId="25793F32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14:paraId="33EC682A" w14:textId="6314561E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50" w:type="dxa"/>
            <w:vAlign w:val="center"/>
          </w:tcPr>
          <w:p w14:paraId="0F64EE86" w14:textId="6C2D9765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2E1F474C" w14:textId="2C15E71E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5327499" w14:textId="645C4552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58339612" w14:textId="390F13B9" w:rsidR="00C61B88" w:rsidRPr="00D37194" w:rsidRDefault="004E79EC" w:rsidP="0079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870D3" w:rsidRPr="00D37194" w14:paraId="4A217644" w14:textId="0AD9FC15" w:rsidTr="003870D3">
        <w:tc>
          <w:tcPr>
            <w:tcW w:w="1030" w:type="dxa"/>
            <w:vAlign w:val="center"/>
          </w:tcPr>
          <w:p w14:paraId="52A658F1" w14:textId="4D1D2329" w:rsidR="00C61B88" w:rsidRPr="00D37194" w:rsidRDefault="00C61B88" w:rsidP="0030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YU_2</w:t>
            </w:r>
          </w:p>
        </w:tc>
        <w:tc>
          <w:tcPr>
            <w:tcW w:w="1097" w:type="dxa"/>
          </w:tcPr>
          <w:p w14:paraId="060604EC" w14:textId="188C5AC5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536A43B" w14:textId="47F2FD01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06CD000" w14:textId="4C5324C0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14:paraId="52AEEB1F" w14:textId="643CA94E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50" w:type="dxa"/>
            <w:vAlign w:val="center"/>
          </w:tcPr>
          <w:p w14:paraId="1B7ED3D7" w14:textId="2D7D24E3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6B918ED5" w14:textId="34FCF0BB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B202F49" w14:textId="4179409F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7DBCA8EF" w14:textId="59FF83E2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870D3" w:rsidRPr="00D37194" w14:paraId="5E106D86" w14:textId="1DAD7A0A" w:rsidTr="003870D3">
        <w:tc>
          <w:tcPr>
            <w:tcW w:w="1030" w:type="dxa"/>
            <w:tcBorders>
              <w:bottom w:val="single" w:sz="4" w:space="0" w:color="auto"/>
            </w:tcBorders>
          </w:tcPr>
          <w:p w14:paraId="6580AE92" w14:textId="14ADFF56" w:rsidR="00C61B88" w:rsidRPr="00D37194" w:rsidRDefault="004E79EC" w:rsidP="0030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DSU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6E92CD7" w14:textId="77432737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C8C2B0" w14:textId="69E5BD6C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E64CAC" w14:textId="788A45FE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B604AA" w14:textId="418DC51B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D9745" w14:textId="1268F490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0FDAB" w14:textId="5F7AF42E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A300F4" w14:textId="7CAABD40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D814A4" w14:textId="21EAEC42" w:rsidR="00C61B88" w:rsidRPr="00D37194" w:rsidRDefault="004E79EC" w:rsidP="0030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9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D37194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</w:tr>
    </w:tbl>
    <w:p w14:paraId="0F192FA1" w14:textId="73135EA3" w:rsidR="00F84D28" w:rsidRPr="00D37194" w:rsidRDefault="00C61B88">
      <w:pP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D37194">
        <w:rPr>
          <w:rFonts w:ascii="Times New Roman" w:hAnsi="Times New Roman" w:cs="Times New Roman"/>
          <w:sz w:val="20"/>
          <w:szCs w:val="20"/>
        </w:rPr>
        <w:t>GU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Pr="00D37194">
        <w:rPr>
          <w:rFonts w:ascii="Times New Roman" w:hAnsi="Times New Roman" w:cs="Times New Roman"/>
          <w:sz w:val="20"/>
          <w:szCs w:val="20"/>
        </w:rPr>
        <w:t xml:space="preserve"> Georgetown University; </w:t>
      </w:r>
      <w:r w:rsidR="004E79EC" w:rsidRPr="00D37194">
        <w:rPr>
          <w:rFonts w:ascii="Times New Roman" w:hAnsi="Times New Roman" w:cs="Times New Roman"/>
          <w:sz w:val="20"/>
          <w:szCs w:val="20"/>
        </w:rPr>
        <w:t>KKI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="004E79EC" w:rsidRPr="00D37194">
        <w:rPr>
          <w:rFonts w:ascii="Times New Roman" w:hAnsi="Times New Roman" w:cs="Times New Roman"/>
          <w:sz w:val="20"/>
          <w:szCs w:val="20"/>
        </w:rPr>
        <w:t xml:space="preserve"> Kennedy Krieger Institute; </w:t>
      </w:r>
      <w:r w:rsidRPr="00D37194">
        <w:rPr>
          <w:rFonts w:ascii="Times New Roman" w:hAnsi="Times New Roman" w:cs="Times New Roman"/>
          <w:sz w:val="20"/>
          <w:szCs w:val="20"/>
        </w:rPr>
        <w:t>NYU_1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Pr="00D37194">
        <w:rPr>
          <w:rFonts w:ascii="Times New Roman" w:hAnsi="Times New Roman" w:cs="Times New Roman"/>
          <w:sz w:val="20"/>
          <w:szCs w:val="20"/>
        </w:rPr>
        <w:t xml:space="preserve"> </w:t>
      </w:r>
      <w:r w:rsidR="00D37194">
        <w:rPr>
          <w:rFonts w:ascii="Times New Roman" w:hAnsi="Times New Roman" w:cs="Times New Roman"/>
          <w:sz w:val="20"/>
          <w:szCs w:val="20"/>
        </w:rPr>
        <w:t xml:space="preserve">New York University </w:t>
      </w:r>
      <w:r w:rsidRPr="00D37194">
        <w:rPr>
          <w:rFonts w:ascii="Times New Roman" w:hAnsi="Times New Roman" w:cs="Times New Roman"/>
          <w:sz w:val="20"/>
          <w:szCs w:val="20"/>
        </w:rPr>
        <w:t>Langone Medical Center, Sample 1; NYU_2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Pr="00D37194">
        <w:rPr>
          <w:rFonts w:ascii="Times New Roman" w:hAnsi="Times New Roman" w:cs="Times New Roman"/>
          <w:sz w:val="20"/>
          <w:szCs w:val="20"/>
        </w:rPr>
        <w:t xml:space="preserve"> </w:t>
      </w:r>
      <w:r w:rsidR="00D37194">
        <w:rPr>
          <w:rFonts w:ascii="Times New Roman" w:hAnsi="Times New Roman" w:cs="Times New Roman"/>
          <w:sz w:val="20"/>
          <w:szCs w:val="20"/>
        </w:rPr>
        <w:t xml:space="preserve">New York University </w:t>
      </w:r>
      <w:r w:rsidRPr="00D37194">
        <w:rPr>
          <w:rFonts w:ascii="Times New Roman" w:hAnsi="Times New Roman" w:cs="Times New Roman"/>
          <w:sz w:val="20"/>
          <w:szCs w:val="20"/>
        </w:rPr>
        <w:t xml:space="preserve">Langone Medical Center, Sample </w:t>
      </w:r>
      <w:r w:rsidR="00D37194">
        <w:rPr>
          <w:rFonts w:ascii="Times New Roman" w:hAnsi="Times New Roman" w:cs="Times New Roman"/>
          <w:sz w:val="20"/>
          <w:szCs w:val="20"/>
        </w:rPr>
        <w:t>2</w:t>
      </w:r>
      <w:r w:rsidRPr="00D37194">
        <w:rPr>
          <w:rFonts w:ascii="Times New Roman" w:hAnsi="Times New Roman" w:cs="Times New Roman"/>
          <w:sz w:val="20"/>
          <w:szCs w:val="20"/>
        </w:rPr>
        <w:t xml:space="preserve">; </w:t>
      </w:r>
      <w:r w:rsidR="004E79EC" w:rsidRPr="00D37194">
        <w:rPr>
          <w:rFonts w:ascii="Times New Roman" w:hAnsi="Times New Roman" w:cs="Times New Roman"/>
          <w:sz w:val="20"/>
          <w:szCs w:val="20"/>
        </w:rPr>
        <w:t>SDSU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="004E79EC" w:rsidRPr="00D37194">
        <w:rPr>
          <w:rFonts w:ascii="Times New Roman" w:hAnsi="Times New Roman" w:cs="Times New Roman"/>
          <w:sz w:val="20"/>
          <w:szCs w:val="20"/>
        </w:rPr>
        <w:t xml:space="preserve"> San Diego State University; FA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="004E79EC" w:rsidRPr="00D37194">
        <w:rPr>
          <w:rFonts w:ascii="Times New Roman" w:hAnsi="Times New Roman" w:cs="Times New Roman"/>
          <w:sz w:val="20"/>
          <w:szCs w:val="20"/>
        </w:rPr>
        <w:t xml:space="preserve"> flip angle; TE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="004E79EC" w:rsidRPr="00D37194">
        <w:rPr>
          <w:rFonts w:ascii="Times New Roman" w:hAnsi="Times New Roman" w:cs="Times New Roman"/>
          <w:sz w:val="20"/>
          <w:szCs w:val="20"/>
        </w:rPr>
        <w:t xml:space="preserve"> echo time; </w:t>
      </w:r>
      <w:r w:rsidR="000A5955" w:rsidRPr="00D37194">
        <w:rPr>
          <w:rFonts w:ascii="Times New Roman" w:hAnsi="Times New Roman" w:cs="Times New Roman"/>
          <w:sz w:val="20"/>
          <w:szCs w:val="20"/>
        </w:rPr>
        <w:t>TR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="000A5955" w:rsidRPr="00D37194">
        <w:rPr>
          <w:rFonts w:ascii="Times New Roman" w:hAnsi="Times New Roman" w:cs="Times New Roman"/>
          <w:sz w:val="20"/>
          <w:szCs w:val="20"/>
        </w:rPr>
        <w:t xml:space="preserve"> repetition time; PE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="000A5955" w:rsidRPr="00D37194">
        <w:rPr>
          <w:rFonts w:ascii="Times New Roman" w:hAnsi="Times New Roman" w:cs="Times New Roman"/>
          <w:sz w:val="20"/>
          <w:szCs w:val="20"/>
        </w:rPr>
        <w:t xml:space="preserve"> phase encoding; 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AP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anterior to posterior; RL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right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to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left; </w:t>
      </w:r>
      <w:r w:rsidR="000A5955" w:rsidRPr="00D37194">
        <w:rPr>
          <w:rFonts w:ascii="Times New Roman" w:hAnsi="Times New Roman" w:cs="Times New Roman"/>
          <w:sz w:val="20"/>
          <w:szCs w:val="20"/>
        </w:rPr>
        <w:t>SA</w:t>
      </w:r>
      <w:r w:rsidR="00D37194">
        <w:rPr>
          <w:rFonts w:ascii="Times New Roman" w:hAnsi="Times New Roman" w:cs="Times New Roman"/>
          <w:sz w:val="20"/>
          <w:szCs w:val="20"/>
        </w:rPr>
        <w:t>,</w:t>
      </w:r>
      <w:r w:rsidR="000A5955" w:rsidRPr="00D37194">
        <w:rPr>
          <w:rFonts w:ascii="Times New Roman" w:hAnsi="Times New Roman" w:cs="Times New Roman"/>
          <w:sz w:val="20"/>
          <w:szCs w:val="20"/>
        </w:rPr>
        <w:t xml:space="preserve"> slice acquisition order; 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IA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interleaved ascending; A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ascending; Gap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gap between slices; </w:t>
      </w:r>
      <w:proofErr w:type="spellStart"/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Nacq</w:t>
      </w:r>
      <w:proofErr w:type="spellEnd"/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number of volumes collected; TA</w:t>
      </w:r>
      <w:r w:rsid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0A5955" w:rsidRPr="00D37194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acquisition time.</w:t>
      </w:r>
    </w:p>
    <w:p w14:paraId="7D22D25A" w14:textId="77777777" w:rsidR="00D73156" w:rsidRDefault="00D73156">
      <w:pPr>
        <w:rPr>
          <w:rFonts w:ascii="Times New Roman" w:hAnsi="Times New Roman" w:cs="Times New Roman"/>
          <w:sz w:val="24"/>
          <w:szCs w:val="24"/>
        </w:rPr>
      </w:pPr>
    </w:p>
    <w:p w14:paraId="074F0372" w14:textId="77777777" w:rsidR="00D73156" w:rsidRDefault="00D73156">
      <w:pPr>
        <w:rPr>
          <w:rFonts w:ascii="Times New Roman" w:hAnsi="Times New Roman" w:cs="Times New Roman"/>
          <w:sz w:val="24"/>
          <w:szCs w:val="24"/>
        </w:rPr>
      </w:pPr>
    </w:p>
    <w:p w14:paraId="4DE8A652" w14:textId="106C49AE" w:rsidR="002F2996" w:rsidRDefault="00D73156">
      <w:pP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8909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7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94">
        <w:rPr>
          <w:rFonts w:ascii="Times New Roman" w:hAnsi="Times New Roman" w:cs="Times New Roman"/>
          <w:sz w:val="24"/>
          <w:szCs w:val="24"/>
        </w:rPr>
        <w:t>M</w:t>
      </w:r>
      <w:r w:rsidRPr="00D7315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ediation </w:t>
      </w:r>
      <w:r w:rsidR="000F031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analysis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of </w:t>
      </w:r>
      <w:r w:rsidR="000F031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overlapped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D7315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FC 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links </w:t>
      </w:r>
      <w:r w:rsidRPr="00D7315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on the </w:t>
      </w:r>
      <w:r w:rsidR="000F031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effect of EF on social function in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ASD</w:t>
      </w:r>
      <w:r w:rsidR="000F031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subjects</w:t>
      </w:r>
      <w:r w:rsidRPr="00D7315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.</w:t>
      </w:r>
    </w:p>
    <w:p w14:paraId="3899EDEF" w14:textId="52ACC234" w:rsidR="00D73156" w:rsidRDefault="009E41D0">
      <w:pP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48A33728" wp14:editId="1E9D6AB4">
            <wp:extent cx="5274310" cy="21329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9F80F" w14:textId="0193C1F1" w:rsidR="00D73156" w:rsidRDefault="000F031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F0316">
        <w:rPr>
          <w:rFonts w:ascii="Times New Roman" w:hAnsi="Times New Roman" w:cs="Times New Roman" w:hint="eastAsia"/>
          <w:color w:val="222222"/>
          <w:sz w:val="20"/>
          <w:szCs w:val="20"/>
          <w:shd w:val="clear" w:color="auto" w:fill="FFFFFF"/>
        </w:rPr>
        <w:t>N</w:t>
      </w:r>
      <w:r w:rsidRPr="000F03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ote: </w:t>
      </w:r>
      <w:r w:rsidR="002F272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A. </w:t>
      </w:r>
      <w:r w:rsidR="0063146A" w:rsidRP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Mediation model for the mediation of the </w:t>
      </w:r>
      <w:r w:rsid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FC between left putamen and right superior frontal gyrus on the correlation between EF and social function in ASD individuals. B. </w:t>
      </w:r>
      <w:r w:rsidR="0063146A" w:rsidRP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Mediation model for the mediation of the </w:t>
      </w:r>
      <w:r w:rsid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FC between left caudate and right supramarginal gyrus on the correlation between EF and social function in ASD individuals.</w:t>
      </w:r>
      <w:r w:rsidR="0063146A" w:rsidRP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C. </w:t>
      </w:r>
      <w:r w:rsidR="0063146A" w:rsidRP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Mediation model for the mediation of the </w:t>
      </w:r>
      <w:r w:rsid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FC between right putamen and left gyrus rectus on the correlation between EF and social function in ASD individuals.</w:t>
      </w:r>
      <w:r w:rsidR="0063146A" w:rsidRP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D. </w:t>
      </w:r>
      <w:r w:rsidR="0063146A" w:rsidRP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Mediation model for the mediation of the </w:t>
      </w:r>
      <w:r w:rsidR="006314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FC between right putamen and left paracentral lobule on the correlation between EF and social function in ASD individuals.</w:t>
      </w:r>
    </w:p>
    <w:p w14:paraId="1C83E1BE" w14:textId="0A77E96E" w:rsidR="000E120C" w:rsidRPr="000E120C" w:rsidRDefault="000E120C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E120C">
        <w:rPr>
          <w:rFonts w:ascii="Times New Roman" w:hAnsi="Times New Roman" w:cs="Times New Roman" w:hint="eastAsia"/>
          <w:color w:val="222222"/>
          <w:sz w:val="20"/>
          <w:szCs w:val="20"/>
          <w:shd w:val="clear" w:color="auto" w:fill="FFFFFF"/>
        </w:rPr>
        <w:t>S</w:t>
      </w:r>
      <w:r w:rsidRPr="000E120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RS: Social Responsiveness Scale; BRIEF: Behavior Rating Inventory of Executive Function; eff: effect; SE: standard error; CI: confidence interval.</w:t>
      </w:r>
    </w:p>
    <w:sectPr w:rsidR="000E120C" w:rsidRPr="000E120C" w:rsidSect="00387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BBEA" w14:textId="77777777" w:rsidR="00D97517" w:rsidRDefault="00D97517" w:rsidP="00F84D28">
      <w:r>
        <w:separator/>
      </w:r>
    </w:p>
  </w:endnote>
  <w:endnote w:type="continuationSeparator" w:id="0">
    <w:p w14:paraId="627D275D" w14:textId="77777777" w:rsidR="00D97517" w:rsidRDefault="00D97517" w:rsidP="00F8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3670" w14:textId="77777777" w:rsidR="00D97517" w:rsidRDefault="00D97517" w:rsidP="00F84D28">
      <w:r>
        <w:separator/>
      </w:r>
    </w:p>
  </w:footnote>
  <w:footnote w:type="continuationSeparator" w:id="0">
    <w:p w14:paraId="38C9C918" w14:textId="77777777" w:rsidR="00D97517" w:rsidRDefault="00D97517" w:rsidP="00F8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7E"/>
    <w:rsid w:val="000A5955"/>
    <w:rsid w:val="000E120C"/>
    <w:rsid w:val="000F0316"/>
    <w:rsid w:val="00132E68"/>
    <w:rsid w:val="002F2723"/>
    <w:rsid w:val="002F2996"/>
    <w:rsid w:val="00301552"/>
    <w:rsid w:val="003870D3"/>
    <w:rsid w:val="00436B5E"/>
    <w:rsid w:val="004E79EC"/>
    <w:rsid w:val="005200D8"/>
    <w:rsid w:val="00574594"/>
    <w:rsid w:val="0063146A"/>
    <w:rsid w:val="006A5C79"/>
    <w:rsid w:val="006F0350"/>
    <w:rsid w:val="0071351E"/>
    <w:rsid w:val="00751265"/>
    <w:rsid w:val="00772ABE"/>
    <w:rsid w:val="007973B8"/>
    <w:rsid w:val="00890940"/>
    <w:rsid w:val="009C367E"/>
    <w:rsid w:val="009E41D0"/>
    <w:rsid w:val="00A2204F"/>
    <w:rsid w:val="00A53330"/>
    <w:rsid w:val="00C61B88"/>
    <w:rsid w:val="00D04C24"/>
    <w:rsid w:val="00D37194"/>
    <w:rsid w:val="00D50C23"/>
    <w:rsid w:val="00D61B6A"/>
    <w:rsid w:val="00D73156"/>
    <w:rsid w:val="00D97517"/>
    <w:rsid w:val="00DE5280"/>
    <w:rsid w:val="00E602C1"/>
    <w:rsid w:val="00F84D28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C0D53"/>
  <w15:chartTrackingRefBased/>
  <w15:docId w15:val="{569DAA4D-127A-4FB3-A4A3-E197B790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D28"/>
    <w:rPr>
      <w:sz w:val="18"/>
      <w:szCs w:val="18"/>
    </w:rPr>
  </w:style>
  <w:style w:type="table" w:styleId="a7">
    <w:name w:val="Table Grid"/>
    <w:basedOn w:val="a1"/>
    <w:uiPriority w:val="39"/>
    <w:rsid w:val="0052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7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393D-877B-4DD4-8D38-9681D96E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安易</dc:creator>
  <cp:keywords/>
  <dc:description/>
  <cp:lastModifiedBy>张 安易</cp:lastModifiedBy>
  <cp:revision>17</cp:revision>
  <dcterms:created xsi:type="dcterms:W3CDTF">2021-04-13T02:22:00Z</dcterms:created>
  <dcterms:modified xsi:type="dcterms:W3CDTF">2021-08-22T12:59:00Z</dcterms:modified>
</cp:coreProperties>
</file>