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6E" w:rsidRPr="00834468" w:rsidRDefault="0023210E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34468">
        <w:rPr>
          <w:rFonts w:ascii="Times New Roman" w:hAnsi="Times New Roman" w:cs="Times New Roman"/>
          <w:sz w:val="20"/>
          <w:szCs w:val="20"/>
        </w:rPr>
        <w:t>Online Appendix</w:t>
      </w:r>
    </w:p>
    <w:p w:rsidR="00A93BAA" w:rsidRPr="00834468" w:rsidRDefault="00A93BAA" w:rsidP="00834468">
      <w:pPr>
        <w:pStyle w:val="Heading1"/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4468">
        <w:rPr>
          <w:rFonts w:ascii="Times New Roman" w:hAnsi="Times New Roman" w:cs="Times New Roman"/>
          <w:color w:val="auto"/>
          <w:sz w:val="20"/>
          <w:szCs w:val="20"/>
        </w:rPr>
        <w:t xml:space="preserve">1a: Variable </w:t>
      </w:r>
      <w:r w:rsidR="001C48D5" w:rsidRPr="00834468">
        <w:rPr>
          <w:rFonts w:ascii="Times New Roman" w:hAnsi="Times New Roman" w:cs="Times New Roman"/>
          <w:color w:val="auto"/>
          <w:sz w:val="20"/>
          <w:szCs w:val="20"/>
        </w:rPr>
        <w:t>Definition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070"/>
        <w:gridCol w:w="5040"/>
        <w:gridCol w:w="1520"/>
      </w:tblGrid>
      <w:tr w:rsidR="008E3F3D" w:rsidRPr="00834468" w:rsidTr="008E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Variable</w:t>
            </w:r>
          </w:p>
        </w:tc>
        <w:tc>
          <w:tcPr>
            <w:tcW w:w="5040" w:type="dxa"/>
          </w:tcPr>
          <w:p w:rsidR="008E3F3D" w:rsidRPr="00834468" w:rsidRDefault="001D3292" w:rsidP="00834468">
            <w:pPr>
              <w:adjustRightInd w:val="0"/>
              <w:snapToGrid w:val="0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Short </w:t>
            </w:r>
            <w:r w:rsidR="008E3F3D"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Definition</w:t>
            </w:r>
          </w:p>
        </w:tc>
        <w:tc>
          <w:tcPr>
            <w:tcW w:w="152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Source</w:t>
            </w:r>
          </w:p>
        </w:tc>
      </w:tr>
      <w:tr w:rsidR="008E3F3D" w:rsidRPr="00834468" w:rsidTr="008E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7B2DDC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Gini Disposable</w:t>
            </w:r>
          </w:p>
        </w:tc>
        <w:tc>
          <w:tcPr>
            <w:tcW w:w="5040" w:type="dxa"/>
          </w:tcPr>
          <w:p w:rsidR="008E3F3D" w:rsidRPr="00834468" w:rsidRDefault="007B2DDC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 xml:space="preserve">Estimate of Gini index of inequality in equalized (square root scale) household disposable (post-tax, post-transfer) income. </w:t>
            </w:r>
          </w:p>
        </w:tc>
        <w:tc>
          <w:tcPr>
            <w:tcW w:w="1520" w:type="dxa"/>
          </w:tcPr>
          <w:p w:rsidR="008E3F3D" w:rsidRPr="00834468" w:rsidRDefault="007B2DDC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834468">
              <w:rPr>
                <w:rFonts w:ascii="Times New Roman" w:hAnsi="Times New Roman" w:cs="Times New Roman"/>
                <w:sz w:val="20"/>
                <w:szCs w:val="20"/>
              </w:rPr>
              <w:instrText>ADDIN CSL_CITATION {"citationItems":[{"id":"ITEM-1","itemData":{"author":[{"dropping-particle":"","family":"Solt","given":"Frederick","non-dropping-particle":"","parse-names":false,"suffix":""}],"container-title":"Social Science Quarterly","id":"ITEM-1","issued":{"date-parts":[["2020"]]},"page":"1-6","title":"Measuring Income Inequality Across Countries and Over Time: The Standardized World Income Inequality Database","type":"patent","volume":"9.0"},"uris":["http://www.mendeley.com/documents/?uuid=db45720d-3dc2-46d3-8993-4d107053a0a0"]}],"mendeley":{"formattedCitation":"(Solt, 2020)","plainTextFormattedCitation":"(Solt, 2020)"},"properties":{"noteIndex":0},"schema":"https://github.com/citation-style-language/schema/raw/master/csl-citation.json"}</w:instrText>
            </w:r>
            <w:r w:rsidRPr="008344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34468">
              <w:rPr>
                <w:rFonts w:ascii="Times New Roman" w:hAnsi="Times New Roman" w:cs="Times New Roman"/>
                <w:noProof/>
                <w:sz w:val="20"/>
                <w:szCs w:val="20"/>
              </w:rPr>
              <w:t>(Solt, 2020)</w:t>
            </w:r>
            <w:r w:rsidRPr="008344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B2DDC" w:rsidRPr="00834468" w:rsidTr="008E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7B2DDC" w:rsidRPr="00834468" w:rsidRDefault="007B2DDC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Gini Market</w:t>
            </w:r>
          </w:p>
        </w:tc>
        <w:tc>
          <w:tcPr>
            <w:tcW w:w="5040" w:type="dxa"/>
          </w:tcPr>
          <w:p w:rsidR="007B2DDC" w:rsidRPr="00834468" w:rsidRDefault="007B2DDC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Estimate of Gini index of inequality in equalized (square root scale) household market (pre-tax, pre-transfer) income,</w:t>
            </w:r>
          </w:p>
        </w:tc>
        <w:tc>
          <w:tcPr>
            <w:tcW w:w="1520" w:type="dxa"/>
          </w:tcPr>
          <w:p w:rsidR="007B2DDC" w:rsidRPr="00834468" w:rsidRDefault="007B2DDC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834468">
              <w:rPr>
                <w:rFonts w:ascii="Times New Roman" w:hAnsi="Times New Roman" w:cs="Times New Roman"/>
                <w:sz w:val="20"/>
                <w:szCs w:val="20"/>
              </w:rPr>
              <w:instrText>ADDIN CSL_CITATION {"citationItems":[{"id":"ITEM-1","itemData":{"author":[{"dropping-particle":"","family":"Solt","given":"Frederick","non-dropping-particle":"","parse-names":false,"suffix":""}],"container-title":"Social Science Quarterly","id":"ITEM-1","issued":{"date-parts":[["2020"]]},"page":"1-6","title":"Measuring Income Inequality Across Countries and Over Time: The Standardized World Income Inequality Database","type":"patent","volume":"9.0"},"uris":["http://www.mendeley.com/documents/?uuid=db45720d-3dc2-46d3-8993-4d107053a0a0"]}],"mendeley":{"formattedCitation":"(Solt, 2020)","plainTextFormattedCitation":"(Solt, 2020)"},"properties":{"noteIndex":0},"schema":"https://github.com/citation-style-language/schema/raw/master/csl-citation.json"}</w:instrText>
            </w:r>
            <w:r w:rsidRPr="008344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34468">
              <w:rPr>
                <w:rFonts w:ascii="Times New Roman" w:hAnsi="Times New Roman" w:cs="Times New Roman"/>
                <w:noProof/>
                <w:sz w:val="20"/>
                <w:szCs w:val="20"/>
              </w:rPr>
              <w:t>(Solt, 2020)</w:t>
            </w:r>
            <w:r w:rsidRPr="008344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E3F3D" w:rsidRPr="00834468" w:rsidTr="008E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CO2 Emission</w:t>
            </w:r>
          </w:p>
        </w:tc>
        <w:tc>
          <w:tcPr>
            <w:tcW w:w="504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CO2 emissions (metric tons per capita)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Oil Rent</w:t>
            </w:r>
          </w:p>
        </w:tc>
        <w:tc>
          <w:tcPr>
            <w:tcW w:w="504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Oil rents (% of GDP)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Methane Emission</w:t>
            </w:r>
          </w:p>
        </w:tc>
        <w:tc>
          <w:tcPr>
            <w:tcW w:w="504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Agricultural methane emissions (% of total)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Fossil Fuel Consumption </w:t>
            </w:r>
          </w:p>
        </w:tc>
        <w:tc>
          <w:tcPr>
            <w:tcW w:w="504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Fossil fuel energy consumption (% of total)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Forest Area</w:t>
            </w:r>
          </w:p>
        </w:tc>
        <w:tc>
          <w:tcPr>
            <w:tcW w:w="5040" w:type="dxa"/>
          </w:tcPr>
          <w:p w:rsidR="008E3F3D" w:rsidRPr="00834468" w:rsidRDefault="008E3F3D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Forest area (% of land area)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9103F9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AGRI Forest &amp; Fish Value Added</w:t>
            </w:r>
          </w:p>
        </w:tc>
        <w:tc>
          <w:tcPr>
            <w:tcW w:w="5040" w:type="dxa"/>
          </w:tcPr>
          <w:p w:rsidR="008E3F3D" w:rsidRPr="00834468" w:rsidRDefault="009103F9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Agriculture, forestry, and fishing, value added (% of GDP)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9103F9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Population Growth</w:t>
            </w:r>
          </w:p>
        </w:tc>
        <w:tc>
          <w:tcPr>
            <w:tcW w:w="5040" w:type="dxa"/>
          </w:tcPr>
          <w:p w:rsidR="008E3F3D" w:rsidRPr="00834468" w:rsidRDefault="009103F9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Population growth (annual %)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9103F9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Urban Pop Growth</w:t>
            </w:r>
          </w:p>
        </w:tc>
        <w:tc>
          <w:tcPr>
            <w:tcW w:w="5040" w:type="dxa"/>
          </w:tcPr>
          <w:p w:rsidR="008E3F3D" w:rsidRPr="00834468" w:rsidRDefault="009103F9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Urban population growth (annual %)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797989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GDP Per Capita Growth</w:t>
            </w:r>
          </w:p>
        </w:tc>
        <w:tc>
          <w:tcPr>
            <w:tcW w:w="5040" w:type="dxa"/>
          </w:tcPr>
          <w:p w:rsidR="008E3F3D" w:rsidRPr="00834468" w:rsidRDefault="00797989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GDP Per Capita Income growth (annual %)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797989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School Enrollment</w:t>
            </w:r>
          </w:p>
        </w:tc>
        <w:tc>
          <w:tcPr>
            <w:tcW w:w="5040" w:type="dxa"/>
          </w:tcPr>
          <w:p w:rsidR="008E3F3D" w:rsidRPr="00834468" w:rsidRDefault="00797989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 xml:space="preserve">Primary &amp; Secondary School </w:t>
            </w:r>
            <w:r w:rsidR="00F87F58" w:rsidRPr="00834468">
              <w:rPr>
                <w:rFonts w:ascii="Times New Roman" w:hAnsi="Times New Roman" w:cs="Times New Roman"/>
                <w:sz w:val="20"/>
                <w:szCs w:val="20"/>
              </w:rPr>
              <w:t>enrollment ratio (% total)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F87F58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Arable Land</w:t>
            </w:r>
          </w:p>
        </w:tc>
        <w:tc>
          <w:tcPr>
            <w:tcW w:w="5040" w:type="dxa"/>
          </w:tcPr>
          <w:p w:rsidR="008E3F3D" w:rsidRPr="00834468" w:rsidRDefault="00F87F58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Arable land (% of land area)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  <w:tr w:rsidR="008E3F3D" w:rsidRPr="00834468" w:rsidTr="008E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8E3F3D" w:rsidRPr="00834468" w:rsidRDefault="00F87F58" w:rsidP="00834468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Fertilizer Cons Kg Per </w:t>
            </w:r>
            <w:proofErr w:type="spellStart"/>
            <w:r w:rsidRPr="00834468">
              <w:rPr>
                <w:rFonts w:ascii="Times New Roman" w:hAnsi="Times New Roman" w:cs="Times New Roman"/>
                <w:b w:val="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5040" w:type="dxa"/>
          </w:tcPr>
          <w:p w:rsidR="008E3F3D" w:rsidRPr="00834468" w:rsidRDefault="00F87F58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Fertilizer consumption (kilograms per hectare of arable land)</w:t>
            </w:r>
          </w:p>
        </w:tc>
        <w:tc>
          <w:tcPr>
            <w:tcW w:w="1520" w:type="dxa"/>
          </w:tcPr>
          <w:p w:rsidR="008E3F3D" w:rsidRPr="00834468" w:rsidRDefault="00D7145C" w:rsidP="00834468">
            <w:pPr>
              <w:adjustRightInd w:val="0"/>
              <w:snapToGrid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468">
              <w:rPr>
                <w:rFonts w:ascii="Times New Roman" w:hAnsi="Times New Roman" w:cs="Times New Roman"/>
                <w:sz w:val="20"/>
                <w:szCs w:val="20"/>
              </w:rPr>
              <w:t>WDI, 2021</w:t>
            </w:r>
          </w:p>
        </w:tc>
      </w:tr>
    </w:tbl>
    <w:p w:rsidR="007940A5" w:rsidRPr="00834468" w:rsidRDefault="007940A5" w:rsidP="00834468">
      <w:pPr>
        <w:pStyle w:val="Heading1"/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4468">
        <w:rPr>
          <w:rFonts w:ascii="Times New Roman" w:hAnsi="Times New Roman" w:cs="Times New Roman"/>
          <w:color w:val="auto"/>
          <w:sz w:val="20"/>
          <w:szCs w:val="20"/>
        </w:rPr>
        <w:t xml:space="preserve">1b. Panel Data Unit Root Test </w:t>
      </w:r>
    </w:p>
    <w:p w:rsidR="008E3F3D" w:rsidRPr="00834468" w:rsidRDefault="008E3F3D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A93BAA" w:rsidRPr="00834468" w:rsidRDefault="00A93BAA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73753" w:rsidRPr="00834468" w:rsidRDefault="00D73753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73753" w:rsidRPr="00834468" w:rsidRDefault="00D73753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73753" w:rsidRPr="00834468" w:rsidRDefault="00D73753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73753" w:rsidRPr="00834468" w:rsidRDefault="00D73753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73753" w:rsidRPr="00834468" w:rsidRDefault="00D73753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0394B" w:rsidRPr="00834468" w:rsidRDefault="0020394B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73753" w:rsidRPr="00834468" w:rsidRDefault="00D73753" w:rsidP="00834468">
      <w:pPr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3210E" w:rsidRPr="00834468" w:rsidRDefault="007940A5" w:rsidP="00834468">
      <w:pPr>
        <w:pStyle w:val="Heading1"/>
        <w:adjustRightInd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4468">
        <w:rPr>
          <w:rFonts w:ascii="Times New Roman" w:hAnsi="Times New Roman" w:cs="Times New Roman"/>
          <w:color w:val="auto"/>
          <w:sz w:val="20"/>
          <w:szCs w:val="20"/>
        </w:rPr>
        <w:lastRenderedPageBreak/>
        <w:t>1c</w:t>
      </w:r>
      <w:r w:rsidR="0023210E" w:rsidRPr="00834468">
        <w:rPr>
          <w:rFonts w:ascii="Times New Roman" w:hAnsi="Times New Roman" w:cs="Times New Roman"/>
          <w:color w:val="auto"/>
          <w:sz w:val="20"/>
          <w:szCs w:val="20"/>
        </w:rPr>
        <w:t xml:space="preserve">: Main Indicators for Emission-Inequality Nexus </w:t>
      </w:r>
    </w:p>
    <w:p w:rsidR="008867E8" w:rsidRPr="00834468" w:rsidRDefault="008867E8" w:rsidP="00834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446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53406FF" wp14:editId="57FD1E08">
            <wp:extent cx="5441950" cy="2444750"/>
            <wp:effectExtent l="0" t="0" r="635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67E8" w:rsidRPr="00834468" w:rsidRDefault="008867E8" w:rsidP="00834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446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A53976" wp14:editId="059A3F49">
            <wp:extent cx="5448300" cy="2520950"/>
            <wp:effectExtent l="0" t="0" r="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372C" w:rsidRPr="00834468" w:rsidRDefault="008867E8" w:rsidP="00834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446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E17E9C" wp14:editId="6DC2E22A">
            <wp:extent cx="5435600" cy="2514600"/>
            <wp:effectExtent l="0" t="0" r="1270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182D" w:rsidRPr="00834468" w:rsidRDefault="007940A5" w:rsidP="00834468">
      <w:pPr>
        <w:pStyle w:val="Heading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4468">
        <w:rPr>
          <w:rFonts w:ascii="Times New Roman" w:hAnsi="Times New Roman" w:cs="Times New Roman"/>
          <w:color w:val="auto"/>
          <w:sz w:val="20"/>
          <w:szCs w:val="20"/>
        </w:rPr>
        <w:lastRenderedPageBreak/>
        <w:t>1d</w:t>
      </w:r>
      <w:r w:rsidR="006C182D" w:rsidRPr="00834468">
        <w:rPr>
          <w:rFonts w:ascii="Times New Roman" w:hAnsi="Times New Roman" w:cs="Times New Roman"/>
          <w:color w:val="auto"/>
          <w:sz w:val="20"/>
          <w:szCs w:val="20"/>
        </w:rPr>
        <w:t>. Lagged CO2 Emission</w:t>
      </w:r>
    </w:p>
    <w:p w:rsidR="006C182D" w:rsidRPr="00834468" w:rsidRDefault="006C182D" w:rsidP="00834468">
      <w:pPr>
        <w:adjustRightInd w:val="0"/>
        <w:snapToGrid w:val="0"/>
        <w:spacing w:before="100" w:beforeAutospacing="1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468">
        <w:rPr>
          <w:rFonts w:ascii="Times New Roman" w:hAnsi="Times New Roman" w:cs="Times New Roman"/>
          <w:sz w:val="20"/>
          <w:szCs w:val="20"/>
        </w:rPr>
        <w:t>Table 7. IV Regression for Gini with Lagged CO2 Emission</w:t>
      </w:r>
    </w:p>
    <w:tbl>
      <w:tblPr>
        <w:tblStyle w:val="PlainTable21"/>
        <w:tblW w:w="8730" w:type="dxa"/>
        <w:tblLook w:val="04A0" w:firstRow="1" w:lastRow="0" w:firstColumn="1" w:lastColumn="0" w:noHBand="0" w:noVBand="1"/>
      </w:tblPr>
      <w:tblGrid>
        <w:gridCol w:w="1530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6C182D" w:rsidRPr="00834468" w:rsidTr="00C04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9"/>
            <w:noWrap/>
            <w:hideMark/>
          </w:tcPr>
          <w:p w:rsidR="006C182D" w:rsidRPr="00834468" w:rsidRDefault="006C182D" w:rsidP="0083446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Panel A: Two-Stage Least Squares</w:t>
            </w:r>
          </w:p>
        </w:tc>
      </w:tr>
      <w:tr w:rsidR="006C182D" w:rsidRPr="00834468" w:rsidTr="00C0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noWrap/>
            <w:hideMark/>
          </w:tcPr>
          <w:p w:rsidR="006C182D" w:rsidRPr="00834468" w:rsidRDefault="006C182D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Dependent Variable </w:t>
            </w:r>
          </w:p>
          <w:p w:rsidR="006C182D" w:rsidRPr="00834468" w:rsidRDefault="006C182D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Gini Disposable</w:t>
            </w:r>
          </w:p>
        </w:tc>
        <w:tc>
          <w:tcPr>
            <w:tcW w:w="1808" w:type="dxa"/>
            <w:gridSpan w:val="2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Gini Market</w:t>
            </w:r>
          </w:p>
        </w:tc>
        <w:tc>
          <w:tcPr>
            <w:tcW w:w="1799" w:type="dxa"/>
            <w:gridSpan w:val="2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Gini Disposable</w:t>
            </w:r>
          </w:p>
        </w:tc>
        <w:tc>
          <w:tcPr>
            <w:tcW w:w="1793" w:type="dxa"/>
            <w:gridSpan w:val="2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Gini Market</w:t>
            </w:r>
          </w:p>
        </w:tc>
      </w:tr>
      <w:tr w:rsidR="006C182D" w:rsidRPr="00834468" w:rsidTr="00C04F9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noWrap/>
            <w:hideMark/>
          </w:tcPr>
          <w:p w:rsidR="006C182D" w:rsidRPr="00834468" w:rsidRDefault="006C182D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C182D" w:rsidRPr="00834468" w:rsidRDefault="006C182D" w:rsidP="00834468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C182D" w:rsidRPr="00834468" w:rsidRDefault="006C182D" w:rsidP="00834468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6C182D" w:rsidRPr="00834468" w:rsidRDefault="006C182D" w:rsidP="00834468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noWrap/>
            <w:hideMark/>
          </w:tcPr>
          <w:p w:rsidR="006C182D" w:rsidRPr="00834468" w:rsidRDefault="006C182D" w:rsidP="00834468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noWrap/>
            <w:hideMark/>
          </w:tcPr>
          <w:p w:rsidR="006C182D" w:rsidRPr="00834468" w:rsidRDefault="006C182D" w:rsidP="00834468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noWrap/>
            <w:hideMark/>
          </w:tcPr>
          <w:p w:rsidR="006C182D" w:rsidRPr="00834468" w:rsidRDefault="006C182D" w:rsidP="00834468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noWrap/>
            <w:hideMark/>
          </w:tcPr>
          <w:p w:rsidR="006C182D" w:rsidRPr="00834468" w:rsidRDefault="006C182D" w:rsidP="00834468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6C182D" w:rsidRPr="00834468" w:rsidRDefault="006C182D" w:rsidP="00834468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182D" w:rsidRPr="00834468" w:rsidTr="00C0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6C182D" w:rsidRPr="00834468" w:rsidRDefault="006C182D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CO2 Emission Per Capita_L1|L_2</w:t>
            </w:r>
          </w:p>
          <w:p w:rsidR="006C182D" w:rsidRPr="00834468" w:rsidRDefault="006C182D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2.145**</w:t>
            </w:r>
          </w:p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(0.709)</w:t>
            </w:r>
          </w:p>
        </w:tc>
        <w:tc>
          <w:tcPr>
            <w:tcW w:w="900" w:type="dxa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3.585*</w:t>
            </w:r>
          </w:p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(1.638)</w:t>
            </w:r>
          </w:p>
        </w:tc>
        <w:tc>
          <w:tcPr>
            <w:tcW w:w="899" w:type="dxa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3.016***</w:t>
            </w:r>
          </w:p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(0.808)</w:t>
            </w:r>
          </w:p>
        </w:tc>
        <w:tc>
          <w:tcPr>
            <w:tcW w:w="909" w:type="dxa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5.320*  </w:t>
            </w:r>
          </w:p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(2.095)</w:t>
            </w:r>
          </w:p>
        </w:tc>
        <w:tc>
          <w:tcPr>
            <w:tcW w:w="903" w:type="dxa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2.186**</w:t>
            </w:r>
          </w:p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(0.735)</w:t>
            </w:r>
          </w:p>
        </w:tc>
        <w:tc>
          <w:tcPr>
            <w:tcW w:w="896" w:type="dxa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3.659*</w:t>
            </w:r>
          </w:p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(1.686)</w:t>
            </w:r>
          </w:p>
        </w:tc>
        <w:tc>
          <w:tcPr>
            <w:tcW w:w="882" w:type="dxa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3.074***</w:t>
            </w:r>
          </w:p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(0.842)</w:t>
            </w:r>
          </w:p>
        </w:tc>
        <w:tc>
          <w:tcPr>
            <w:tcW w:w="911" w:type="dxa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5.429*  </w:t>
            </w:r>
          </w:p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(2.164)</w:t>
            </w:r>
          </w:p>
        </w:tc>
      </w:tr>
      <w:tr w:rsidR="006C182D" w:rsidRPr="00834468" w:rsidTr="00C04F9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9"/>
            <w:noWrap/>
            <w:hideMark/>
          </w:tcPr>
          <w:p w:rsidR="006C182D" w:rsidRPr="00834468" w:rsidRDefault="006C182D" w:rsidP="0083446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Panel B: First Stage for CO2 Emission Against Lag CO2 Emission</w:t>
            </w:r>
          </w:p>
        </w:tc>
      </w:tr>
      <w:tr w:rsidR="006C182D" w:rsidRPr="00834468" w:rsidTr="00C0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6C182D" w:rsidRPr="00834468" w:rsidRDefault="006C182D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4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 Emission Per Capita_L1</w:t>
            </w:r>
          </w:p>
        </w:tc>
        <w:tc>
          <w:tcPr>
            <w:tcW w:w="3592" w:type="dxa"/>
            <w:gridSpan w:val="4"/>
            <w:noWrap/>
            <w:hideMark/>
          </w:tcPr>
          <w:p w:rsidR="006C182D" w:rsidRPr="00834468" w:rsidRDefault="006C182D" w:rsidP="0083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 Emission Per Capita_L2</w:t>
            </w:r>
          </w:p>
        </w:tc>
      </w:tr>
      <w:tr w:rsidR="00F51BA8" w:rsidRPr="00834468" w:rsidTr="00F2653B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Population Growth</w:t>
            </w:r>
          </w:p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 </w:t>
            </w:r>
          </w:p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Urban Pop Growth</w:t>
            </w:r>
          </w:p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 </w:t>
            </w:r>
          </w:p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GDP Per Capita Growth</w:t>
            </w:r>
          </w:p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School Enrollment</w:t>
            </w:r>
          </w:p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Observation </w:t>
            </w:r>
          </w:p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R-</w:t>
            </w:r>
            <w:proofErr w:type="spellStart"/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sq</w:t>
            </w:r>
            <w:proofErr w:type="spellEnd"/>
          </w:p>
          <w:p w:rsidR="00F51BA8" w:rsidRPr="00834468" w:rsidRDefault="00F51BA8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IV First Stage F- Statistics</w:t>
            </w:r>
          </w:p>
        </w:tc>
        <w:tc>
          <w:tcPr>
            <w:tcW w:w="900" w:type="dxa"/>
            <w:noWrap/>
            <w:hideMark/>
          </w:tcPr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-0.382***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(0.053)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65.32</w:t>
            </w:r>
          </w:p>
        </w:tc>
        <w:tc>
          <w:tcPr>
            <w:tcW w:w="900" w:type="dxa"/>
            <w:noWrap/>
            <w:hideMark/>
          </w:tcPr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-0.324***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(0.070)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63.32</w:t>
            </w:r>
          </w:p>
        </w:tc>
        <w:tc>
          <w:tcPr>
            <w:tcW w:w="899" w:type="dxa"/>
            <w:noWrap/>
            <w:hideMark/>
          </w:tcPr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-0.382***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(0.053)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65.32</w:t>
            </w:r>
          </w:p>
        </w:tc>
        <w:tc>
          <w:tcPr>
            <w:tcW w:w="909" w:type="dxa"/>
            <w:noWrap/>
            <w:hideMark/>
          </w:tcPr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-0.324***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(0.070)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63.32</w:t>
            </w:r>
          </w:p>
        </w:tc>
        <w:tc>
          <w:tcPr>
            <w:tcW w:w="903" w:type="dxa"/>
            <w:noWrap/>
            <w:hideMark/>
          </w:tcPr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-0.375***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(0.053)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59.21</w:t>
            </w:r>
          </w:p>
        </w:tc>
        <w:tc>
          <w:tcPr>
            <w:tcW w:w="896" w:type="dxa"/>
            <w:noWrap/>
            <w:hideMark/>
          </w:tcPr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-0.342***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(0.071)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F51BA8"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58.96</w:t>
            </w:r>
          </w:p>
        </w:tc>
        <w:tc>
          <w:tcPr>
            <w:tcW w:w="882" w:type="dxa"/>
            <w:noWrap/>
            <w:hideMark/>
          </w:tcPr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-0.375***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(0.053)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59.21</w:t>
            </w:r>
          </w:p>
        </w:tc>
        <w:tc>
          <w:tcPr>
            <w:tcW w:w="911" w:type="dxa"/>
            <w:noWrap/>
            <w:hideMark/>
          </w:tcPr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-0.342***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(0.071)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65BBF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BA8" w:rsidRPr="00834468" w:rsidRDefault="00D65BBF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  <w:p w:rsidR="00F51BA8" w:rsidRPr="00834468" w:rsidRDefault="00F51BA8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58.96</w:t>
            </w:r>
          </w:p>
        </w:tc>
      </w:tr>
      <w:tr w:rsidR="006C182D" w:rsidRPr="00834468" w:rsidTr="00C0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9"/>
            <w:noWrap/>
          </w:tcPr>
          <w:p w:rsidR="006C182D" w:rsidRPr="00834468" w:rsidRDefault="006C182D" w:rsidP="0083446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Panel C: OLS Estimate</w:t>
            </w:r>
          </w:p>
        </w:tc>
      </w:tr>
      <w:tr w:rsidR="006C182D" w:rsidRPr="00834468" w:rsidTr="00F2653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:rsidR="006C182D" w:rsidRPr="00834468" w:rsidRDefault="006C182D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CO2 Emission Per Capita</w:t>
            </w:r>
          </w:p>
          <w:p w:rsidR="006C182D" w:rsidRPr="00834468" w:rsidRDefault="006C182D" w:rsidP="008344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(0.084)</w:t>
            </w:r>
          </w:p>
        </w:tc>
        <w:tc>
          <w:tcPr>
            <w:tcW w:w="900" w:type="dxa"/>
            <w:noWrap/>
          </w:tcPr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0.393***</w:t>
            </w:r>
          </w:p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(0.095)</w:t>
            </w:r>
          </w:p>
        </w:tc>
        <w:tc>
          <w:tcPr>
            <w:tcW w:w="899" w:type="dxa"/>
            <w:noWrap/>
          </w:tcPr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(0.104)</w:t>
            </w:r>
          </w:p>
        </w:tc>
        <w:tc>
          <w:tcPr>
            <w:tcW w:w="909" w:type="dxa"/>
            <w:noWrap/>
          </w:tcPr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0.551***</w:t>
            </w:r>
          </w:p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(0.120)</w:t>
            </w:r>
          </w:p>
        </w:tc>
        <w:tc>
          <w:tcPr>
            <w:tcW w:w="903" w:type="dxa"/>
            <w:noWrap/>
          </w:tcPr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(0.084)</w:t>
            </w:r>
          </w:p>
        </w:tc>
        <w:tc>
          <w:tcPr>
            <w:tcW w:w="896" w:type="dxa"/>
            <w:noWrap/>
          </w:tcPr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0.393***</w:t>
            </w:r>
          </w:p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(0.095)</w:t>
            </w:r>
          </w:p>
        </w:tc>
        <w:tc>
          <w:tcPr>
            <w:tcW w:w="882" w:type="dxa"/>
            <w:noWrap/>
          </w:tcPr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(0.104)</w:t>
            </w:r>
          </w:p>
        </w:tc>
        <w:tc>
          <w:tcPr>
            <w:tcW w:w="911" w:type="dxa"/>
            <w:noWrap/>
          </w:tcPr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0.551***</w:t>
            </w:r>
          </w:p>
          <w:p w:rsidR="006C182D" w:rsidRPr="00834468" w:rsidRDefault="006C182D" w:rsidP="00834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(0.120)</w:t>
            </w:r>
          </w:p>
        </w:tc>
      </w:tr>
    </w:tbl>
    <w:p w:rsidR="006C182D" w:rsidRPr="00834468" w:rsidRDefault="006C182D" w:rsidP="00834468">
      <w:pPr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468">
        <w:rPr>
          <w:rFonts w:ascii="Times New Roman" w:hAnsi="Times New Roman" w:cs="Times New Roman"/>
          <w:i/>
          <w:sz w:val="20"/>
          <w:szCs w:val="20"/>
        </w:rPr>
        <w:t xml:space="preserve">Note: Table 7 reports 2sls estimator in panel A and the corresponding first stage estimate in panel B. Our endogenous variable lagged one year in column (I-IV) and lagged two years in column (V-VIII). Compared with the OLS estimator our IV shows a pronounced effect of fossil fuel consumption with virtually the same sign. The validity of our instruments is reported by the first stage F-statistics in panel B showing a valid instrument. </w:t>
      </w:r>
    </w:p>
    <w:p w:rsidR="006C182D" w:rsidRPr="00834468" w:rsidRDefault="006C182D" w:rsidP="00834468">
      <w:pPr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468">
        <w:rPr>
          <w:rFonts w:ascii="Times New Roman" w:hAnsi="Times New Roman" w:cs="Times New Roman"/>
          <w:i/>
          <w:sz w:val="20"/>
          <w:szCs w:val="20"/>
        </w:rPr>
        <w:t>* shows the level of significance at 0.05, ** at 0.01, and *** at 0.001 respectively</w:t>
      </w:r>
    </w:p>
    <w:p w:rsidR="006C182D" w:rsidRPr="00834468" w:rsidRDefault="006C182D" w:rsidP="00834468">
      <w:pPr>
        <w:pStyle w:val="Heading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5372C" w:rsidRPr="00834468" w:rsidRDefault="0045372C" w:rsidP="00834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5372C" w:rsidRPr="00834468" w:rsidSect="00F8081F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3F0B"/>
    <w:multiLevelType w:val="hybridMultilevel"/>
    <w:tmpl w:val="FFA4E972"/>
    <w:lvl w:ilvl="0" w:tplc="481A5986">
      <w:start w:val="1"/>
      <w:numFmt w:val="upperRoman"/>
      <w:lvlText w:val="%1."/>
      <w:lvlJc w:val="center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17"/>
    <w:multiLevelType w:val="hybridMultilevel"/>
    <w:tmpl w:val="5DA4D7F0"/>
    <w:lvl w:ilvl="0" w:tplc="9D2E84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trQwNTI0MDSwMDFU0lEKTi0uzszPAykwNKgFALCJNXMtAAAA"/>
  </w:docVars>
  <w:rsids>
    <w:rsidRoot w:val="00143402"/>
    <w:rsid w:val="00042244"/>
    <w:rsid w:val="000970E3"/>
    <w:rsid w:val="00143402"/>
    <w:rsid w:val="001C48D5"/>
    <w:rsid w:val="001D3292"/>
    <w:rsid w:val="0020394B"/>
    <w:rsid w:val="0023210E"/>
    <w:rsid w:val="003121BB"/>
    <w:rsid w:val="0045372C"/>
    <w:rsid w:val="0061482B"/>
    <w:rsid w:val="00644C87"/>
    <w:rsid w:val="006C182D"/>
    <w:rsid w:val="006C3AAD"/>
    <w:rsid w:val="007940A5"/>
    <w:rsid w:val="00797989"/>
    <w:rsid w:val="007B2DDC"/>
    <w:rsid w:val="008260F5"/>
    <w:rsid w:val="0082691F"/>
    <w:rsid w:val="00834468"/>
    <w:rsid w:val="008867E8"/>
    <w:rsid w:val="008A2A76"/>
    <w:rsid w:val="008E3F3D"/>
    <w:rsid w:val="0090231D"/>
    <w:rsid w:val="009103F9"/>
    <w:rsid w:val="009627BF"/>
    <w:rsid w:val="00A93BAA"/>
    <w:rsid w:val="00AA1A6E"/>
    <w:rsid w:val="00B62986"/>
    <w:rsid w:val="00D65BBF"/>
    <w:rsid w:val="00D7145C"/>
    <w:rsid w:val="00D73753"/>
    <w:rsid w:val="00D818CC"/>
    <w:rsid w:val="00F2653B"/>
    <w:rsid w:val="00F51BA8"/>
    <w:rsid w:val="00F64AB1"/>
    <w:rsid w:val="00F8081F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879C0-0A1D-47C0-BA18-FF7110D1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E3F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6C1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C1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F8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latin typeface="Times New Roman" panose="02020603050405020304" pitchFamily="18" charset="0"/>
                <a:cs typeface="Times New Roman" panose="02020603050405020304" pitchFamily="18" charset="0"/>
              </a:rPr>
              <a:t>Dependent &amp; Independent Variables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Sheet7!$A$5:$B$5</c:f>
              <c:strCache>
                <c:ptCount val="2"/>
                <c:pt idx="0">
                  <c:v>CO2 Emission Per Capita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Sheet7!$C$2:$I$2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Sheet7!$C$5:$I$5</c:f>
              <c:numCache>
                <c:formatCode>General</c:formatCode>
                <c:ptCount val="7"/>
                <c:pt idx="0">
                  <c:v>0.97965440000000004</c:v>
                </c:pt>
                <c:pt idx="1">
                  <c:v>0.99736849999999999</c:v>
                </c:pt>
                <c:pt idx="2">
                  <c:v>0.92385899999999999</c:v>
                </c:pt>
                <c:pt idx="3">
                  <c:v>0.99217840000000002</c:v>
                </c:pt>
                <c:pt idx="4">
                  <c:v>1.0685480000000001</c:v>
                </c:pt>
                <c:pt idx="5">
                  <c:v>1.1608609999999999</c:v>
                </c:pt>
                <c:pt idx="6">
                  <c:v>1.149208</c:v>
                </c:pt>
              </c:numCache>
            </c:numRef>
          </c:val>
        </c:ser>
        <c:ser>
          <c:idx val="3"/>
          <c:order val="3"/>
          <c:tx>
            <c:strRef>
              <c:f>Sheet7!$A$6:$B$6</c:f>
              <c:strCache>
                <c:ptCount val="2"/>
                <c:pt idx="0">
                  <c:v>Agri Methan Emission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Sheet7!$C$2:$I$2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Sheet7!$C$6:$I$6</c:f>
              <c:numCache>
                <c:formatCode>General</c:formatCode>
                <c:ptCount val="7"/>
                <c:pt idx="0">
                  <c:v>54.649250000000002</c:v>
                </c:pt>
                <c:pt idx="1">
                  <c:v>52.639270000000003</c:v>
                </c:pt>
                <c:pt idx="2">
                  <c:v>51.960259999999998</c:v>
                </c:pt>
                <c:pt idx="3">
                  <c:v>49.045529999999999</c:v>
                </c:pt>
                <c:pt idx="4">
                  <c:v>47.40616</c:v>
                </c:pt>
                <c:pt idx="5">
                  <c:v>46.985030000000002</c:v>
                </c:pt>
              </c:numCache>
            </c:numRef>
          </c:val>
        </c:ser>
        <c:ser>
          <c:idx val="4"/>
          <c:order val="4"/>
          <c:tx>
            <c:strRef>
              <c:f>Sheet7!$A$7:$B$7</c:f>
              <c:strCache>
                <c:ptCount val="2"/>
                <c:pt idx="0">
                  <c:v>Fissil Fuel Energy Consn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Sheet7!$C$2:$I$2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Sheet7!$C$7:$I$7</c:f>
              <c:numCache>
                <c:formatCode>General</c:formatCode>
                <c:ptCount val="7"/>
                <c:pt idx="0">
                  <c:v>39.313749999999999</c:v>
                </c:pt>
                <c:pt idx="1">
                  <c:v>39.429969999999997</c:v>
                </c:pt>
                <c:pt idx="2">
                  <c:v>31.683319999999998</c:v>
                </c:pt>
                <c:pt idx="3">
                  <c:v>40.468159999999997</c:v>
                </c:pt>
                <c:pt idx="4">
                  <c:v>32.017600000000002</c:v>
                </c:pt>
                <c:pt idx="5">
                  <c:v>32.959319999999998</c:v>
                </c:pt>
                <c:pt idx="6">
                  <c:v>45.214129999999997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56571520"/>
        <c:axId val="556571128"/>
      </c:barChart>
      <c:lineChart>
        <c:grouping val="standard"/>
        <c:varyColors val="0"/>
        <c:ser>
          <c:idx val="0"/>
          <c:order val="0"/>
          <c:tx>
            <c:strRef>
              <c:f>Sheet7!$A$3:$B$3</c:f>
              <c:strCache>
                <c:ptCount val="2"/>
                <c:pt idx="0">
                  <c:v>Gini Disposable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Sheet7!$C$2:$I$2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Sheet7!$C$3:$I$3</c:f>
              <c:numCache>
                <c:formatCode>General</c:formatCode>
                <c:ptCount val="7"/>
                <c:pt idx="0">
                  <c:v>45.76</c:v>
                </c:pt>
                <c:pt idx="1">
                  <c:v>45.147669999999998</c:v>
                </c:pt>
                <c:pt idx="2">
                  <c:v>45.600670000000001</c:v>
                </c:pt>
                <c:pt idx="3">
                  <c:v>45.493160000000003</c:v>
                </c:pt>
                <c:pt idx="4">
                  <c:v>45.14593</c:v>
                </c:pt>
                <c:pt idx="5">
                  <c:v>44.838880000000003</c:v>
                </c:pt>
                <c:pt idx="6">
                  <c:v>44.964889999999997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Sheet7!$A$4:$B$4</c:f>
              <c:strCache>
                <c:ptCount val="2"/>
                <c:pt idx="0">
                  <c:v>Gini Market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Sheet7!$C$2:$I$2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Sheet7!$C$4:$I$4</c:f>
              <c:numCache>
                <c:formatCode>General</c:formatCode>
                <c:ptCount val="7"/>
                <c:pt idx="0">
                  <c:v>48.715000000000003</c:v>
                </c:pt>
                <c:pt idx="1">
                  <c:v>47.831330000000001</c:v>
                </c:pt>
                <c:pt idx="2">
                  <c:v>48.338329999999999</c:v>
                </c:pt>
                <c:pt idx="3">
                  <c:v>48.387369999999997</c:v>
                </c:pt>
                <c:pt idx="4">
                  <c:v>48.005780000000001</c:v>
                </c:pt>
                <c:pt idx="5">
                  <c:v>47.679389999999998</c:v>
                </c:pt>
                <c:pt idx="6">
                  <c:v>47.842460000000003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6572304"/>
        <c:axId val="556571912"/>
      </c:lineChart>
      <c:catAx>
        <c:axId val="5565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71128"/>
        <c:crosses val="autoZero"/>
        <c:auto val="1"/>
        <c:lblAlgn val="ctr"/>
        <c:lblOffset val="100"/>
        <c:noMultiLvlLbl val="0"/>
      </c:catAx>
      <c:valAx>
        <c:axId val="55657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71520"/>
        <c:crosses val="autoZero"/>
        <c:crossBetween val="between"/>
      </c:valAx>
      <c:valAx>
        <c:axId val="55657191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72304"/>
        <c:crosses val="max"/>
        <c:crossBetween val="between"/>
      </c:valAx>
      <c:catAx>
        <c:axId val="556572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65719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latin typeface="Times New Roman" panose="02020603050405020304" pitchFamily="18" charset="0"/>
                <a:cs typeface="Times New Roman" panose="02020603050405020304" pitchFamily="18" charset="0"/>
              </a:rPr>
              <a:t>Control Variables</a:t>
            </a:r>
            <a:r>
              <a:rPr lang="en-US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US" sz="9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Sheet7!$A$12:$B$12</c:f>
              <c:strCache>
                <c:ptCount val="2"/>
                <c:pt idx="0">
                  <c:v>GDP Per Capita Growth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Sheet7!$C$11:$I$11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Sheet7!$C$12:$I$12</c:f>
              <c:numCache>
                <c:formatCode>General</c:formatCode>
                <c:ptCount val="7"/>
                <c:pt idx="0">
                  <c:v>-0.31510329999999998</c:v>
                </c:pt>
                <c:pt idx="1">
                  <c:v>0.73311800000000005</c:v>
                </c:pt>
                <c:pt idx="2">
                  <c:v>-1.058991</c:v>
                </c:pt>
                <c:pt idx="3">
                  <c:v>1.737066</c:v>
                </c:pt>
                <c:pt idx="4">
                  <c:v>1.465908</c:v>
                </c:pt>
                <c:pt idx="5">
                  <c:v>2.447228</c:v>
                </c:pt>
                <c:pt idx="6">
                  <c:v>2.7358479999999998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Sheet7!$A$13:$B$13</c:f>
              <c:strCache>
                <c:ptCount val="2"/>
                <c:pt idx="0">
                  <c:v>Urban Population Growth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Sheet7!$C$11:$I$11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Sheet7!$C$13:$I$13</c:f>
              <c:numCache>
                <c:formatCode>General</c:formatCode>
                <c:ptCount val="7"/>
                <c:pt idx="0">
                  <c:v>5.1434300000000004</c:v>
                </c:pt>
                <c:pt idx="1">
                  <c:v>5.1352859999999998</c:v>
                </c:pt>
                <c:pt idx="2">
                  <c:v>4.0516189999999996</c:v>
                </c:pt>
                <c:pt idx="3">
                  <c:v>3.7239270000000002</c:v>
                </c:pt>
                <c:pt idx="4">
                  <c:v>3.5106160000000002</c:v>
                </c:pt>
                <c:pt idx="5">
                  <c:v>3.5246400000000002</c:v>
                </c:pt>
                <c:pt idx="6">
                  <c:v>3.4656739999999999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Sheet7!$A$14:$B$14</c:f>
              <c:strCache>
                <c:ptCount val="2"/>
                <c:pt idx="0">
                  <c:v>School Enrollment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Sheet7!$C$11:$I$11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Sheet7!$C$14:$I$14</c:f>
              <c:numCache>
                <c:formatCode>General</c:formatCode>
                <c:ptCount val="7"/>
                <c:pt idx="0">
                  <c:v>0.73873500000000003</c:v>
                </c:pt>
                <c:pt idx="1">
                  <c:v>0.77355119999999999</c:v>
                </c:pt>
                <c:pt idx="2">
                  <c:v>0.80532619999999999</c:v>
                </c:pt>
                <c:pt idx="3">
                  <c:v>0.82207189999999997</c:v>
                </c:pt>
                <c:pt idx="4">
                  <c:v>0.85612529999999998</c:v>
                </c:pt>
                <c:pt idx="5">
                  <c:v>0.90975530000000004</c:v>
                </c:pt>
                <c:pt idx="6">
                  <c:v>0.93084389999999995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6569168"/>
        <c:axId val="556569952"/>
      </c:lineChart>
      <c:catAx>
        <c:axId val="55656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69952"/>
        <c:crosses val="autoZero"/>
        <c:auto val="1"/>
        <c:lblAlgn val="ctr"/>
        <c:lblOffset val="100"/>
        <c:noMultiLvlLbl val="0"/>
      </c:catAx>
      <c:valAx>
        <c:axId val="55656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6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latin typeface="Times New Roman" panose="02020603050405020304" pitchFamily="18" charset="0"/>
                <a:cs typeface="Times New Roman" panose="02020603050405020304" pitchFamily="18" charset="0"/>
              </a:rPr>
              <a:t>Exogeneous</a:t>
            </a:r>
            <a:r>
              <a:rPr lang="en-US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Variables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Sheet7!$A$19:$B$19</c:f>
              <c:strCache>
                <c:ptCount val="2"/>
                <c:pt idx="0">
                  <c:v>Forest Area Coverage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Sheet7!$C$18:$I$18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Sheet7!$C$19:$I$19</c:f>
              <c:numCache>
                <c:formatCode>General</c:formatCode>
                <c:ptCount val="7"/>
                <c:pt idx="2">
                  <c:v>31.68329</c:v>
                </c:pt>
                <c:pt idx="3">
                  <c:v>30.944430000000001</c:v>
                </c:pt>
                <c:pt idx="4">
                  <c:v>30.198149999999998</c:v>
                </c:pt>
                <c:pt idx="5">
                  <c:v>29.441669999999998</c:v>
                </c:pt>
                <c:pt idx="6">
                  <c:v>28.362359999999999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Sheet7!$A$20:$B$20</c:f>
              <c:strCache>
                <c:ptCount val="2"/>
                <c:pt idx="0">
                  <c:v>Agri Forest &amp; Fish Value Added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Sheet7!$C$18:$I$18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Sheet7!$C$20:$I$20</c:f>
              <c:numCache>
                <c:formatCode>General</c:formatCode>
                <c:ptCount val="7"/>
                <c:pt idx="0">
                  <c:v>26.224989999999998</c:v>
                </c:pt>
                <c:pt idx="1">
                  <c:v>26.258790000000001</c:v>
                </c:pt>
                <c:pt idx="2">
                  <c:v>26.76613</c:v>
                </c:pt>
                <c:pt idx="3">
                  <c:v>25.54233</c:v>
                </c:pt>
                <c:pt idx="4">
                  <c:v>22.895009999999999</c:v>
                </c:pt>
                <c:pt idx="5">
                  <c:v>21.988990000000001</c:v>
                </c:pt>
                <c:pt idx="6">
                  <c:v>20.716000000000001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Sheet7!$A$21:$B$21</c:f>
              <c:strCache>
                <c:ptCount val="2"/>
                <c:pt idx="0">
                  <c:v>Population Growth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Sheet7!$C$18:$I$18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Sheet7!$C$21:$I$21</c:f>
              <c:numCache>
                <c:formatCode>General</c:formatCode>
                <c:ptCount val="7"/>
                <c:pt idx="0">
                  <c:v>2.789622</c:v>
                </c:pt>
                <c:pt idx="1">
                  <c:v>2.8477939999999999</c:v>
                </c:pt>
                <c:pt idx="2">
                  <c:v>2.398485</c:v>
                </c:pt>
                <c:pt idx="3">
                  <c:v>2.4808880000000002</c:v>
                </c:pt>
                <c:pt idx="4">
                  <c:v>2.3157359999999998</c:v>
                </c:pt>
                <c:pt idx="5">
                  <c:v>2.3744779999999999</c:v>
                </c:pt>
                <c:pt idx="6">
                  <c:v>2.3512970000000002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Sheet7!$A$22:$B$22</c:f>
              <c:strCache>
                <c:ptCount val="2"/>
                <c:pt idx="0">
                  <c:v>Arable Land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Sheet7!$C$18:$I$18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Sheet7!$C$22:$I$22</c:f>
              <c:numCache>
                <c:formatCode>General</c:formatCode>
                <c:ptCount val="7"/>
                <c:pt idx="0">
                  <c:v>10.783440000000001</c:v>
                </c:pt>
                <c:pt idx="1">
                  <c:v>11.30903</c:v>
                </c:pt>
                <c:pt idx="2">
                  <c:v>11.604620000000001</c:v>
                </c:pt>
                <c:pt idx="3">
                  <c:v>12.14081</c:v>
                </c:pt>
                <c:pt idx="4">
                  <c:v>13.141730000000001</c:v>
                </c:pt>
                <c:pt idx="5">
                  <c:v>13.73312</c:v>
                </c:pt>
                <c:pt idx="6">
                  <c:v>14.551439999999999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Sheet7!$A$23:$B$23</c:f>
              <c:strCache>
                <c:ptCount val="2"/>
                <c:pt idx="0">
                  <c:v>Fertilizer Cons Kg Per Hr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Sheet7!$C$18:$I$18</c:f>
              <c:strCache>
                <c:ptCount val="7"/>
                <c:pt idx="0">
                  <c:v>1981-1985</c:v>
                </c:pt>
                <c:pt idx="1">
                  <c:v>1986-1990</c:v>
                </c:pt>
                <c:pt idx="2">
                  <c:v>1991-1995</c:v>
                </c:pt>
                <c:pt idx="3">
                  <c:v>1996-2000</c:v>
                </c:pt>
                <c:pt idx="4">
                  <c:v>2001-2005</c:v>
                </c:pt>
                <c:pt idx="5">
                  <c:v>2006-2010</c:v>
                </c:pt>
                <c:pt idx="6">
                  <c:v>2011-2015</c:v>
                </c:pt>
              </c:strCache>
            </c:strRef>
          </c:cat>
          <c:val>
            <c:numRef>
              <c:f>Sheet7!$C$23:$I$23</c:f>
              <c:numCache>
                <c:formatCode>General</c:formatCode>
                <c:ptCount val="7"/>
                <c:pt idx="0">
                  <c:v>46.173360000000002</c:v>
                </c:pt>
                <c:pt idx="1">
                  <c:v>32.550420000000003</c:v>
                </c:pt>
                <c:pt idx="2">
                  <c:v>30.291899999999998</c:v>
                </c:pt>
                <c:pt idx="3">
                  <c:v>33.021369999999997</c:v>
                </c:pt>
                <c:pt idx="4">
                  <c:v>34.156480000000002</c:v>
                </c:pt>
                <c:pt idx="5">
                  <c:v>36.026159999999997</c:v>
                </c:pt>
                <c:pt idx="6">
                  <c:v>43.339350000000003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6718776"/>
        <c:axId val="776719168"/>
      </c:lineChart>
      <c:catAx>
        <c:axId val="776718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719168"/>
        <c:crosses val="autoZero"/>
        <c:auto val="1"/>
        <c:lblAlgn val="ctr"/>
        <c:lblOffset val="100"/>
        <c:noMultiLvlLbl val="0"/>
      </c:catAx>
      <c:valAx>
        <c:axId val="77671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718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74C9-F431-419C-AED2-6E3ECED4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45</cp:revision>
  <dcterms:created xsi:type="dcterms:W3CDTF">2021-06-15T09:05:00Z</dcterms:created>
  <dcterms:modified xsi:type="dcterms:W3CDTF">2021-08-11T08:23:00Z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0aba48f3-03fd-346d-9d50-8c76e9536071</vt:lpwstr>
  </property>
  <property fmtid="{D5CDD505-2E9C-101B-9397-08002B2CF9AE}" pid="24" name="Mendeley Citation Style_1">
    <vt:lpwstr>http://www.zotero.org/styles/apa</vt:lpwstr>
  </property>
</Properties>
</file>