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9A24" w14:textId="77777777" w:rsidR="00FF0574" w:rsidRPr="00FF0574" w:rsidRDefault="00FF0574" w:rsidP="00FF0574">
      <w:pPr>
        <w:spacing w:after="120" w:line="240" w:lineRule="auto"/>
        <w:jc w:val="both"/>
        <w:rPr>
          <w:rFonts w:ascii="Abadi" w:eastAsia="Times New Roman" w:hAnsi="Abadi"/>
          <w:color w:val="auto"/>
        </w:rPr>
      </w:pPr>
      <w:r w:rsidRPr="00FF0574">
        <w:rPr>
          <w:rFonts w:ascii="Abadi" w:eastAsia="Times New Roman" w:hAnsi="Abadi" w:cs="Arial"/>
          <w:b/>
          <w:bCs/>
          <w:color w:val="000000"/>
        </w:rPr>
        <w:t>Systemic inflammation causes microglial dysfunction with a mixed AD-like pathology. </w:t>
      </w:r>
    </w:p>
    <w:p w14:paraId="598134D0" w14:textId="6BC61B48" w:rsidR="00FF0574" w:rsidRPr="00FF0574" w:rsidRDefault="00FF0574" w:rsidP="00FF0574">
      <w:pPr>
        <w:spacing w:after="0" w:line="240" w:lineRule="auto"/>
        <w:rPr>
          <w:rFonts w:ascii="Abadi" w:eastAsia="Times New Roman" w:hAnsi="Abadi"/>
          <w:color w:val="auto"/>
        </w:rPr>
      </w:pPr>
      <w:r w:rsidRPr="00FF0574">
        <w:rPr>
          <w:rFonts w:ascii="Abadi" w:eastAsia="Times New Roman" w:hAnsi="Abadi" w:cs="Arial"/>
          <w:color w:val="000000"/>
        </w:rPr>
        <w:t xml:space="preserve">Praveen </w:t>
      </w:r>
      <w:proofErr w:type="spellStart"/>
      <w:r w:rsidRPr="00FF0574">
        <w:rPr>
          <w:rFonts w:ascii="Abadi" w:eastAsia="Times New Roman" w:hAnsi="Abadi" w:cs="Arial"/>
          <w:color w:val="000000"/>
        </w:rPr>
        <w:t>Bathini</w:t>
      </w:r>
      <w:proofErr w:type="spellEnd"/>
      <w:r w:rsidRPr="00FF0574">
        <w:rPr>
          <w:rFonts w:ascii="Abadi" w:eastAsia="Times New Roman" w:hAnsi="Abadi" w:cs="Arial"/>
          <w:color w:val="000000"/>
        </w:rPr>
        <w:t xml:space="preserve"> </w:t>
      </w:r>
      <w:r w:rsidRPr="00FF0574">
        <w:rPr>
          <w:rFonts w:ascii="Abadi" w:eastAsia="Times New Roman" w:hAnsi="Abadi" w:cs="Arial"/>
          <w:color w:val="000000"/>
          <w:vertAlign w:val="superscript"/>
        </w:rPr>
        <w:t>1</w:t>
      </w:r>
      <w:r w:rsidRPr="00FF0574">
        <w:rPr>
          <w:rFonts w:ascii="Abadi" w:eastAsia="Times New Roman" w:hAnsi="Abadi" w:cs="Arial"/>
          <w:color w:val="000000"/>
        </w:rPr>
        <w:t xml:space="preserve">, Isabel Dupanloup </w:t>
      </w:r>
      <w:r w:rsidRPr="00FF0574">
        <w:rPr>
          <w:rFonts w:ascii="Abadi" w:eastAsia="Times New Roman" w:hAnsi="Abadi" w:cs="Arial"/>
          <w:color w:val="000000"/>
          <w:vertAlign w:val="superscript"/>
        </w:rPr>
        <w:t>2</w:t>
      </w:r>
      <w:r w:rsidRPr="00FF0574">
        <w:rPr>
          <w:rFonts w:ascii="Abadi" w:eastAsia="Times New Roman" w:hAnsi="Abadi" w:cs="Arial"/>
          <w:color w:val="000000"/>
        </w:rPr>
        <w:t xml:space="preserve">, Elena </w:t>
      </w:r>
      <w:proofErr w:type="spellStart"/>
      <w:r w:rsidRPr="00FF0574">
        <w:rPr>
          <w:rFonts w:ascii="Abadi" w:eastAsia="Times New Roman" w:hAnsi="Abadi" w:cs="Arial"/>
          <w:color w:val="000000"/>
        </w:rPr>
        <w:t>Zennaro</w:t>
      </w:r>
      <w:proofErr w:type="spellEnd"/>
      <w:r w:rsidRPr="00FF0574">
        <w:rPr>
          <w:rFonts w:ascii="Abadi" w:eastAsia="Times New Roman" w:hAnsi="Abadi" w:cs="Arial"/>
          <w:color w:val="000000"/>
        </w:rPr>
        <w:t xml:space="preserve"> </w:t>
      </w:r>
      <w:r w:rsidRPr="00FF0574">
        <w:rPr>
          <w:rFonts w:ascii="Abadi" w:eastAsia="Times New Roman" w:hAnsi="Abadi" w:cs="Arial"/>
          <w:color w:val="000000"/>
          <w:vertAlign w:val="superscript"/>
        </w:rPr>
        <w:t>3</w:t>
      </w:r>
      <w:r w:rsidRPr="00FF0574">
        <w:rPr>
          <w:rFonts w:ascii="Abadi" w:eastAsia="Times New Roman" w:hAnsi="Abadi" w:cs="Arial"/>
          <w:color w:val="000000"/>
        </w:rPr>
        <w:t xml:space="preserve">, Eleonora Terrabuio </w:t>
      </w:r>
      <w:r w:rsidRPr="00FF0574">
        <w:rPr>
          <w:rFonts w:ascii="Abadi" w:eastAsia="Times New Roman" w:hAnsi="Abadi" w:cs="Arial"/>
          <w:color w:val="000000"/>
          <w:vertAlign w:val="superscript"/>
        </w:rPr>
        <w:t>3</w:t>
      </w:r>
      <w:r w:rsidRPr="00FF0574">
        <w:rPr>
          <w:rFonts w:ascii="Abadi" w:eastAsia="Times New Roman" w:hAnsi="Abadi" w:cs="Arial"/>
          <w:color w:val="000000"/>
        </w:rPr>
        <w:t xml:space="preserve">, Amrei Fischer </w:t>
      </w:r>
      <w:r w:rsidRPr="00FF0574">
        <w:rPr>
          <w:rFonts w:ascii="Abadi" w:eastAsia="Times New Roman" w:hAnsi="Abadi" w:cs="Arial"/>
          <w:color w:val="000000"/>
          <w:vertAlign w:val="superscript"/>
        </w:rPr>
        <w:t>1</w:t>
      </w:r>
      <w:r w:rsidRPr="00FF0574">
        <w:rPr>
          <w:rFonts w:ascii="Abadi" w:eastAsia="Times New Roman" w:hAnsi="Abadi" w:cs="Arial"/>
          <w:color w:val="000000"/>
        </w:rPr>
        <w:t xml:space="preserve">, Edona </w:t>
      </w:r>
      <w:proofErr w:type="spellStart"/>
      <w:r w:rsidRPr="00FF0574">
        <w:rPr>
          <w:rFonts w:ascii="Abadi" w:eastAsia="Times New Roman" w:hAnsi="Abadi" w:cs="Arial"/>
          <w:color w:val="000000"/>
        </w:rPr>
        <w:t>Babaliani</w:t>
      </w:r>
      <w:proofErr w:type="spellEnd"/>
      <w:r w:rsidRPr="00FF0574">
        <w:rPr>
          <w:rFonts w:ascii="Abadi" w:eastAsia="Times New Roman" w:hAnsi="Abadi" w:cs="Arial"/>
          <w:color w:val="000000"/>
        </w:rPr>
        <w:t xml:space="preserve"> </w:t>
      </w:r>
      <w:r w:rsidRPr="00FF0574">
        <w:rPr>
          <w:rFonts w:ascii="Abadi" w:eastAsia="Times New Roman" w:hAnsi="Abadi" w:cs="Arial"/>
          <w:color w:val="000000"/>
          <w:vertAlign w:val="superscript"/>
        </w:rPr>
        <w:t>1</w:t>
      </w:r>
      <w:r w:rsidRPr="00FF0574">
        <w:rPr>
          <w:rFonts w:ascii="Abadi" w:eastAsia="Times New Roman" w:hAnsi="Abadi" w:cs="Arial"/>
          <w:color w:val="000000"/>
        </w:rPr>
        <w:t>,</w:t>
      </w:r>
      <w:r w:rsidR="00C631C3">
        <w:rPr>
          <w:rFonts w:ascii="Abadi" w:eastAsia="Times New Roman" w:hAnsi="Abadi" w:cs="Arial"/>
          <w:color w:val="000000"/>
        </w:rPr>
        <w:t xml:space="preserve"> </w:t>
      </w:r>
      <w:r w:rsidRPr="00FF0574">
        <w:rPr>
          <w:rFonts w:ascii="Abadi" w:eastAsia="Times New Roman" w:hAnsi="Abadi" w:cs="Arial"/>
          <w:color w:val="000000"/>
        </w:rPr>
        <w:t xml:space="preserve">Marie-Agnes Doucey </w:t>
      </w:r>
      <w:r w:rsidRPr="00FF0574">
        <w:rPr>
          <w:rFonts w:ascii="Abadi" w:eastAsia="Times New Roman" w:hAnsi="Abadi" w:cs="Arial"/>
          <w:color w:val="000000"/>
          <w:vertAlign w:val="superscript"/>
        </w:rPr>
        <w:t>4</w:t>
      </w:r>
      <w:r w:rsidRPr="00FF0574">
        <w:rPr>
          <w:rFonts w:ascii="Abadi" w:eastAsia="Times New Roman" w:hAnsi="Abadi" w:cs="Arial"/>
          <w:color w:val="000000"/>
        </w:rPr>
        <w:t xml:space="preserve">, Lavinia Alberi </w:t>
      </w:r>
      <w:r w:rsidRPr="00FF0574">
        <w:rPr>
          <w:rFonts w:ascii="Abadi" w:eastAsia="Times New Roman" w:hAnsi="Abadi" w:cs="Arial"/>
          <w:color w:val="000000"/>
          <w:vertAlign w:val="superscript"/>
        </w:rPr>
        <w:t>1,5</w:t>
      </w:r>
    </w:p>
    <w:p w14:paraId="4CD3F251" w14:textId="77777777" w:rsidR="00FF0574" w:rsidRPr="00FF0574" w:rsidRDefault="00FF0574" w:rsidP="00FF0574">
      <w:pPr>
        <w:spacing w:after="0" w:line="240" w:lineRule="auto"/>
        <w:rPr>
          <w:rFonts w:ascii="Abadi" w:eastAsia="Times New Roman" w:hAnsi="Abadi"/>
          <w:color w:val="auto"/>
        </w:rPr>
      </w:pPr>
    </w:p>
    <w:p w14:paraId="7E3090B4" w14:textId="42C24AB1" w:rsidR="00FF0574" w:rsidRDefault="00FF0574" w:rsidP="00184904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Supplementary Figure Legends</w:t>
      </w:r>
    </w:p>
    <w:p w14:paraId="0E053F81" w14:textId="2A11856E" w:rsidR="00184904" w:rsidRPr="00184904" w:rsidRDefault="00184904" w:rsidP="00184904">
      <w:pPr>
        <w:rPr>
          <w:rFonts w:ascii="Abadi" w:hAnsi="Abadi"/>
        </w:rPr>
      </w:pPr>
      <w:r w:rsidRPr="00184904">
        <w:rPr>
          <w:rFonts w:ascii="Abadi" w:hAnsi="Abadi"/>
          <w:b/>
          <w:bCs/>
        </w:rPr>
        <w:t>Supplementary Figure 1</w:t>
      </w:r>
      <w:r>
        <w:rPr>
          <w:rFonts w:ascii="Abadi" w:hAnsi="Abadi"/>
          <w:b/>
          <w:bCs/>
        </w:rPr>
        <w:t>.</w:t>
      </w:r>
      <w:r w:rsidRPr="00184904">
        <w:rPr>
          <w:rFonts w:ascii="Abadi" w:hAnsi="Abadi"/>
          <w:b/>
          <w:bCs/>
        </w:rPr>
        <w:t xml:space="preserve"> </w:t>
      </w:r>
      <w:proofErr w:type="spellStart"/>
      <w:r w:rsidRPr="00184904">
        <w:rPr>
          <w:rFonts w:ascii="Abadi" w:hAnsi="Abadi"/>
          <w:b/>
          <w:bCs/>
        </w:rPr>
        <w:t>PolyI:C</w:t>
      </w:r>
      <w:proofErr w:type="spellEnd"/>
      <w:r w:rsidRPr="00184904">
        <w:rPr>
          <w:rFonts w:ascii="Abadi" w:hAnsi="Abadi"/>
          <w:b/>
          <w:bCs/>
        </w:rPr>
        <w:t xml:space="preserve"> double immune challenge does not lead to infiltration of peripheral leukocytes into the brain</w:t>
      </w:r>
      <w:r w:rsidRPr="00184904">
        <w:rPr>
          <w:rFonts w:ascii="Abadi" w:hAnsi="Abadi"/>
        </w:rPr>
        <w:t xml:space="preserve">. Blood and brain specimens were collected at 3 months (3 weeks post second immune challenge) and at 6 months in </w:t>
      </w:r>
      <w:proofErr w:type="spellStart"/>
      <w:r w:rsidRPr="00184904">
        <w:rPr>
          <w:rFonts w:ascii="Abadi" w:hAnsi="Abadi"/>
        </w:rPr>
        <w:t>PolyI:C</w:t>
      </w:r>
      <w:proofErr w:type="spellEnd"/>
      <w:r w:rsidRPr="00184904">
        <w:rPr>
          <w:rFonts w:ascii="Abadi" w:hAnsi="Abadi"/>
        </w:rPr>
        <w:t xml:space="preserve"> (PP) &amp; saline controls (NN). </w:t>
      </w:r>
      <w:r w:rsidRPr="00184904">
        <w:rPr>
          <w:rFonts w:ascii="Abadi" w:hAnsi="Abadi"/>
          <w:b/>
          <w:bCs/>
        </w:rPr>
        <w:t xml:space="preserve">(A) </w:t>
      </w:r>
      <w:r w:rsidRPr="00184904">
        <w:rPr>
          <w:rFonts w:ascii="Abadi" w:hAnsi="Abadi"/>
        </w:rPr>
        <w:t xml:space="preserve">Percentage of blood and brain neutrophils at 3 and 6 months in the PP and NN mice. </w:t>
      </w:r>
      <w:r w:rsidRPr="00184904">
        <w:rPr>
          <w:rFonts w:ascii="Abadi" w:hAnsi="Abadi"/>
          <w:b/>
          <w:bCs/>
        </w:rPr>
        <w:t xml:space="preserve">(B) </w:t>
      </w:r>
      <w:r w:rsidRPr="00184904">
        <w:rPr>
          <w:rFonts w:ascii="Abadi" w:hAnsi="Abadi"/>
        </w:rPr>
        <w:t xml:space="preserve">Total polymorphonuclear cells (PMN) frequency in the whole blood and in the brain. </w:t>
      </w:r>
      <w:r w:rsidRPr="00184904">
        <w:rPr>
          <w:rFonts w:ascii="Abadi" w:hAnsi="Abadi"/>
          <w:b/>
          <w:bCs/>
        </w:rPr>
        <w:t xml:space="preserve">(C) </w:t>
      </w:r>
      <w:r w:rsidRPr="00184904">
        <w:rPr>
          <w:rFonts w:ascii="Abadi" w:hAnsi="Abadi"/>
        </w:rPr>
        <w:t>Percentage of monocyte population in the blood and brain after the treatment.  Percentage values are represented over %</w:t>
      </w:r>
      <w:r w:rsidR="00C631C3">
        <w:rPr>
          <w:rFonts w:ascii="Abadi" w:hAnsi="Abadi"/>
        </w:rPr>
        <w:t xml:space="preserve"> </w:t>
      </w:r>
      <w:r w:rsidRPr="00184904">
        <w:rPr>
          <w:rFonts w:ascii="Abadi" w:hAnsi="Abadi"/>
        </w:rPr>
        <w:t>CD45+ cell frequency, data represented as mean ±SEM. n=4-6 mice per age group and treatment condition, *p&lt;0.05 Welch’s t-test.</w:t>
      </w:r>
    </w:p>
    <w:p w14:paraId="376113F6" w14:textId="2CCA3440" w:rsidR="00FF0574" w:rsidRDefault="00FF0574" w:rsidP="00FF0574">
      <w:pPr>
        <w:rPr>
          <w:rFonts w:ascii="Abadi" w:hAnsi="Abadi"/>
        </w:rPr>
      </w:pPr>
      <w:r w:rsidRPr="00FF0574">
        <w:rPr>
          <w:rFonts w:ascii="Abadi" w:hAnsi="Abadi"/>
          <w:b/>
          <w:bCs/>
        </w:rPr>
        <w:t xml:space="preserve">Supplementary Figure 2. Visible tauopathy in the hippocampus: </w:t>
      </w:r>
      <w:r w:rsidRPr="00FF0574">
        <w:rPr>
          <w:rFonts w:ascii="Abadi" w:hAnsi="Abadi"/>
        </w:rPr>
        <w:t xml:space="preserve">The expression of p-tau in the hippocampal CA1 field in the </w:t>
      </w:r>
      <w:proofErr w:type="spellStart"/>
      <w:r w:rsidRPr="00FF0574">
        <w:rPr>
          <w:rFonts w:ascii="Abadi" w:hAnsi="Abadi"/>
        </w:rPr>
        <w:t>PolyI:C</w:t>
      </w:r>
      <w:proofErr w:type="spellEnd"/>
      <w:r w:rsidRPr="00FF0574">
        <w:rPr>
          <w:rFonts w:ascii="Abadi" w:hAnsi="Abadi"/>
        </w:rPr>
        <w:t xml:space="preserve"> and saline treated mice.</w:t>
      </w:r>
      <w:r w:rsidRPr="00FF0574">
        <w:rPr>
          <w:rFonts w:ascii="Abadi" w:hAnsi="Abadi"/>
          <w:b/>
          <w:bCs/>
        </w:rPr>
        <w:t xml:space="preserve"> (A) </w:t>
      </w:r>
      <w:r w:rsidRPr="00FF0574">
        <w:rPr>
          <w:rFonts w:ascii="Abadi" w:hAnsi="Abadi"/>
        </w:rPr>
        <w:t xml:space="preserve">Immunolabeling for p-Tau in all age groups. </w:t>
      </w:r>
      <w:r w:rsidRPr="00FF0574">
        <w:rPr>
          <w:rFonts w:ascii="Abadi" w:hAnsi="Abadi"/>
          <w:b/>
          <w:bCs/>
        </w:rPr>
        <w:t xml:space="preserve">(B) </w:t>
      </w:r>
      <w:r w:rsidRPr="00FF0574">
        <w:rPr>
          <w:rFonts w:ascii="Abadi" w:hAnsi="Abadi"/>
        </w:rPr>
        <w:t xml:space="preserve">Analysis of the Mean fluorescence intensity (MFI) of </w:t>
      </w:r>
      <w:proofErr w:type="spellStart"/>
      <w:r w:rsidRPr="00FF0574">
        <w:rPr>
          <w:rFonts w:ascii="Abadi" w:hAnsi="Abadi"/>
        </w:rPr>
        <w:t>pTau</w:t>
      </w:r>
      <w:proofErr w:type="spellEnd"/>
      <w:r w:rsidRPr="00FF0574">
        <w:rPr>
          <w:rFonts w:ascii="Abadi" w:hAnsi="Abadi"/>
        </w:rPr>
        <w:t xml:space="preserve"> in the CA1 of 16 months </w:t>
      </w:r>
      <w:proofErr w:type="spellStart"/>
      <w:r w:rsidRPr="00FF0574">
        <w:rPr>
          <w:rFonts w:ascii="Abadi" w:hAnsi="Abadi"/>
        </w:rPr>
        <w:t>PolyI:C</w:t>
      </w:r>
      <w:proofErr w:type="spellEnd"/>
      <w:r w:rsidRPr="00FF0574">
        <w:rPr>
          <w:rFonts w:ascii="Abadi" w:hAnsi="Abadi"/>
        </w:rPr>
        <w:t xml:space="preserve"> and saline treated mice. Scale bar in A is 25 </w:t>
      </w:r>
      <w:proofErr w:type="spellStart"/>
      <w:r w:rsidRPr="00FF0574">
        <w:rPr>
          <w:rFonts w:ascii="Calibri" w:hAnsi="Calibri" w:cs="Calibri"/>
        </w:rPr>
        <w:t>μ</w:t>
      </w:r>
      <w:r w:rsidRPr="00FF0574">
        <w:rPr>
          <w:rFonts w:ascii="Abadi" w:hAnsi="Abadi"/>
        </w:rPr>
        <w:t>m</w:t>
      </w:r>
      <w:proofErr w:type="spellEnd"/>
      <w:r w:rsidRPr="00FF0574">
        <w:rPr>
          <w:rFonts w:ascii="Abadi" w:hAnsi="Abadi"/>
        </w:rPr>
        <w:t>. *p&lt;0.05 Student's t-test, n= 3 mice per condition.</w:t>
      </w:r>
    </w:p>
    <w:p w14:paraId="6443541D" w14:textId="740EA4FF" w:rsidR="00FF0574" w:rsidRDefault="00FF0574" w:rsidP="00FF0574">
      <w:pPr>
        <w:jc w:val="both"/>
        <w:rPr>
          <w:rFonts w:ascii="Abadi" w:hAnsi="Abadi"/>
        </w:rPr>
      </w:pPr>
      <w:r w:rsidRPr="00FF0574">
        <w:rPr>
          <w:rFonts w:ascii="Abadi" w:hAnsi="Abadi"/>
          <w:b/>
          <w:bCs/>
        </w:rPr>
        <w:t xml:space="preserve">Supplementary Figure 3: Dynamic microglia soma morphological changes across </w:t>
      </w:r>
      <w:proofErr w:type="spellStart"/>
      <w:r w:rsidRPr="00FF0574">
        <w:rPr>
          <w:rFonts w:ascii="Abadi" w:hAnsi="Abadi"/>
          <w:b/>
          <w:bCs/>
        </w:rPr>
        <w:t>PolyI:C</w:t>
      </w:r>
      <w:proofErr w:type="spellEnd"/>
      <w:r w:rsidRPr="00FF0574">
        <w:rPr>
          <w:rFonts w:ascii="Abadi" w:hAnsi="Abadi"/>
          <w:b/>
          <w:bCs/>
        </w:rPr>
        <w:t xml:space="preserve"> aging mice:</w:t>
      </w:r>
      <w:r w:rsidRPr="00FF0574">
        <w:rPr>
          <w:rFonts w:ascii="Abadi" w:hAnsi="Abadi"/>
        </w:rPr>
        <w:t xml:space="preserve"> </w:t>
      </w:r>
      <w:r w:rsidRPr="00FF0574">
        <w:rPr>
          <w:rFonts w:ascii="Abadi" w:hAnsi="Abadi"/>
          <w:b/>
          <w:bCs/>
        </w:rPr>
        <w:t>(A)</w:t>
      </w:r>
      <w:r w:rsidRPr="00FF0574">
        <w:rPr>
          <w:rFonts w:ascii="Abadi" w:hAnsi="Abadi"/>
        </w:rPr>
        <w:t xml:space="preserve"> Distribution analysis showed that following </w:t>
      </w:r>
      <w:proofErr w:type="spellStart"/>
      <w:r w:rsidRPr="00FF0574">
        <w:rPr>
          <w:rFonts w:ascii="Abadi" w:hAnsi="Abadi"/>
        </w:rPr>
        <w:t>PolyI:C</w:t>
      </w:r>
      <w:proofErr w:type="spellEnd"/>
      <w:r w:rsidRPr="00FF0574">
        <w:rPr>
          <w:rFonts w:ascii="Abadi" w:hAnsi="Abadi"/>
        </w:rPr>
        <w:t xml:space="preserve"> treatment (PP) hippocampal microglial activity is associated with an increased cell soma area at3 months (KS2 test, Two Sample Kolmogorov-Smirnov Test (KS), D=0.25, P&lt;0.005), subtle changes at 6 months and increased cell body area at 9 months (KS2 test, D=0.39, p&lt;0.005) and back to normalcy in 16 months aged mice. </w:t>
      </w:r>
      <w:r w:rsidRPr="00FF0574">
        <w:rPr>
          <w:rFonts w:ascii="Abadi" w:hAnsi="Abadi"/>
          <w:b/>
          <w:bCs/>
        </w:rPr>
        <w:t xml:space="preserve">(B) </w:t>
      </w:r>
      <w:r w:rsidRPr="00FF0574">
        <w:rPr>
          <w:rFonts w:ascii="Abadi" w:hAnsi="Abadi"/>
        </w:rPr>
        <w:t xml:space="preserve">Increased soma perimeter was observed not in all age groups (3 months, KS2, D=0.24, p&lt;0.005; 6 months, KS2, D=0.11, p=0.22; 9 months, KS2, D=0.28, p&lt;0.005; 16 months, KS2, D=0.19, p=0.33. </w:t>
      </w:r>
      <w:r w:rsidRPr="00FF0574">
        <w:rPr>
          <w:rFonts w:ascii="Abadi" w:hAnsi="Abadi"/>
          <w:b/>
          <w:bCs/>
        </w:rPr>
        <w:t>(C)</w:t>
      </w:r>
      <w:r w:rsidRPr="00FF0574">
        <w:rPr>
          <w:rFonts w:ascii="Abadi" w:hAnsi="Abadi"/>
        </w:rPr>
        <w:t xml:space="preserve"> Soma circularity showed no changes at 3 months; less circular or irregular at the intermediate stages (6 months, KS2, D=0.16, p&lt;0.05; 9 months, KS2, D=0.28, p&lt;0.005) until the 16 months aged mice where the shape appeared to shift more circular compared to microglia in the control animals (KS2, D=0.48, p&lt;0.005). n=3 mice per age group and treatment.</w:t>
      </w:r>
    </w:p>
    <w:p w14:paraId="6CB9DDD0" w14:textId="4B0F72C5" w:rsidR="00FF0574" w:rsidRDefault="00FF0574" w:rsidP="00FF0574">
      <w:pPr>
        <w:jc w:val="both"/>
        <w:rPr>
          <w:rFonts w:ascii="Abadi" w:hAnsi="Abadi"/>
        </w:rPr>
      </w:pPr>
      <w:r w:rsidRPr="00FF0574">
        <w:rPr>
          <w:rFonts w:ascii="Abadi" w:hAnsi="Abadi"/>
          <w:b/>
          <w:bCs/>
        </w:rPr>
        <w:t>Supplementary Figure 4. SYNGO of DEG</w:t>
      </w:r>
      <w:r>
        <w:rPr>
          <w:rFonts w:ascii="Abadi" w:hAnsi="Abadi"/>
          <w:b/>
          <w:bCs/>
        </w:rPr>
        <w:t>s</w:t>
      </w:r>
      <w:r w:rsidRPr="00FF0574">
        <w:rPr>
          <w:rFonts w:ascii="Abadi" w:hAnsi="Abadi"/>
        </w:rPr>
        <w:t xml:space="preserve">. Sunburst plot for Gene counts blasted on the </w:t>
      </w:r>
      <w:proofErr w:type="spellStart"/>
      <w:r w:rsidRPr="00FF0574">
        <w:rPr>
          <w:rFonts w:ascii="Abadi" w:hAnsi="Abadi"/>
        </w:rPr>
        <w:t>SynGO</w:t>
      </w:r>
      <w:proofErr w:type="spellEnd"/>
      <w:r w:rsidRPr="00FF0574">
        <w:rPr>
          <w:rFonts w:ascii="Abadi" w:hAnsi="Abadi"/>
        </w:rPr>
        <w:t xml:space="preserve"> database of DEGs in the aging </w:t>
      </w:r>
      <w:proofErr w:type="spellStart"/>
      <w:r w:rsidRPr="00FF0574">
        <w:rPr>
          <w:rFonts w:ascii="Abadi" w:hAnsi="Abadi"/>
        </w:rPr>
        <w:t>PolyI:C</w:t>
      </w:r>
      <w:proofErr w:type="spellEnd"/>
      <w:r w:rsidRPr="00FF0574">
        <w:rPr>
          <w:rFonts w:ascii="Abadi" w:hAnsi="Abadi"/>
        </w:rPr>
        <w:t xml:space="preserve"> mice as compared to saline controls at </w:t>
      </w:r>
      <w:r w:rsidRPr="00FF0574">
        <w:rPr>
          <w:rFonts w:ascii="Abadi" w:hAnsi="Abadi"/>
          <w:b/>
          <w:bCs/>
        </w:rPr>
        <w:t>(A)</w:t>
      </w:r>
      <w:r w:rsidRPr="00FF0574">
        <w:rPr>
          <w:rFonts w:ascii="Abadi" w:hAnsi="Abadi"/>
        </w:rPr>
        <w:t xml:space="preserve"> 3months </w:t>
      </w:r>
      <w:r w:rsidRPr="00FF0574">
        <w:rPr>
          <w:rFonts w:ascii="Abadi" w:hAnsi="Abadi"/>
          <w:b/>
          <w:bCs/>
        </w:rPr>
        <w:t>(B)</w:t>
      </w:r>
      <w:r w:rsidRPr="00FF0574">
        <w:rPr>
          <w:rFonts w:ascii="Abadi" w:hAnsi="Abadi"/>
        </w:rPr>
        <w:t xml:space="preserve"> 6months </w:t>
      </w:r>
      <w:r w:rsidRPr="00FF0574">
        <w:rPr>
          <w:rFonts w:ascii="Abadi" w:hAnsi="Abadi"/>
          <w:b/>
          <w:bCs/>
        </w:rPr>
        <w:t>(C)</w:t>
      </w:r>
      <w:r w:rsidRPr="00FF0574">
        <w:rPr>
          <w:rFonts w:ascii="Abadi" w:hAnsi="Abadi"/>
        </w:rPr>
        <w:t xml:space="preserve"> 9 months </w:t>
      </w:r>
      <w:r w:rsidRPr="00FF0574">
        <w:rPr>
          <w:rFonts w:ascii="Abadi" w:hAnsi="Abadi"/>
          <w:b/>
          <w:bCs/>
        </w:rPr>
        <w:t>(D)</w:t>
      </w:r>
      <w:r w:rsidRPr="00FF0574">
        <w:rPr>
          <w:rFonts w:ascii="Abadi" w:hAnsi="Abadi"/>
        </w:rPr>
        <w:t xml:space="preserve"> 16months. Color coding based on the gene count values indicated at each age.</w:t>
      </w:r>
    </w:p>
    <w:p w14:paraId="3DAD6F9A" w14:textId="6C74C106" w:rsidR="00FF0574" w:rsidRPr="00FF0574" w:rsidRDefault="00FF0574" w:rsidP="00FF0574">
      <w:pPr>
        <w:jc w:val="both"/>
        <w:rPr>
          <w:rFonts w:ascii="Abadi" w:hAnsi="Abadi"/>
        </w:rPr>
      </w:pPr>
      <w:r w:rsidRPr="00FF0574">
        <w:rPr>
          <w:rFonts w:ascii="Abadi" w:hAnsi="Abadi"/>
          <w:b/>
          <w:bCs/>
        </w:rPr>
        <w:t>Supplementary Figure 5. Map of progressive changes reflected by functional interactomes.</w:t>
      </w:r>
      <w:r>
        <w:rPr>
          <w:rFonts w:ascii="Abadi" w:hAnsi="Abadi"/>
        </w:rPr>
        <w:t xml:space="preserve"> </w:t>
      </w:r>
      <w:r w:rsidRPr="00FF0574">
        <w:rPr>
          <w:rFonts w:ascii="Abadi" w:hAnsi="Abadi"/>
        </w:rPr>
        <w:t xml:space="preserve">Functional gene enrichment analysis for statistically most significant pathways of DEGs in the aging </w:t>
      </w:r>
      <w:proofErr w:type="spellStart"/>
      <w:r w:rsidRPr="00FF0574">
        <w:rPr>
          <w:rFonts w:ascii="Abadi" w:hAnsi="Abadi"/>
        </w:rPr>
        <w:t>PolyI:C</w:t>
      </w:r>
      <w:proofErr w:type="spellEnd"/>
      <w:r w:rsidRPr="00FF0574">
        <w:rPr>
          <w:rFonts w:ascii="Abadi" w:hAnsi="Abadi"/>
        </w:rPr>
        <w:t xml:space="preserve"> mice as compared to saline controls visualized in </w:t>
      </w:r>
      <w:proofErr w:type="spellStart"/>
      <w:r w:rsidRPr="00FF0574">
        <w:rPr>
          <w:rFonts w:ascii="Abadi" w:hAnsi="Abadi"/>
        </w:rPr>
        <w:t>Clu</w:t>
      </w:r>
      <w:r>
        <w:rPr>
          <w:rFonts w:ascii="Abadi" w:hAnsi="Abadi"/>
        </w:rPr>
        <w:t>e</w:t>
      </w:r>
      <w:r w:rsidRPr="00FF0574">
        <w:rPr>
          <w:rFonts w:ascii="Abadi" w:hAnsi="Abadi"/>
        </w:rPr>
        <w:t>GO</w:t>
      </w:r>
      <w:proofErr w:type="spellEnd"/>
      <w:r w:rsidRPr="00FF0574">
        <w:rPr>
          <w:rFonts w:ascii="Abadi" w:hAnsi="Abadi"/>
        </w:rPr>
        <w:t xml:space="preserve"> software based on KEGG, </w:t>
      </w:r>
      <w:proofErr w:type="spellStart"/>
      <w:r w:rsidRPr="00FF0574">
        <w:rPr>
          <w:rFonts w:ascii="Abadi" w:hAnsi="Abadi"/>
        </w:rPr>
        <w:t>Reactome</w:t>
      </w:r>
      <w:proofErr w:type="spellEnd"/>
      <w:r w:rsidRPr="00FF0574">
        <w:rPr>
          <w:rFonts w:ascii="Abadi" w:hAnsi="Abadi"/>
        </w:rPr>
        <w:t xml:space="preserve">, </w:t>
      </w:r>
      <w:proofErr w:type="spellStart"/>
      <w:r w:rsidRPr="00FF0574">
        <w:rPr>
          <w:rFonts w:ascii="Abadi" w:hAnsi="Abadi"/>
        </w:rPr>
        <w:t>WikiPathways</w:t>
      </w:r>
      <w:proofErr w:type="spellEnd"/>
      <w:r w:rsidRPr="00FF0574">
        <w:rPr>
          <w:rFonts w:ascii="Abadi" w:hAnsi="Abadi"/>
        </w:rPr>
        <w:t xml:space="preserve"> at </w:t>
      </w:r>
      <w:r w:rsidRPr="00FF0574">
        <w:rPr>
          <w:rFonts w:ascii="Abadi" w:hAnsi="Abadi"/>
          <w:b/>
          <w:bCs/>
        </w:rPr>
        <w:t>(A)</w:t>
      </w:r>
      <w:r w:rsidRPr="00FF0574">
        <w:rPr>
          <w:rFonts w:ascii="Abadi" w:hAnsi="Abadi"/>
        </w:rPr>
        <w:t xml:space="preserve"> 3months </w:t>
      </w:r>
      <w:r w:rsidRPr="00FF0574">
        <w:rPr>
          <w:rFonts w:ascii="Abadi" w:hAnsi="Abadi"/>
          <w:b/>
          <w:bCs/>
        </w:rPr>
        <w:t>(B)</w:t>
      </w:r>
      <w:r w:rsidRPr="00FF0574">
        <w:rPr>
          <w:rFonts w:ascii="Abadi" w:hAnsi="Abadi"/>
        </w:rPr>
        <w:t xml:space="preserve"> 6months </w:t>
      </w:r>
      <w:r w:rsidRPr="00FF0574">
        <w:rPr>
          <w:rFonts w:ascii="Abadi" w:hAnsi="Abadi"/>
          <w:b/>
          <w:bCs/>
        </w:rPr>
        <w:t>(C)</w:t>
      </w:r>
      <w:r w:rsidRPr="00FF0574">
        <w:rPr>
          <w:rFonts w:ascii="Abadi" w:hAnsi="Abadi"/>
        </w:rPr>
        <w:t xml:space="preserve"> 9 months </w:t>
      </w:r>
      <w:r w:rsidRPr="00FF0574">
        <w:rPr>
          <w:rFonts w:ascii="Abadi" w:hAnsi="Abadi"/>
          <w:b/>
          <w:bCs/>
        </w:rPr>
        <w:t>(D)</w:t>
      </w:r>
      <w:r w:rsidRPr="00FF0574">
        <w:rPr>
          <w:rFonts w:ascii="Abadi" w:hAnsi="Abadi"/>
        </w:rPr>
        <w:t xml:space="preserve"> 16months. Upregulated and downregulated genes are highlighted in blue and red </w:t>
      </w:r>
      <w:proofErr w:type="gramStart"/>
      <w:r w:rsidRPr="00FF0574">
        <w:rPr>
          <w:rFonts w:ascii="Abadi" w:hAnsi="Abadi"/>
        </w:rPr>
        <w:t>text</w:t>
      </w:r>
      <w:proofErr w:type="gramEnd"/>
      <w:r w:rsidRPr="00FF0574">
        <w:rPr>
          <w:rFonts w:ascii="Abadi" w:hAnsi="Abadi"/>
        </w:rPr>
        <w:t xml:space="preserve"> respectively. Each node represents the biological pathway and color of the node represents the functional group.</w:t>
      </w:r>
    </w:p>
    <w:p w14:paraId="2AB2D146" w14:textId="77777777" w:rsidR="00FF0574" w:rsidRPr="00FF0574" w:rsidRDefault="00FF0574" w:rsidP="00FF0574">
      <w:pPr>
        <w:jc w:val="both"/>
        <w:rPr>
          <w:rFonts w:ascii="Abadi" w:hAnsi="Abadi"/>
        </w:rPr>
      </w:pPr>
    </w:p>
    <w:p w14:paraId="70DCB555" w14:textId="77777777" w:rsidR="00FF0574" w:rsidRPr="00FF0574" w:rsidRDefault="00FF0574" w:rsidP="00FF0574">
      <w:pPr>
        <w:jc w:val="both"/>
        <w:rPr>
          <w:rFonts w:ascii="Abadi" w:hAnsi="Abadi"/>
        </w:rPr>
      </w:pPr>
    </w:p>
    <w:p w14:paraId="49D64876" w14:textId="77777777" w:rsidR="00B66F38" w:rsidRPr="00184904" w:rsidRDefault="00C631C3">
      <w:pPr>
        <w:rPr>
          <w:rFonts w:ascii="Abadi" w:hAnsi="Abadi"/>
        </w:rPr>
      </w:pPr>
    </w:p>
    <w:sectPr w:rsidR="00B66F38" w:rsidRPr="00184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04"/>
    <w:rsid w:val="00184904"/>
    <w:rsid w:val="00585037"/>
    <w:rsid w:val="008E0B6A"/>
    <w:rsid w:val="00B8312C"/>
    <w:rsid w:val="00C631C3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F947"/>
  <w15:chartTrackingRefBased/>
  <w15:docId w15:val="{35A95940-AD74-43CC-B0D7-D2E5950D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57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Alberi</dc:creator>
  <cp:keywords/>
  <dc:description/>
  <cp:lastModifiedBy>Lavinia Alberi</cp:lastModifiedBy>
  <cp:revision>3</cp:revision>
  <dcterms:created xsi:type="dcterms:W3CDTF">2020-07-23T08:45:00Z</dcterms:created>
  <dcterms:modified xsi:type="dcterms:W3CDTF">2020-07-23T09:16:00Z</dcterms:modified>
</cp:coreProperties>
</file>