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</w:t>
      </w:r>
      <w:r>
        <w:rPr>
          <w:rFonts w:hint="eastAsia" w:ascii="Times New Roman" w:hAnsi="Times New Roman" w:cs="Times New Roman"/>
          <w:szCs w:val="21"/>
          <w:lang w:val="en-US" w:eastAsia="zh-CN"/>
        </w:rPr>
        <w:t>S</w:t>
      </w:r>
      <w:r>
        <w:rPr>
          <w:rFonts w:ascii="Times New Roman" w:hAnsi="Times New Roman" w:cs="Times New Roman"/>
          <w:szCs w:val="21"/>
        </w:rPr>
        <w:t xml:space="preserve">1. Treatment and Supportive Care for </w:t>
      </w:r>
      <w:bookmarkStart w:id="0" w:name="_GoBack"/>
      <w:bookmarkEnd w:id="0"/>
      <w:r>
        <w:rPr>
          <w:rFonts w:hint="eastAsia"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ose-adjusted R-EPOCH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01"/>
        <w:gridCol w:w="152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Drug</w:t>
            </w:r>
          </w:p>
        </w:tc>
        <w:tc>
          <w:tcPr>
            <w:tcW w:w="2901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Dose</w:t>
            </w:r>
          </w:p>
        </w:tc>
        <w:tc>
          <w:tcPr>
            <w:tcW w:w="1520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Route</w:t>
            </w:r>
          </w:p>
        </w:tc>
        <w:tc>
          <w:tcPr>
            <w:tcW w:w="1971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Treatment Days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AdvPS6EC0" w:cs="Times New Roman"/>
                <w:color w:val="000000"/>
                <w:kern w:val="0"/>
                <w:szCs w:val="21"/>
              </w:rPr>
              <w:t>Rituximab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Infused agents*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Etoposide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Doxorubicin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Vincristine</w:t>
            </w:r>
          </w:p>
        </w:tc>
        <w:tc>
          <w:tcPr>
            <w:tcW w:w="2901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375 mg/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m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  <w:vertAlign w:val="superscript"/>
              </w:rPr>
              <w:t>2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50 mg/m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/day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10 mg/m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/day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0.4 mg/m</w:t>
            </w:r>
            <w:r>
              <w:rPr>
                <w:rFonts w:ascii="Times New Roman" w:hAnsi="Times New Roman"/>
                <w:color w:val="231F20"/>
                <w:kern w:val="0"/>
                <w:vertAlign w:val="superscript"/>
              </w:rPr>
              <w:t>2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/day</w:t>
            </w:r>
          </w:p>
        </w:tc>
        <w:tc>
          <w:tcPr>
            <w:tcW w:w="1520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IVPB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CIV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CIV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CIV</w:t>
            </w:r>
          </w:p>
        </w:tc>
        <w:tc>
          <w:tcPr>
            <w:tcW w:w="1971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1,2,3,4 (96 hours)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1,2,3,4 (96 hours)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1,2,3,4 (96 hours)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Bolus agents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Cyclophosphamide**</w:t>
            </w:r>
          </w:p>
        </w:tc>
        <w:tc>
          <w:tcPr>
            <w:tcW w:w="29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Starting dose：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375 mg/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m</w: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if CD4+ cells = 50-200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cells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szCs w:val="21"/>
              </w:rPr>
              <w:t>ul</w:t>
            </w:r>
            <w:r>
              <w:rPr>
                <w:rFonts w:ascii="Times New Roman" w:hAnsi="Times New Roman" w:cs="Times New Roman"/>
                <w:szCs w:val="21"/>
              </w:rPr>
              <w:t xml:space="preserve"> or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maximum dose of 750 mg/m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if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CD4+ cells &gt;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cells </w:t>
            </w:r>
            <w:r>
              <w:rPr>
                <w:rFonts w:ascii="Times New Roman" w:hAnsi="Times New Roman" w:cs="Times New Roman"/>
                <w:szCs w:val="21"/>
              </w:rPr>
              <w:t>200/</w:t>
            </w:r>
            <w:r>
              <w:rPr>
                <w:rFonts w:hint="eastAsia" w:ascii="Times New Roman" w:hAnsi="Times New Roman" w:cs="Times New Roman"/>
                <w:szCs w:val="21"/>
              </w:rPr>
              <w:t>ul</w:t>
            </w:r>
          </w:p>
        </w:tc>
        <w:tc>
          <w:tcPr>
            <w:tcW w:w="15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IV</w:t>
            </w:r>
            <w:r>
              <w:rPr>
                <w:rFonts w:hint="eastAsia" w:ascii="Times New Roman" w:hAnsi="Times New Roman" w:cs="Times New Roman"/>
                <w:szCs w:val="21"/>
              </w:rPr>
              <w:t>PB</w:t>
            </w:r>
          </w:p>
        </w:tc>
        <w:tc>
          <w:tcPr>
            <w:tcW w:w="197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Prednisone</w:t>
            </w:r>
          </w:p>
        </w:tc>
        <w:tc>
          <w:tcPr>
            <w:tcW w:w="29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60 mg/m2/day</w:t>
            </w:r>
          </w:p>
        </w:tc>
        <w:tc>
          <w:tcPr>
            <w:tcW w:w="15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PO</w:t>
            </w:r>
          </w:p>
        </w:tc>
        <w:tc>
          <w:tcPr>
            <w:tcW w:w="197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1,2,3,4,5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Filgrastim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Or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eastAsia="AdvPS6EC0" w:cs="Times New Roman"/>
                <w:color w:val="000000"/>
                <w:kern w:val="0"/>
                <w:szCs w:val="21"/>
              </w:rPr>
              <w:t>Pegfilgrastim</w:t>
            </w:r>
          </w:p>
        </w:tc>
        <w:tc>
          <w:tcPr>
            <w:tcW w:w="2901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5 µg/Kg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</w:pPr>
            <w:r>
              <w:rPr>
                <w:rFonts w:hint="eastAsia" w:ascii="Times New Roman" w:hAnsi="Times New Roman" w:eastAsia="Helvetica" w:cs="Times New Roman"/>
                <w:color w:val="231F20"/>
                <w:kern w:val="0"/>
                <w:szCs w:val="21"/>
              </w:rPr>
              <w:t>6mg</w:t>
            </w:r>
          </w:p>
        </w:tc>
        <w:tc>
          <w:tcPr>
            <w:tcW w:w="1520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SC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SC once</w:t>
            </w:r>
          </w:p>
        </w:tc>
        <w:tc>
          <w:tcPr>
            <w:tcW w:w="1971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98425</wp:posOffset>
                      </wp:positionV>
                      <wp:extent cx="139700" cy="5715"/>
                      <wp:effectExtent l="0" t="45720" r="0" b="50165"/>
                      <wp:wrapNone/>
                      <wp:docPr id="23" name="直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700" cy="57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4" o:spid="_x0000_s1026" o:spt="20" style="position:absolute;left:0pt;flip:y;margin-left:7.1pt;margin-top:7.75pt;height:0.45pt;width:11pt;z-index:251680768;mso-width-relative:page;mso-height-relative:page;" filled="f" stroked="t" coordsize="21600,21600" o:gfxdata="UEsDBAoAAAAAAIdO4kAAAAAAAAAAAAAAAAAEAAAAZHJzL1BLAwQUAAAACACHTuJA6Ls3fdQAAAAH&#10;AQAADwAAAGRycy9kb3ducmV2LnhtbE2OMU/DMBCFdyT+g3VILBV1WtqAQpwOlWBgw61gdZJrEhqf&#10;o/jahn/PMdHp9Ok9vfvyzeR7dcYxdoEMLOYJKKQq1B01Bva714dnUJEd1a4PhAZ+MMKmuL3JXVaH&#10;C33g2XKjZIRi5gy0zEOmdaxa9C7Ow4Ak2SGM3rHg2Oh6dBcZ971eJkmqvetIPrRuwG2L1dGevIG3&#10;d+Zytx94djx82u+v2XayT9aY+7tF8gKKceL/MvzpizoU4lSGE9VR9cKrpTTlrtegJH9MhUvhdAW6&#10;yPW1f/ELUEsDBBQAAAAIAIdO4kCeWHW12QEAAJ4DAAAOAAAAZHJzL2Uyb0RvYy54bWytU82O0zAQ&#10;viPxDpbvNGmWsmzUdA9blguCSgt7n/onseQ/2aZpn4XX4MSFx9nXYOyEsgucEDlYM57Pn+f7PFlf&#10;H40mBxGicrajy0VNibDMcWX7jn76ePviNSUxgeWgnRUdPYlIrzfPn61H34rGDU5zEQiS2NiOvqND&#10;Sr6tqsgGYSAunBcWi9IFAwnT0Fc8wIjsRldNXb+qRhe4D46JGHF3OxXppvBLKVj6IGUUieiOYm+p&#10;rKGs+7xWmzW0fQA/KDa3Af/QhQFl8dIz1RYSkM9B/UFlFAsuOpkWzJnKSamYKBpQzbL+Tc3dAF4U&#10;LWhO9Geb4v+jZe8Pu0AU72hzQYkFg2/08OXrw7fvpHmZ3Rl9bBF0Y3dhzqLfhSz1KIMhUit/jw9f&#10;xKMccizens7eimMiDDeXF1eXNb4Aw9LqcrnK3NVEksl8iOmtcIbkoKNa2SwcWji8i2mC/oTkbW3J&#10;2NGrVbNCRsC5kRoShsajkmj7cjY6rfit0jqfiKHf3+hADpAnoXxzC09g+ZItxGHClVKGQTsI4G8s&#10;J+nk0SKLw0xzC0ZwSrTA2c9RQSZQ+hcSQnDj36EoX9vMLcqgzkKz4ZPFOdo7firOVznDISiuzQOb&#10;p+xxjvHj32rz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7N33UAAAABwEAAA8AAAAAAAAAAQAg&#10;AAAAIgAAAGRycy9kb3ducmV2LnhtbFBLAQIUABQAAAAIAIdO4kCeWHW12QEAAJ4DAAAOAAAAAAAA&#10;AAEAIAAAACMBAABkcnMvZTJvRG9jLnhtbFBLBQYAAAAABgAGAFkBAABu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Helvetica" w:cs="Times New Roman"/>
                <w:color w:val="231F20"/>
                <w:kern w:val="0"/>
                <w:szCs w:val="21"/>
              </w:rPr>
              <w:t>6   ANC &gt;5000/µl (past nadir)</w:t>
            </w:r>
          </w:p>
          <w:p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</w:tr>
    </w:tbl>
    <w:p>
      <w:pPr>
        <w:widowControl/>
        <w:spacing w:after="0" w:line="240" w:lineRule="auto"/>
        <w:jc w:val="left"/>
        <w:rPr>
          <w:rFonts w:ascii="Times New Roman" w:hAnsi="Times New Roman" w:eastAsia="Helvetica" w:cs="Times New Roman"/>
          <w:color w:val="231F20"/>
          <w:kern w:val="0"/>
          <w:szCs w:val="21"/>
        </w:rPr>
      </w:pPr>
      <w:r>
        <w:rPr>
          <w:rFonts w:hint="eastAsia" w:ascii="Times New Roman" w:hAnsi="Times New Roman" w:eastAsia="Helvetica" w:cs="Times New Roman"/>
          <w:color w:val="231F20"/>
          <w:kern w:val="0"/>
          <w:szCs w:val="21"/>
        </w:rPr>
        <w:t xml:space="preserve">CIV: </w:t>
      </w:r>
      <w:r>
        <w:rPr>
          <w:rFonts w:ascii="Times New Roman" w:hAnsi="Times New Roman" w:eastAsia="AdvPS6EC0" w:cs="Times New Roman"/>
          <w:color w:val="000000"/>
          <w:kern w:val="0"/>
          <w:szCs w:val="21"/>
        </w:rPr>
        <w:t>intravenous continuous infusion</w:t>
      </w:r>
      <w:r>
        <w:rPr>
          <w:rFonts w:hint="eastAsia" w:ascii="Times New Roman" w:hAnsi="Times New Roman" w:eastAsia="AdvPS6EC0" w:cs="Times New Roman"/>
          <w:color w:val="000000"/>
          <w:kern w:val="0"/>
          <w:szCs w:val="21"/>
        </w:rPr>
        <w:t xml:space="preserve">, </w:t>
      </w:r>
      <w:r>
        <w:rPr>
          <w:rFonts w:ascii="Times New Roman" w:hAnsi="Times New Roman" w:eastAsia="AdvPS6EC0" w:cs="Times New Roman"/>
          <w:color w:val="000000"/>
          <w:kern w:val="0"/>
          <w:szCs w:val="21"/>
        </w:rPr>
        <w:t>IVPB, intravenous piggyback</w:t>
      </w:r>
      <w:r>
        <w:rPr>
          <w:rFonts w:hint="eastAsia" w:ascii="Times New Roman" w:hAnsi="Times New Roman" w:eastAsia="AdvPS6EC0" w:cs="Times New Roman"/>
          <w:color w:val="000000"/>
          <w:kern w:val="0"/>
          <w:szCs w:val="21"/>
        </w:rPr>
        <w:t xml:space="preserve">, SC subcutaneous injection </w:t>
      </w:r>
    </w:p>
    <w:p>
      <w:pPr>
        <w:widowControl/>
        <w:spacing w:after="0" w:line="240" w:lineRule="auto"/>
        <w:jc w:val="left"/>
        <w:rPr>
          <w:szCs w:val="21"/>
        </w:rPr>
      </w:pPr>
      <w:r>
        <w:rPr>
          <w:rFonts w:ascii="Times New Roman" w:hAnsi="Times New Roman" w:eastAsia="Helvetica" w:cs="Times New Roman"/>
          <w:color w:val="231F20"/>
          <w:kern w:val="0"/>
          <w:szCs w:val="21"/>
        </w:rPr>
        <w:t>*Etoposide, doxorubicin, and vincristine could be admixed in the same solution. Etoposide, doxorubicin, and vincristine were never dose-adjusted for hematologic toxicity.</w:t>
      </w:r>
    </w:p>
    <w:p>
      <w:pPr>
        <w:widowControl/>
        <w:spacing w:after="0" w:line="240" w:lineRule="auto"/>
        <w:jc w:val="left"/>
      </w:pPr>
      <w:r>
        <w:rPr>
          <w:rFonts w:ascii="Times New Roman" w:hAnsi="Times New Roman" w:cs="Times New Roman"/>
          <w:szCs w:val="21"/>
        </w:rPr>
        <w:t>**</w:t>
      </w:r>
      <w:r>
        <w:rPr>
          <w:rFonts w:hint="eastAsia" w:ascii="Times New Roman" w:hAnsi="Times New Roman" w:cs="Times New Roman"/>
          <w:szCs w:val="21"/>
        </w:rPr>
        <w:t xml:space="preserve">: </w:t>
      </w:r>
      <w:r>
        <w:rPr>
          <w:rFonts w:ascii="Times New Roman" w:hAnsi="Times New Roman" w:eastAsia="Helvetica" w:cs="Times New Roman"/>
          <w:color w:val="231F20"/>
          <w:kern w:val="0"/>
          <w:szCs w:val="21"/>
        </w:rPr>
        <w:t>Cyclophosphamide dose-adjustment (after cycle 1)</w:t>
      </w:r>
      <w:r>
        <w:rPr>
          <w:rFonts w:hint="eastAsia" w:ascii="Times New Roman" w:hAnsi="Times New Roman" w:eastAsia="Helvetica" w:cs="Times New Roman"/>
          <w:color w:val="231F20"/>
          <w:kern w:val="0"/>
          <w:szCs w:val="21"/>
        </w:rPr>
        <w:t xml:space="preserve">, </w:t>
      </w:r>
      <w:r>
        <w:rPr>
          <w:rFonts w:ascii="Times New Roman" w:hAnsi="Times New Roman" w:eastAsia="Helvetica" w:cs="Times New Roman"/>
          <w:color w:val="231F20"/>
          <w:kern w:val="0"/>
          <w:szCs w:val="21"/>
        </w:rPr>
        <w:t>if nadir ANC &lt; 500/µl or platelets &lt; 25 /µl</w:t>
      </w:r>
      <w:r>
        <w:rPr>
          <w:rFonts w:hint="eastAsia" w:ascii="Times New Roman" w:hAnsi="Times New Roman" w:eastAsia="Helvetica" w:cs="Times New Roman"/>
          <w:color w:val="231F20"/>
          <w:kern w:val="0"/>
          <w:szCs w:val="21"/>
        </w:rPr>
        <w:t xml:space="preserve">, </w:t>
      </w:r>
      <w:r>
        <w:rPr>
          <w:rFonts w:ascii="Times New Roman" w:hAnsi="Times New Roman" w:eastAsia="Helvetica" w:cs="Times New Roman"/>
          <w:color w:val="231F20"/>
          <w:kern w:val="0"/>
          <w:szCs w:val="21"/>
        </w:rPr>
        <w:t>187 mg/m</w:t>
      </w:r>
      <w:r>
        <w:rPr>
          <w:rFonts w:ascii="Times New Roman" w:hAnsi="Times New Roman"/>
          <w:color w:val="231F20"/>
          <w:kern w:val="0"/>
          <w:vertAlign w:val="superscript"/>
        </w:rPr>
        <w:t>2</w:t>
      </w:r>
      <w:r>
        <w:rPr>
          <w:rFonts w:ascii="Times New Roman" w:hAnsi="Times New Roman" w:eastAsia="Helvetica" w:cs="Times New Roman"/>
          <w:color w:val="231F20"/>
          <w:kern w:val="0"/>
          <w:szCs w:val="21"/>
        </w:rPr>
        <w:t xml:space="preserve"> below previous cycle.</w:t>
      </w:r>
    </w:p>
    <w:sectPr>
      <w:pgSz w:w="11906" w:h="16838"/>
      <w:pgMar w:top="1440" w:right="1800" w:bottom="1440" w:left="180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dvPS6EC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EDB"/>
    <w:rsid w:val="00072442"/>
    <w:rsid w:val="000A5E5D"/>
    <w:rsid w:val="000F7570"/>
    <w:rsid w:val="00106A43"/>
    <w:rsid w:val="0016349E"/>
    <w:rsid w:val="00172A27"/>
    <w:rsid w:val="0018021B"/>
    <w:rsid w:val="001A49CF"/>
    <w:rsid w:val="00227821"/>
    <w:rsid w:val="002446E7"/>
    <w:rsid w:val="00246F55"/>
    <w:rsid w:val="002574EB"/>
    <w:rsid w:val="002651C0"/>
    <w:rsid w:val="0026629E"/>
    <w:rsid w:val="002A7254"/>
    <w:rsid w:val="002F350A"/>
    <w:rsid w:val="002F5131"/>
    <w:rsid w:val="003074E5"/>
    <w:rsid w:val="003104EA"/>
    <w:rsid w:val="00312644"/>
    <w:rsid w:val="00345D85"/>
    <w:rsid w:val="003C0636"/>
    <w:rsid w:val="003D589D"/>
    <w:rsid w:val="003D7DE1"/>
    <w:rsid w:val="003E1A05"/>
    <w:rsid w:val="003E5C3D"/>
    <w:rsid w:val="004046C7"/>
    <w:rsid w:val="00415629"/>
    <w:rsid w:val="004342D5"/>
    <w:rsid w:val="00434535"/>
    <w:rsid w:val="00473EFA"/>
    <w:rsid w:val="00474503"/>
    <w:rsid w:val="004A4A26"/>
    <w:rsid w:val="004B6B0E"/>
    <w:rsid w:val="004E51C6"/>
    <w:rsid w:val="004F0886"/>
    <w:rsid w:val="004F2D31"/>
    <w:rsid w:val="00511A58"/>
    <w:rsid w:val="00532080"/>
    <w:rsid w:val="00535CC9"/>
    <w:rsid w:val="00581ADE"/>
    <w:rsid w:val="00594FBA"/>
    <w:rsid w:val="005A2A8A"/>
    <w:rsid w:val="005B6B27"/>
    <w:rsid w:val="00633385"/>
    <w:rsid w:val="00641E55"/>
    <w:rsid w:val="00655623"/>
    <w:rsid w:val="0067295F"/>
    <w:rsid w:val="006D5815"/>
    <w:rsid w:val="006E5C0F"/>
    <w:rsid w:val="00700249"/>
    <w:rsid w:val="00731914"/>
    <w:rsid w:val="00746570"/>
    <w:rsid w:val="0076358A"/>
    <w:rsid w:val="00780CE6"/>
    <w:rsid w:val="007E1175"/>
    <w:rsid w:val="008733F3"/>
    <w:rsid w:val="00874F80"/>
    <w:rsid w:val="00883D74"/>
    <w:rsid w:val="00896D2F"/>
    <w:rsid w:val="008A06DC"/>
    <w:rsid w:val="008B4AC4"/>
    <w:rsid w:val="008B59FA"/>
    <w:rsid w:val="00993B6A"/>
    <w:rsid w:val="009C3393"/>
    <w:rsid w:val="00AA7417"/>
    <w:rsid w:val="00AC1627"/>
    <w:rsid w:val="00AD4B97"/>
    <w:rsid w:val="00B23682"/>
    <w:rsid w:val="00B32CA9"/>
    <w:rsid w:val="00B33220"/>
    <w:rsid w:val="00B37173"/>
    <w:rsid w:val="00B67721"/>
    <w:rsid w:val="00B754DE"/>
    <w:rsid w:val="00BA17DC"/>
    <w:rsid w:val="00BB1110"/>
    <w:rsid w:val="00BB5302"/>
    <w:rsid w:val="00BE5B78"/>
    <w:rsid w:val="00BF76D7"/>
    <w:rsid w:val="00C0695D"/>
    <w:rsid w:val="00C07DD4"/>
    <w:rsid w:val="00C4096F"/>
    <w:rsid w:val="00CD32AD"/>
    <w:rsid w:val="00D02BE8"/>
    <w:rsid w:val="00D31146"/>
    <w:rsid w:val="00D70A14"/>
    <w:rsid w:val="00DA07F1"/>
    <w:rsid w:val="00DB3F5B"/>
    <w:rsid w:val="00DC4ADB"/>
    <w:rsid w:val="00DD11A1"/>
    <w:rsid w:val="00E6717B"/>
    <w:rsid w:val="00EA7C84"/>
    <w:rsid w:val="00EC6E8C"/>
    <w:rsid w:val="00EF02FD"/>
    <w:rsid w:val="00F214FE"/>
    <w:rsid w:val="00F21CCA"/>
    <w:rsid w:val="00FF05CD"/>
    <w:rsid w:val="01185DB4"/>
    <w:rsid w:val="012D03F0"/>
    <w:rsid w:val="02351145"/>
    <w:rsid w:val="02387350"/>
    <w:rsid w:val="024F63A7"/>
    <w:rsid w:val="0283413F"/>
    <w:rsid w:val="02A9274A"/>
    <w:rsid w:val="02B5539D"/>
    <w:rsid w:val="03010CF0"/>
    <w:rsid w:val="032340B5"/>
    <w:rsid w:val="036D5071"/>
    <w:rsid w:val="037263ED"/>
    <w:rsid w:val="03D8003B"/>
    <w:rsid w:val="03F05608"/>
    <w:rsid w:val="04056AEF"/>
    <w:rsid w:val="04B223C5"/>
    <w:rsid w:val="05390984"/>
    <w:rsid w:val="05726CA6"/>
    <w:rsid w:val="05DC78FF"/>
    <w:rsid w:val="06B46605"/>
    <w:rsid w:val="07BB5D64"/>
    <w:rsid w:val="07E00953"/>
    <w:rsid w:val="07E0297F"/>
    <w:rsid w:val="07FE0B3E"/>
    <w:rsid w:val="08B37D7C"/>
    <w:rsid w:val="08B476E4"/>
    <w:rsid w:val="08FE3403"/>
    <w:rsid w:val="094F20F1"/>
    <w:rsid w:val="098D1F25"/>
    <w:rsid w:val="09992AE2"/>
    <w:rsid w:val="09CF5EC3"/>
    <w:rsid w:val="09D724F3"/>
    <w:rsid w:val="09D96D9B"/>
    <w:rsid w:val="09EA5FA6"/>
    <w:rsid w:val="09FE7368"/>
    <w:rsid w:val="0A701A97"/>
    <w:rsid w:val="0AEB2973"/>
    <w:rsid w:val="0AF93380"/>
    <w:rsid w:val="0BF663CA"/>
    <w:rsid w:val="0C3F5E34"/>
    <w:rsid w:val="0C77436D"/>
    <w:rsid w:val="0D065F81"/>
    <w:rsid w:val="0D1929B7"/>
    <w:rsid w:val="0D4302E2"/>
    <w:rsid w:val="0DD117A5"/>
    <w:rsid w:val="0DDA559D"/>
    <w:rsid w:val="0DF824DC"/>
    <w:rsid w:val="0E073B59"/>
    <w:rsid w:val="0E107F2A"/>
    <w:rsid w:val="0E5C026F"/>
    <w:rsid w:val="0EB950C9"/>
    <w:rsid w:val="0EBF4892"/>
    <w:rsid w:val="0F127CC6"/>
    <w:rsid w:val="0F4825C6"/>
    <w:rsid w:val="0FC158B5"/>
    <w:rsid w:val="0FCD4C84"/>
    <w:rsid w:val="0FF5202A"/>
    <w:rsid w:val="10322EF4"/>
    <w:rsid w:val="10355A8B"/>
    <w:rsid w:val="10434BDC"/>
    <w:rsid w:val="106E360D"/>
    <w:rsid w:val="10A51103"/>
    <w:rsid w:val="111D0775"/>
    <w:rsid w:val="11BF01C0"/>
    <w:rsid w:val="11D34E3A"/>
    <w:rsid w:val="12272198"/>
    <w:rsid w:val="12BD440F"/>
    <w:rsid w:val="142D1551"/>
    <w:rsid w:val="14665270"/>
    <w:rsid w:val="148B3B90"/>
    <w:rsid w:val="155B454B"/>
    <w:rsid w:val="15D309AC"/>
    <w:rsid w:val="161814E3"/>
    <w:rsid w:val="16EE1C15"/>
    <w:rsid w:val="172F1935"/>
    <w:rsid w:val="174560AC"/>
    <w:rsid w:val="174F469E"/>
    <w:rsid w:val="178022B3"/>
    <w:rsid w:val="1793356A"/>
    <w:rsid w:val="17D3017D"/>
    <w:rsid w:val="17EF0265"/>
    <w:rsid w:val="180C7EFC"/>
    <w:rsid w:val="183C285E"/>
    <w:rsid w:val="18444235"/>
    <w:rsid w:val="18647630"/>
    <w:rsid w:val="18A57083"/>
    <w:rsid w:val="18AD6D53"/>
    <w:rsid w:val="18E71D4C"/>
    <w:rsid w:val="194C071D"/>
    <w:rsid w:val="19557518"/>
    <w:rsid w:val="196F086A"/>
    <w:rsid w:val="19AB5CF4"/>
    <w:rsid w:val="19CF3E81"/>
    <w:rsid w:val="19DA3CD2"/>
    <w:rsid w:val="1A5567A8"/>
    <w:rsid w:val="1A59378E"/>
    <w:rsid w:val="1A6A782B"/>
    <w:rsid w:val="1C3944C5"/>
    <w:rsid w:val="1D2D11DD"/>
    <w:rsid w:val="1D646065"/>
    <w:rsid w:val="1DAD58A8"/>
    <w:rsid w:val="1DF2413D"/>
    <w:rsid w:val="1DFF75A0"/>
    <w:rsid w:val="1E8471E5"/>
    <w:rsid w:val="1EAA528B"/>
    <w:rsid w:val="1FCA2EC1"/>
    <w:rsid w:val="1FD767F4"/>
    <w:rsid w:val="1FE85F8A"/>
    <w:rsid w:val="2042515A"/>
    <w:rsid w:val="204C685C"/>
    <w:rsid w:val="20DB28F3"/>
    <w:rsid w:val="20F758FC"/>
    <w:rsid w:val="211120AC"/>
    <w:rsid w:val="2218395F"/>
    <w:rsid w:val="222A4E94"/>
    <w:rsid w:val="2275050A"/>
    <w:rsid w:val="22EA2631"/>
    <w:rsid w:val="22EC5AB5"/>
    <w:rsid w:val="231B4188"/>
    <w:rsid w:val="233F4D86"/>
    <w:rsid w:val="238245FE"/>
    <w:rsid w:val="242F6C37"/>
    <w:rsid w:val="24670A8A"/>
    <w:rsid w:val="24BA27D8"/>
    <w:rsid w:val="2511776C"/>
    <w:rsid w:val="2531695F"/>
    <w:rsid w:val="259D6884"/>
    <w:rsid w:val="25FB1E78"/>
    <w:rsid w:val="270E24F3"/>
    <w:rsid w:val="27211C92"/>
    <w:rsid w:val="27C32226"/>
    <w:rsid w:val="27DA1939"/>
    <w:rsid w:val="282F5EEA"/>
    <w:rsid w:val="285323B0"/>
    <w:rsid w:val="29883DC3"/>
    <w:rsid w:val="299202AD"/>
    <w:rsid w:val="29953672"/>
    <w:rsid w:val="29C40E55"/>
    <w:rsid w:val="2A4A4F54"/>
    <w:rsid w:val="2A5C5B0A"/>
    <w:rsid w:val="2B2B29D1"/>
    <w:rsid w:val="2B487BB6"/>
    <w:rsid w:val="2C554D5D"/>
    <w:rsid w:val="2CD0216C"/>
    <w:rsid w:val="2CD267EA"/>
    <w:rsid w:val="2CE056EC"/>
    <w:rsid w:val="2CE45AD8"/>
    <w:rsid w:val="2CF623B7"/>
    <w:rsid w:val="2D5172C3"/>
    <w:rsid w:val="2D9D20BB"/>
    <w:rsid w:val="2F036DAB"/>
    <w:rsid w:val="2F0A6ADF"/>
    <w:rsid w:val="2FC72085"/>
    <w:rsid w:val="30713E64"/>
    <w:rsid w:val="30931A47"/>
    <w:rsid w:val="311E3330"/>
    <w:rsid w:val="312D7A5C"/>
    <w:rsid w:val="313343B5"/>
    <w:rsid w:val="31A164B0"/>
    <w:rsid w:val="320A7B5D"/>
    <w:rsid w:val="32146ACD"/>
    <w:rsid w:val="325C7971"/>
    <w:rsid w:val="325E5D28"/>
    <w:rsid w:val="327961A1"/>
    <w:rsid w:val="32926E25"/>
    <w:rsid w:val="33071E9F"/>
    <w:rsid w:val="331D0CA5"/>
    <w:rsid w:val="343B45CD"/>
    <w:rsid w:val="347C1E22"/>
    <w:rsid w:val="349602A5"/>
    <w:rsid w:val="354C245F"/>
    <w:rsid w:val="35581375"/>
    <w:rsid w:val="36510766"/>
    <w:rsid w:val="36657268"/>
    <w:rsid w:val="36B048E9"/>
    <w:rsid w:val="36CC5465"/>
    <w:rsid w:val="37306130"/>
    <w:rsid w:val="37424662"/>
    <w:rsid w:val="376601CF"/>
    <w:rsid w:val="37A25E95"/>
    <w:rsid w:val="37E95ED7"/>
    <w:rsid w:val="387D1696"/>
    <w:rsid w:val="38997B97"/>
    <w:rsid w:val="38F421D1"/>
    <w:rsid w:val="39154A3A"/>
    <w:rsid w:val="39400258"/>
    <w:rsid w:val="39C25C54"/>
    <w:rsid w:val="3A6F0B13"/>
    <w:rsid w:val="3ACE30D4"/>
    <w:rsid w:val="3AEC2884"/>
    <w:rsid w:val="3B1E6B6D"/>
    <w:rsid w:val="3B49249F"/>
    <w:rsid w:val="3B535907"/>
    <w:rsid w:val="3BB82457"/>
    <w:rsid w:val="3C096BB6"/>
    <w:rsid w:val="3C0B4AAA"/>
    <w:rsid w:val="3C3A6807"/>
    <w:rsid w:val="3C4215BA"/>
    <w:rsid w:val="3C6015F3"/>
    <w:rsid w:val="3C8D2F60"/>
    <w:rsid w:val="3CE61CC2"/>
    <w:rsid w:val="3E223C71"/>
    <w:rsid w:val="3E65022A"/>
    <w:rsid w:val="3E9F5653"/>
    <w:rsid w:val="3EA97C8F"/>
    <w:rsid w:val="3EEB6FA0"/>
    <w:rsid w:val="3F3C3D96"/>
    <w:rsid w:val="3F3F307F"/>
    <w:rsid w:val="3F472705"/>
    <w:rsid w:val="3FC929CA"/>
    <w:rsid w:val="3FEF7055"/>
    <w:rsid w:val="407E5293"/>
    <w:rsid w:val="41097A3E"/>
    <w:rsid w:val="414E6DAF"/>
    <w:rsid w:val="41EC22EF"/>
    <w:rsid w:val="429F444A"/>
    <w:rsid w:val="42CE5C0B"/>
    <w:rsid w:val="42F051ED"/>
    <w:rsid w:val="430916C4"/>
    <w:rsid w:val="431D0F9D"/>
    <w:rsid w:val="440F09EE"/>
    <w:rsid w:val="44293777"/>
    <w:rsid w:val="44520F03"/>
    <w:rsid w:val="450170EA"/>
    <w:rsid w:val="452503B8"/>
    <w:rsid w:val="45C553D5"/>
    <w:rsid w:val="45CC6D60"/>
    <w:rsid w:val="45D33CB3"/>
    <w:rsid w:val="45D70013"/>
    <w:rsid w:val="460A1E62"/>
    <w:rsid w:val="461C425E"/>
    <w:rsid w:val="464809E9"/>
    <w:rsid w:val="46B379DD"/>
    <w:rsid w:val="46CE5754"/>
    <w:rsid w:val="472C5065"/>
    <w:rsid w:val="474A4AF3"/>
    <w:rsid w:val="478E6F15"/>
    <w:rsid w:val="47AD2BB6"/>
    <w:rsid w:val="48374BB5"/>
    <w:rsid w:val="48547EE2"/>
    <w:rsid w:val="48707EC8"/>
    <w:rsid w:val="48DF774E"/>
    <w:rsid w:val="48EB0A18"/>
    <w:rsid w:val="492A0B28"/>
    <w:rsid w:val="493E4530"/>
    <w:rsid w:val="4990471B"/>
    <w:rsid w:val="49A41679"/>
    <w:rsid w:val="49E24849"/>
    <w:rsid w:val="4A1E500A"/>
    <w:rsid w:val="4A6A1419"/>
    <w:rsid w:val="4B134843"/>
    <w:rsid w:val="4B222518"/>
    <w:rsid w:val="4B4F27B8"/>
    <w:rsid w:val="4B632757"/>
    <w:rsid w:val="4B6B5A90"/>
    <w:rsid w:val="4B850922"/>
    <w:rsid w:val="4BAF2132"/>
    <w:rsid w:val="4BD84751"/>
    <w:rsid w:val="4C1F53B2"/>
    <w:rsid w:val="4C807A30"/>
    <w:rsid w:val="4CED721B"/>
    <w:rsid w:val="4D130C74"/>
    <w:rsid w:val="4DA414A2"/>
    <w:rsid w:val="4E4B0C1A"/>
    <w:rsid w:val="4EA9273E"/>
    <w:rsid w:val="4EC173BF"/>
    <w:rsid w:val="4ED57FE6"/>
    <w:rsid w:val="4EF3518B"/>
    <w:rsid w:val="4F530DF7"/>
    <w:rsid w:val="4F6F3861"/>
    <w:rsid w:val="4F715F5C"/>
    <w:rsid w:val="4F9A4796"/>
    <w:rsid w:val="4FDA4604"/>
    <w:rsid w:val="5009357C"/>
    <w:rsid w:val="50B728DC"/>
    <w:rsid w:val="50BF286E"/>
    <w:rsid w:val="51085368"/>
    <w:rsid w:val="515F7027"/>
    <w:rsid w:val="517B087F"/>
    <w:rsid w:val="51860B17"/>
    <w:rsid w:val="51BA675D"/>
    <w:rsid w:val="51CD4BBB"/>
    <w:rsid w:val="51CF1D49"/>
    <w:rsid w:val="52652DA9"/>
    <w:rsid w:val="526B7937"/>
    <w:rsid w:val="52837DA7"/>
    <w:rsid w:val="52B4132C"/>
    <w:rsid w:val="52D6036A"/>
    <w:rsid w:val="52FC61E9"/>
    <w:rsid w:val="53321FE4"/>
    <w:rsid w:val="539E792D"/>
    <w:rsid w:val="53E33203"/>
    <w:rsid w:val="53FE6A1A"/>
    <w:rsid w:val="54102A8F"/>
    <w:rsid w:val="5485629B"/>
    <w:rsid w:val="54F72A54"/>
    <w:rsid w:val="55457FF3"/>
    <w:rsid w:val="5612284A"/>
    <w:rsid w:val="56577A7F"/>
    <w:rsid w:val="56675B6E"/>
    <w:rsid w:val="56C227D0"/>
    <w:rsid w:val="56FC286D"/>
    <w:rsid w:val="57230116"/>
    <w:rsid w:val="57C63245"/>
    <w:rsid w:val="57DE180E"/>
    <w:rsid w:val="57DF44E8"/>
    <w:rsid w:val="57DF4669"/>
    <w:rsid w:val="585946DD"/>
    <w:rsid w:val="5898192F"/>
    <w:rsid w:val="59621C5F"/>
    <w:rsid w:val="59F35343"/>
    <w:rsid w:val="59FD3ED0"/>
    <w:rsid w:val="5A1805DB"/>
    <w:rsid w:val="5A3350F6"/>
    <w:rsid w:val="5A5F41A7"/>
    <w:rsid w:val="5A8F3A6C"/>
    <w:rsid w:val="5AB032EB"/>
    <w:rsid w:val="5AF063F1"/>
    <w:rsid w:val="5B117744"/>
    <w:rsid w:val="5B3F48A5"/>
    <w:rsid w:val="5B455D0A"/>
    <w:rsid w:val="5BCC5045"/>
    <w:rsid w:val="5C27723E"/>
    <w:rsid w:val="5C3819B8"/>
    <w:rsid w:val="5C686B4B"/>
    <w:rsid w:val="5C837907"/>
    <w:rsid w:val="5C9E6667"/>
    <w:rsid w:val="5DC263C6"/>
    <w:rsid w:val="5F19563D"/>
    <w:rsid w:val="5FD95A7C"/>
    <w:rsid w:val="606C4CEF"/>
    <w:rsid w:val="608651B4"/>
    <w:rsid w:val="60C359E6"/>
    <w:rsid w:val="60E66FC9"/>
    <w:rsid w:val="621A4D4C"/>
    <w:rsid w:val="62A26214"/>
    <w:rsid w:val="63772028"/>
    <w:rsid w:val="6469352C"/>
    <w:rsid w:val="647F62D6"/>
    <w:rsid w:val="65EB357F"/>
    <w:rsid w:val="65ED59B4"/>
    <w:rsid w:val="661625F6"/>
    <w:rsid w:val="66845830"/>
    <w:rsid w:val="66B50AE2"/>
    <w:rsid w:val="671D23FB"/>
    <w:rsid w:val="67AA2ED8"/>
    <w:rsid w:val="67D11844"/>
    <w:rsid w:val="67DF3475"/>
    <w:rsid w:val="681C0354"/>
    <w:rsid w:val="68564396"/>
    <w:rsid w:val="68D64501"/>
    <w:rsid w:val="68F5629A"/>
    <w:rsid w:val="69891E6D"/>
    <w:rsid w:val="699F61AE"/>
    <w:rsid w:val="6A427D92"/>
    <w:rsid w:val="6B185B5F"/>
    <w:rsid w:val="6B242D3B"/>
    <w:rsid w:val="6B2545E2"/>
    <w:rsid w:val="6B5221C1"/>
    <w:rsid w:val="6B693D98"/>
    <w:rsid w:val="6B854D4B"/>
    <w:rsid w:val="6C1217B3"/>
    <w:rsid w:val="6C596FD8"/>
    <w:rsid w:val="6CE61B36"/>
    <w:rsid w:val="6D1735A8"/>
    <w:rsid w:val="6D4F1A3D"/>
    <w:rsid w:val="6D62788C"/>
    <w:rsid w:val="6D720277"/>
    <w:rsid w:val="6DB95639"/>
    <w:rsid w:val="6DD41341"/>
    <w:rsid w:val="6E732B30"/>
    <w:rsid w:val="6E8E39A3"/>
    <w:rsid w:val="6F1F04CA"/>
    <w:rsid w:val="6FEA224E"/>
    <w:rsid w:val="70593B5F"/>
    <w:rsid w:val="70EC5D83"/>
    <w:rsid w:val="710E165A"/>
    <w:rsid w:val="714E0621"/>
    <w:rsid w:val="726A2F0E"/>
    <w:rsid w:val="751972E0"/>
    <w:rsid w:val="75A87B53"/>
    <w:rsid w:val="75F05CCA"/>
    <w:rsid w:val="75FF62BF"/>
    <w:rsid w:val="764A6FC6"/>
    <w:rsid w:val="76514921"/>
    <w:rsid w:val="765B5B42"/>
    <w:rsid w:val="766410A5"/>
    <w:rsid w:val="76706A83"/>
    <w:rsid w:val="76743174"/>
    <w:rsid w:val="76FE192B"/>
    <w:rsid w:val="771B56CB"/>
    <w:rsid w:val="7805496B"/>
    <w:rsid w:val="78E204A2"/>
    <w:rsid w:val="78EA07F4"/>
    <w:rsid w:val="79E13058"/>
    <w:rsid w:val="7AC2073C"/>
    <w:rsid w:val="7B02048A"/>
    <w:rsid w:val="7B1A7614"/>
    <w:rsid w:val="7B834BBD"/>
    <w:rsid w:val="7B863991"/>
    <w:rsid w:val="7B8B753A"/>
    <w:rsid w:val="7C0D48DC"/>
    <w:rsid w:val="7C424AEB"/>
    <w:rsid w:val="7C5F15FB"/>
    <w:rsid w:val="7CD0485F"/>
    <w:rsid w:val="7D4D7746"/>
    <w:rsid w:val="7D944634"/>
    <w:rsid w:val="7DD87896"/>
    <w:rsid w:val="7E387832"/>
    <w:rsid w:val="7FBB7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="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unhideWhenUsed/>
    <w:qFormat/>
    <w:uiPriority w:val="99"/>
    <w:pPr>
      <w:spacing w:line="240" w:lineRule="auto"/>
    </w:pPr>
    <w:rPr>
      <w:rFonts w:asciiTheme="majorBidi" w:hAnsiTheme="majorBidi"/>
      <w:sz w:val="20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5"/>
    <w:next w:val="5"/>
    <w:link w:val="25"/>
    <w:semiHidden/>
    <w:unhideWhenUsed/>
    <w:qFormat/>
    <w:uiPriority w:val="99"/>
    <w:rPr>
      <w:rFonts w:asciiTheme="minorHAnsi" w:hAnsiTheme="minorHAnsi"/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line number"/>
    <w:basedOn w:val="13"/>
    <w:semiHidden/>
    <w:unhideWhenUsed/>
    <w:qFormat/>
    <w:uiPriority w:val="99"/>
  </w:style>
  <w:style w:type="character" w:styleId="17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customStyle="1" w:styleId="19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7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widowControl/>
      <w:ind w:firstLine="200" w:firstLineChars="200"/>
      <w:jc w:val="left"/>
    </w:pPr>
    <w:rPr>
      <w:rFonts w:ascii="Calibri" w:hAnsi="Calibri" w:eastAsia="宋体" w:cs="宋体"/>
      <w:kern w:val="0"/>
      <w:sz w:val="24"/>
    </w:rPr>
  </w:style>
  <w:style w:type="character" w:customStyle="1" w:styleId="22">
    <w:name w:val="无"/>
    <w:qFormat/>
    <w:uiPriority w:val="0"/>
  </w:style>
  <w:style w:type="character" w:customStyle="1" w:styleId="23">
    <w:name w:val="批注框文本 Char"/>
    <w:basedOn w:val="13"/>
    <w:link w:val="6"/>
    <w:semiHidden/>
    <w:qFormat/>
    <w:uiPriority w:val="99"/>
    <w:rPr>
      <w:rFonts w:ascii="Segoe UI" w:hAnsi="Segoe UI" w:cs="Segoe UI" w:eastAsiaTheme="minorEastAsia"/>
      <w:kern w:val="2"/>
      <w:sz w:val="18"/>
      <w:szCs w:val="18"/>
      <w:lang w:eastAsia="zh-CN"/>
    </w:rPr>
  </w:style>
  <w:style w:type="character" w:customStyle="1" w:styleId="24">
    <w:name w:val="批注文字 Char"/>
    <w:basedOn w:val="13"/>
    <w:link w:val="5"/>
    <w:qFormat/>
    <w:uiPriority w:val="99"/>
    <w:rPr>
      <w:rFonts w:asciiTheme="majorBidi" w:hAnsiTheme="majorBidi" w:eastAsiaTheme="minorEastAsia" w:cstheme="minorBidi"/>
      <w:kern w:val="2"/>
      <w:lang w:eastAsia="zh-CN"/>
    </w:rPr>
  </w:style>
  <w:style w:type="character" w:customStyle="1" w:styleId="25">
    <w:name w:val="批注主题 Char"/>
    <w:basedOn w:val="24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9B3E7-BBC2-4058-81B5-54C4856889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1184</Words>
  <Characters>6413</Characters>
  <Lines>53</Lines>
  <Paragraphs>15</Paragraphs>
  <TotalTime>10</TotalTime>
  <ScaleCrop>false</ScaleCrop>
  <LinksUpToDate>false</LinksUpToDate>
  <CharactersWithSpaces>7582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2020-07-17T08:31:00Z</dcterms:created>
  <dc:creator>MC SYSTEM</dc:creator>
  <cp:lastModifiedBy>丁晓燕</cp:lastModifiedBy>
  <dcterms:modified xsi:type="dcterms:W3CDTF">2020-08-25T08:57:19Z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