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3F9" w:rsidRPr="00D40C83" w:rsidRDefault="00B663F9" w:rsidP="00B663F9">
      <w:pPr>
        <w:rPr>
          <w:b/>
          <w:bCs/>
        </w:rPr>
      </w:pPr>
      <w:r w:rsidRPr="00957299">
        <w:rPr>
          <w:rFonts w:ascii="Times New Roman" w:hAnsi="Times New Roman" w:cs="Times New Roman"/>
          <w:b/>
        </w:rPr>
        <w:t>Appendi</w:t>
      </w:r>
      <w:r>
        <w:rPr>
          <w:rFonts w:ascii="Times New Roman" w:hAnsi="Times New Roman" w:cs="Times New Roman"/>
          <w:b/>
        </w:rPr>
        <w:t>x</w:t>
      </w:r>
    </w:p>
    <w:tbl>
      <w:tblPr>
        <w:tblW w:w="10255" w:type="dxa"/>
        <w:jc w:val="center"/>
        <w:tblLook w:val="04A0" w:firstRow="1" w:lastRow="0" w:firstColumn="1" w:lastColumn="0" w:noHBand="0" w:noVBand="1"/>
      </w:tblPr>
      <w:tblGrid>
        <w:gridCol w:w="3600"/>
        <w:gridCol w:w="6655"/>
      </w:tblGrid>
      <w:tr w:rsidR="00B663F9" w:rsidRPr="00D251AB" w:rsidTr="00BA468A">
        <w:trPr>
          <w:jc w:val="center"/>
        </w:trPr>
        <w:tc>
          <w:tcPr>
            <w:tcW w:w="10255" w:type="dxa"/>
            <w:gridSpan w:val="2"/>
            <w:tcBorders>
              <w:bottom w:val="single" w:sz="4" w:space="0" w:color="auto"/>
            </w:tcBorders>
          </w:tcPr>
          <w:p w:rsidR="00B663F9" w:rsidRPr="00D251AB" w:rsidRDefault="00B663F9" w:rsidP="00BA468A">
            <w:pPr>
              <w:rPr>
                <w:rStyle w:val="Strong"/>
                <w:rFonts w:ascii="Times New Roman" w:hAnsi="Times New Roman" w:cs="Times New Roman"/>
                <w:sz w:val="22"/>
                <w:szCs w:val="22"/>
              </w:rPr>
            </w:pPr>
          </w:p>
          <w:p w:rsidR="00B663F9" w:rsidRPr="00D251AB" w:rsidRDefault="00B663F9" w:rsidP="00BA468A">
            <w:pPr>
              <w:rPr>
                <w:rFonts w:ascii="Times New Roman" w:hAnsi="Times New Roman" w:cs="Times New Roman"/>
                <w:sz w:val="22"/>
                <w:szCs w:val="22"/>
              </w:rPr>
            </w:pPr>
            <w:r w:rsidRPr="00D251AB">
              <w:rPr>
                <w:rStyle w:val="Strong"/>
                <w:rFonts w:ascii="Times New Roman" w:hAnsi="Times New Roman" w:cs="Times New Roman"/>
                <w:sz w:val="22"/>
                <w:szCs w:val="22"/>
              </w:rPr>
              <w:t>Operational definitions</w:t>
            </w:r>
          </w:p>
        </w:tc>
      </w:tr>
      <w:tr w:rsidR="00B663F9" w:rsidRPr="00D251AB" w:rsidTr="00BA468A">
        <w:trPr>
          <w:jc w:val="center"/>
        </w:trPr>
        <w:tc>
          <w:tcPr>
            <w:tcW w:w="3600" w:type="dxa"/>
            <w:tcBorders>
              <w:top w:val="single" w:sz="4" w:space="0" w:color="auto"/>
              <w:bottom w:val="single" w:sz="4" w:space="0" w:color="auto"/>
            </w:tcBorders>
          </w:tcPr>
          <w:p w:rsidR="00B663F9" w:rsidRPr="00D251AB" w:rsidRDefault="00B663F9" w:rsidP="00BA468A">
            <w:pPr>
              <w:rPr>
                <w:rFonts w:ascii="Times New Roman" w:hAnsi="Times New Roman" w:cs="Times New Roman"/>
                <w:sz w:val="22"/>
                <w:szCs w:val="22"/>
              </w:rPr>
            </w:pPr>
            <w:r w:rsidRPr="00D251AB">
              <w:rPr>
                <w:rFonts w:ascii="Times New Roman" w:hAnsi="Times New Roman" w:cs="Times New Roman"/>
                <w:sz w:val="22"/>
                <w:szCs w:val="22"/>
              </w:rPr>
              <w:t>Characteristics</w:t>
            </w:r>
          </w:p>
        </w:tc>
        <w:tc>
          <w:tcPr>
            <w:tcW w:w="6655" w:type="dxa"/>
            <w:tcBorders>
              <w:top w:val="single" w:sz="4" w:space="0" w:color="auto"/>
              <w:bottom w:val="single" w:sz="4" w:space="0" w:color="auto"/>
            </w:tcBorders>
          </w:tcPr>
          <w:p w:rsidR="00B663F9" w:rsidRPr="00D251AB" w:rsidRDefault="00B663F9" w:rsidP="00BA468A">
            <w:pPr>
              <w:rPr>
                <w:rFonts w:ascii="Times New Roman" w:hAnsi="Times New Roman" w:cs="Times New Roman"/>
                <w:sz w:val="22"/>
                <w:szCs w:val="22"/>
              </w:rPr>
            </w:pPr>
            <w:r w:rsidRPr="00D251AB">
              <w:rPr>
                <w:rFonts w:ascii="Times New Roman" w:hAnsi="Times New Roman" w:cs="Times New Roman"/>
                <w:sz w:val="22"/>
                <w:szCs w:val="22"/>
              </w:rPr>
              <w:t>Operational definition</w:t>
            </w:r>
          </w:p>
        </w:tc>
      </w:tr>
      <w:tr w:rsidR="00B663F9" w:rsidRPr="00D251AB" w:rsidTr="00BA468A">
        <w:trPr>
          <w:jc w:val="center"/>
        </w:trPr>
        <w:tc>
          <w:tcPr>
            <w:tcW w:w="3600" w:type="dxa"/>
            <w:tcBorders>
              <w:top w:val="single" w:sz="4" w:space="0" w:color="auto"/>
            </w:tcBorders>
          </w:tcPr>
          <w:p w:rsidR="00B663F9" w:rsidRPr="00D251AB" w:rsidRDefault="00B663F9" w:rsidP="00BA468A">
            <w:pPr>
              <w:rPr>
                <w:rFonts w:ascii="Times New Roman" w:hAnsi="Times New Roman" w:cs="Times New Roman"/>
                <w:sz w:val="22"/>
                <w:szCs w:val="22"/>
              </w:rPr>
            </w:pPr>
            <w:r w:rsidRPr="00D251AB">
              <w:rPr>
                <w:rStyle w:val="Strong"/>
                <w:rFonts w:ascii="Times New Roman" w:hAnsi="Times New Roman" w:cs="Times New Roman"/>
                <w:sz w:val="22"/>
                <w:szCs w:val="22"/>
              </w:rPr>
              <w:t>Early antenatal care access</w:t>
            </w:r>
          </w:p>
        </w:tc>
        <w:tc>
          <w:tcPr>
            <w:tcW w:w="6655" w:type="dxa"/>
            <w:tcBorders>
              <w:top w:val="single" w:sz="4" w:space="0" w:color="auto"/>
            </w:tcBorders>
          </w:tcPr>
          <w:p w:rsidR="00B663F9" w:rsidRPr="00D251AB" w:rsidRDefault="00B663F9" w:rsidP="00BA468A">
            <w:pPr>
              <w:rPr>
                <w:rFonts w:ascii="Times New Roman" w:hAnsi="Times New Roman" w:cs="Times New Roman"/>
                <w:sz w:val="22"/>
                <w:szCs w:val="22"/>
              </w:rPr>
            </w:pPr>
            <w:r w:rsidRPr="00D251AB">
              <w:rPr>
                <w:rFonts w:ascii="Times New Roman" w:hAnsi="Times New Roman" w:cs="Times New Roman"/>
                <w:sz w:val="22"/>
                <w:szCs w:val="22"/>
              </w:rPr>
              <w:t>Early ANC access was defined as initiation of the first ANC visit during the first 12 weeks of pregnancy</w:t>
            </w:r>
          </w:p>
        </w:tc>
      </w:tr>
      <w:tr w:rsidR="00B663F9" w:rsidRPr="00D251AB" w:rsidTr="00BA468A">
        <w:trPr>
          <w:jc w:val="center"/>
        </w:trPr>
        <w:tc>
          <w:tcPr>
            <w:tcW w:w="3600" w:type="dxa"/>
          </w:tcPr>
          <w:p w:rsidR="00B663F9" w:rsidRPr="00E91384" w:rsidRDefault="00B663F9" w:rsidP="00BA468A">
            <w:pPr>
              <w:rPr>
                <w:rFonts w:ascii="Times New Roman" w:hAnsi="Times New Roman" w:cs="Times New Roman"/>
                <w:b/>
                <w:bCs/>
                <w:sz w:val="22"/>
                <w:szCs w:val="22"/>
              </w:rPr>
            </w:pPr>
            <w:r w:rsidRPr="00E91384">
              <w:rPr>
                <w:rFonts w:ascii="Times New Roman" w:hAnsi="Times New Roman" w:cs="Times New Roman"/>
                <w:b/>
                <w:bCs/>
                <w:sz w:val="22"/>
                <w:szCs w:val="22"/>
              </w:rPr>
              <w:t>Maternal age</w:t>
            </w:r>
          </w:p>
        </w:tc>
        <w:tc>
          <w:tcPr>
            <w:tcW w:w="6655" w:type="dxa"/>
          </w:tcPr>
          <w:p w:rsidR="00B663F9" w:rsidRPr="00D251AB" w:rsidRDefault="00B663F9" w:rsidP="00BA468A">
            <w:pPr>
              <w:rPr>
                <w:rFonts w:ascii="Times New Roman" w:hAnsi="Times New Roman" w:cs="Times New Roman"/>
                <w:sz w:val="22"/>
                <w:szCs w:val="22"/>
              </w:rPr>
            </w:pPr>
            <w:r w:rsidRPr="00D251AB">
              <w:rPr>
                <w:rFonts w:ascii="Times New Roman" w:hAnsi="Times New Roman" w:cs="Times New Roman"/>
                <w:sz w:val="22"/>
                <w:szCs w:val="22"/>
              </w:rPr>
              <w:t>Maternal age was categorized into either of three age categories: “15-19 years”, “20-24 years”, “</w:t>
            </w:r>
            <m:oMath>
              <m:r>
                <w:rPr>
                  <w:rFonts w:ascii="Cambria Math" w:hAnsi="Cambria Math" w:cs="Times New Roman"/>
                  <w:sz w:val="22"/>
                  <w:szCs w:val="22"/>
                </w:rPr>
                <m:t>≥</m:t>
              </m:r>
            </m:oMath>
            <w:r w:rsidRPr="00D251AB">
              <w:rPr>
                <w:rFonts w:ascii="Times New Roman" w:hAnsi="Times New Roman" w:cs="Times New Roman"/>
                <w:sz w:val="22"/>
                <w:szCs w:val="22"/>
              </w:rPr>
              <w:t xml:space="preserve"> 25 years)”</w:t>
            </w:r>
          </w:p>
        </w:tc>
      </w:tr>
      <w:tr w:rsidR="00B663F9" w:rsidRPr="00D251AB" w:rsidTr="00BA468A">
        <w:trPr>
          <w:jc w:val="center"/>
        </w:trPr>
        <w:tc>
          <w:tcPr>
            <w:tcW w:w="3600" w:type="dxa"/>
          </w:tcPr>
          <w:p w:rsidR="00B663F9" w:rsidRPr="00E91384" w:rsidRDefault="00B663F9" w:rsidP="00BA468A">
            <w:pPr>
              <w:rPr>
                <w:rFonts w:ascii="Times New Roman" w:hAnsi="Times New Roman" w:cs="Times New Roman"/>
                <w:b/>
                <w:bCs/>
                <w:sz w:val="22"/>
                <w:szCs w:val="22"/>
              </w:rPr>
            </w:pPr>
            <w:r w:rsidRPr="00E91384">
              <w:rPr>
                <w:rFonts w:ascii="Times New Roman" w:hAnsi="Times New Roman" w:cs="Times New Roman"/>
                <w:b/>
                <w:bCs/>
                <w:sz w:val="22"/>
                <w:szCs w:val="22"/>
              </w:rPr>
              <w:t>Maternal education</w:t>
            </w:r>
          </w:p>
        </w:tc>
        <w:tc>
          <w:tcPr>
            <w:tcW w:w="6655" w:type="dxa"/>
          </w:tcPr>
          <w:p w:rsidR="00B663F9" w:rsidRPr="00D251AB" w:rsidRDefault="00B663F9" w:rsidP="00BA468A">
            <w:pPr>
              <w:rPr>
                <w:rFonts w:ascii="Times New Roman" w:hAnsi="Times New Roman" w:cs="Times New Roman"/>
                <w:sz w:val="22"/>
                <w:szCs w:val="22"/>
              </w:rPr>
            </w:pPr>
            <w:r w:rsidRPr="00D251AB">
              <w:rPr>
                <w:rFonts w:ascii="Times New Roman" w:hAnsi="Times New Roman" w:cs="Times New Roman"/>
                <w:sz w:val="22"/>
                <w:szCs w:val="22"/>
              </w:rPr>
              <w:t>Maternal education was dichotomized into “currently in school” or “not currently in school”</w:t>
            </w:r>
          </w:p>
        </w:tc>
      </w:tr>
      <w:tr w:rsidR="00B663F9" w:rsidRPr="00D251AB" w:rsidTr="00BA468A">
        <w:trPr>
          <w:jc w:val="center"/>
        </w:trPr>
        <w:tc>
          <w:tcPr>
            <w:tcW w:w="3600" w:type="dxa"/>
          </w:tcPr>
          <w:p w:rsidR="00B663F9" w:rsidRPr="00E91384" w:rsidRDefault="00B663F9" w:rsidP="00BA468A">
            <w:pPr>
              <w:rPr>
                <w:rFonts w:ascii="Times New Roman" w:hAnsi="Times New Roman" w:cs="Times New Roman"/>
                <w:b/>
                <w:bCs/>
                <w:sz w:val="22"/>
                <w:szCs w:val="22"/>
              </w:rPr>
            </w:pPr>
            <w:r w:rsidRPr="00E91384">
              <w:rPr>
                <w:rFonts w:ascii="Times New Roman" w:hAnsi="Times New Roman" w:cs="Times New Roman"/>
                <w:b/>
                <w:bCs/>
                <w:sz w:val="22"/>
                <w:szCs w:val="22"/>
              </w:rPr>
              <w:t>Maternal employment</w:t>
            </w:r>
          </w:p>
        </w:tc>
        <w:tc>
          <w:tcPr>
            <w:tcW w:w="6655" w:type="dxa"/>
          </w:tcPr>
          <w:p w:rsidR="00B663F9" w:rsidRPr="00D251AB" w:rsidRDefault="00B663F9" w:rsidP="00BA468A">
            <w:pPr>
              <w:rPr>
                <w:rFonts w:ascii="Times New Roman" w:hAnsi="Times New Roman" w:cs="Times New Roman"/>
                <w:sz w:val="22"/>
                <w:szCs w:val="22"/>
              </w:rPr>
            </w:pPr>
            <w:r w:rsidRPr="00D251AB">
              <w:rPr>
                <w:rFonts w:ascii="Times New Roman" w:hAnsi="Times New Roman" w:cs="Times New Roman"/>
                <w:sz w:val="22"/>
                <w:szCs w:val="22"/>
              </w:rPr>
              <w:t>Maternal employment was dichotomized into “employed” or “not employed”</w:t>
            </w:r>
          </w:p>
        </w:tc>
      </w:tr>
      <w:tr w:rsidR="00B663F9" w:rsidRPr="00D251AB" w:rsidTr="00BA468A">
        <w:trPr>
          <w:jc w:val="center"/>
        </w:trPr>
        <w:tc>
          <w:tcPr>
            <w:tcW w:w="3600" w:type="dxa"/>
          </w:tcPr>
          <w:p w:rsidR="00B663F9" w:rsidRPr="00E91384" w:rsidRDefault="00B663F9" w:rsidP="00BA468A">
            <w:pPr>
              <w:rPr>
                <w:rFonts w:ascii="Times New Roman" w:hAnsi="Times New Roman" w:cs="Times New Roman"/>
                <w:b/>
                <w:bCs/>
                <w:sz w:val="22"/>
                <w:szCs w:val="22"/>
              </w:rPr>
            </w:pPr>
            <w:r w:rsidRPr="00E91384">
              <w:rPr>
                <w:rFonts w:ascii="Times New Roman" w:hAnsi="Times New Roman" w:cs="Times New Roman"/>
                <w:b/>
                <w:bCs/>
                <w:sz w:val="22"/>
                <w:szCs w:val="22"/>
              </w:rPr>
              <w:t>Marital status</w:t>
            </w:r>
          </w:p>
        </w:tc>
        <w:tc>
          <w:tcPr>
            <w:tcW w:w="6655" w:type="dxa"/>
          </w:tcPr>
          <w:p w:rsidR="00B663F9" w:rsidRPr="00D251AB" w:rsidRDefault="00B663F9" w:rsidP="00BA468A">
            <w:pPr>
              <w:rPr>
                <w:rFonts w:ascii="Times New Roman" w:hAnsi="Times New Roman" w:cs="Times New Roman"/>
                <w:sz w:val="22"/>
                <w:szCs w:val="22"/>
              </w:rPr>
            </w:pPr>
            <w:r w:rsidRPr="00D251AB">
              <w:rPr>
                <w:rFonts w:ascii="Times New Roman" w:hAnsi="Times New Roman" w:cs="Times New Roman"/>
                <w:sz w:val="22"/>
                <w:szCs w:val="22"/>
              </w:rPr>
              <w:t xml:space="preserve">Marital status was dichotomized into “currently married” (including married, come we stay) or “not currently married” (including single, divorced, widowed, and steady boyfriend). </w:t>
            </w:r>
          </w:p>
        </w:tc>
      </w:tr>
      <w:tr w:rsidR="00B663F9" w:rsidRPr="00D251AB" w:rsidTr="00BA468A">
        <w:trPr>
          <w:jc w:val="center"/>
        </w:trPr>
        <w:tc>
          <w:tcPr>
            <w:tcW w:w="3600" w:type="dxa"/>
          </w:tcPr>
          <w:p w:rsidR="00B663F9" w:rsidRPr="00E91384" w:rsidRDefault="00B663F9" w:rsidP="00BA468A">
            <w:pPr>
              <w:rPr>
                <w:rFonts w:ascii="Times New Roman" w:hAnsi="Times New Roman" w:cs="Times New Roman"/>
                <w:b/>
                <w:bCs/>
                <w:sz w:val="22"/>
                <w:szCs w:val="22"/>
              </w:rPr>
            </w:pPr>
            <w:r w:rsidRPr="00E91384">
              <w:rPr>
                <w:rFonts w:ascii="Times New Roman" w:hAnsi="Times New Roman" w:cs="Times New Roman"/>
                <w:b/>
                <w:bCs/>
                <w:sz w:val="22"/>
                <w:szCs w:val="22"/>
              </w:rPr>
              <w:t>Partners’ education attainment</w:t>
            </w:r>
          </w:p>
        </w:tc>
        <w:tc>
          <w:tcPr>
            <w:tcW w:w="6655" w:type="dxa"/>
          </w:tcPr>
          <w:p w:rsidR="00B663F9" w:rsidRPr="00D251AB" w:rsidRDefault="00B663F9" w:rsidP="00BA468A">
            <w:pPr>
              <w:rPr>
                <w:rFonts w:ascii="Times New Roman" w:hAnsi="Times New Roman" w:cs="Times New Roman"/>
                <w:sz w:val="22"/>
                <w:szCs w:val="22"/>
              </w:rPr>
            </w:pPr>
            <w:r w:rsidRPr="00D251AB">
              <w:rPr>
                <w:rFonts w:ascii="Times New Roman" w:hAnsi="Times New Roman" w:cs="Times New Roman"/>
                <w:sz w:val="22"/>
                <w:szCs w:val="22"/>
              </w:rPr>
              <w:t>Partners education status was categorized into three categories: “primary school and below” (respondents with no formal schooling, and respondents who at least attended primary school), “some high school” (respondents who at least attended high school), and “some college “(respondents who at least attended college).</w:t>
            </w:r>
          </w:p>
        </w:tc>
      </w:tr>
      <w:tr w:rsidR="00B663F9" w:rsidRPr="00D251AB" w:rsidTr="00BA468A">
        <w:trPr>
          <w:jc w:val="center"/>
        </w:trPr>
        <w:tc>
          <w:tcPr>
            <w:tcW w:w="3600" w:type="dxa"/>
          </w:tcPr>
          <w:p w:rsidR="00B663F9" w:rsidRPr="00E91384" w:rsidRDefault="00B663F9" w:rsidP="00BA468A">
            <w:pPr>
              <w:rPr>
                <w:rFonts w:ascii="Times New Roman" w:hAnsi="Times New Roman" w:cs="Times New Roman"/>
                <w:b/>
                <w:bCs/>
                <w:sz w:val="22"/>
                <w:szCs w:val="22"/>
              </w:rPr>
            </w:pPr>
            <w:r>
              <w:rPr>
                <w:rFonts w:ascii="Times New Roman" w:hAnsi="Times New Roman" w:cs="Times New Roman"/>
                <w:b/>
                <w:bCs/>
                <w:sz w:val="22"/>
                <w:szCs w:val="22"/>
              </w:rPr>
              <w:t>Gravida</w:t>
            </w:r>
          </w:p>
        </w:tc>
        <w:tc>
          <w:tcPr>
            <w:tcW w:w="6655" w:type="dxa"/>
          </w:tcPr>
          <w:p w:rsidR="00B663F9" w:rsidRPr="00D251AB" w:rsidRDefault="00B663F9" w:rsidP="00BA468A">
            <w:pPr>
              <w:rPr>
                <w:rFonts w:ascii="Times New Roman" w:hAnsi="Times New Roman" w:cs="Times New Roman"/>
                <w:sz w:val="22"/>
                <w:szCs w:val="22"/>
              </w:rPr>
            </w:pPr>
            <w:r>
              <w:rPr>
                <w:rFonts w:ascii="Times New Roman" w:hAnsi="Times New Roman" w:cs="Times New Roman"/>
                <w:sz w:val="22"/>
                <w:szCs w:val="22"/>
              </w:rPr>
              <w:t>Gravida</w:t>
            </w:r>
            <w:r w:rsidRPr="00D251AB">
              <w:rPr>
                <w:rFonts w:ascii="Times New Roman" w:hAnsi="Times New Roman" w:cs="Times New Roman"/>
                <w:sz w:val="22"/>
                <w:szCs w:val="22"/>
              </w:rPr>
              <w:t xml:space="preserve"> was dichotomized into “previously pregnant” or “not previously pregnant”</w:t>
            </w:r>
          </w:p>
        </w:tc>
      </w:tr>
      <w:tr w:rsidR="00B663F9" w:rsidRPr="00D251AB" w:rsidTr="00BA468A">
        <w:trPr>
          <w:jc w:val="center"/>
        </w:trPr>
        <w:tc>
          <w:tcPr>
            <w:tcW w:w="3600" w:type="dxa"/>
          </w:tcPr>
          <w:p w:rsidR="00B663F9" w:rsidRPr="00E91384" w:rsidRDefault="00B663F9" w:rsidP="00BA468A">
            <w:pPr>
              <w:rPr>
                <w:rFonts w:ascii="Times New Roman" w:hAnsi="Times New Roman" w:cs="Times New Roman"/>
                <w:b/>
                <w:bCs/>
                <w:sz w:val="22"/>
                <w:szCs w:val="22"/>
              </w:rPr>
            </w:pPr>
            <w:r w:rsidRPr="00E91384">
              <w:rPr>
                <w:rFonts w:ascii="Times New Roman" w:hAnsi="Times New Roman" w:cs="Times New Roman"/>
                <w:b/>
                <w:bCs/>
                <w:sz w:val="22"/>
                <w:szCs w:val="22"/>
              </w:rPr>
              <w:t>Prior pregnancy complications</w:t>
            </w:r>
          </w:p>
        </w:tc>
        <w:tc>
          <w:tcPr>
            <w:tcW w:w="6655" w:type="dxa"/>
          </w:tcPr>
          <w:p w:rsidR="00B663F9" w:rsidRPr="00D251AB" w:rsidRDefault="00B663F9" w:rsidP="00BA468A">
            <w:pPr>
              <w:rPr>
                <w:rFonts w:ascii="Times New Roman" w:hAnsi="Times New Roman" w:cs="Times New Roman"/>
                <w:sz w:val="22"/>
                <w:szCs w:val="22"/>
              </w:rPr>
            </w:pPr>
            <w:r w:rsidRPr="00D251AB">
              <w:rPr>
                <w:rFonts w:ascii="Times New Roman" w:hAnsi="Times New Roman" w:cs="Times New Roman"/>
                <w:sz w:val="22"/>
                <w:szCs w:val="22"/>
              </w:rPr>
              <w:t>Prior pregnancy complications was dichotomized into “had prior pregnancy complications” or “did not have prior pregnancy complications”</w:t>
            </w:r>
          </w:p>
        </w:tc>
      </w:tr>
      <w:tr w:rsidR="00B663F9" w:rsidRPr="00D251AB" w:rsidTr="00BA468A">
        <w:trPr>
          <w:jc w:val="center"/>
        </w:trPr>
        <w:tc>
          <w:tcPr>
            <w:tcW w:w="3600" w:type="dxa"/>
          </w:tcPr>
          <w:p w:rsidR="00B663F9" w:rsidRPr="00E91384" w:rsidRDefault="00B663F9" w:rsidP="00BA468A">
            <w:pPr>
              <w:rPr>
                <w:rFonts w:ascii="Times New Roman" w:hAnsi="Times New Roman" w:cs="Times New Roman"/>
                <w:b/>
                <w:bCs/>
                <w:sz w:val="22"/>
                <w:szCs w:val="22"/>
              </w:rPr>
            </w:pPr>
            <w:r w:rsidRPr="00E91384">
              <w:rPr>
                <w:rFonts w:ascii="Times New Roman" w:hAnsi="Times New Roman" w:cs="Times New Roman"/>
                <w:b/>
                <w:bCs/>
                <w:sz w:val="22"/>
                <w:szCs w:val="22"/>
              </w:rPr>
              <w:t>Travel time to health facility</w:t>
            </w:r>
          </w:p>
        </w:tc>
        <w:tc>
          <w:tcPr>
            <w:tcW w:w="6655" w:type="dxa"/>
          </w:tcPr>
          <w:p w:rsidR="00B663F9" w:rsidRPr="00D251AB" w:rsidRDefault="00B663F9" w:rsidP="00BA468A">
            <w:pPr>
              <w:rPr>
                <w:rFonts w:ascii="Times New Roman" w:hAnsi="Times New Roman" w:cs="Times New Roman"/>
                <w:sz w:val="22"/>
                <w:szCs w:val="22"/>
              </w:rPr>
            </w:pPr>
            <w:r w:rsidRPr="00D251AB">
              <w:rPr>
                <w:rFonts w:ascii="Times New Roman" w:hAnsi="Times New Roman" w:cs="Times New Roman"/>
                <w:sz w:val="22"/>
                <w:szCs w:val="22"/>
              </w:rPr>
              <w:t>Travel time was dichotomized into “&gt;30minutes” or “</w:t>
            </w:r>
            <m:oMath>
              <m:r>
                <w:rPr>
                  <w:rFonts w:ascii="Cambria Math" w:hAnsi="Cambria Math" w:cs="Times New Roman"/>
                  <w:sz w:val="22"/>
                  <w:szCs w:val="22"/>
                </w:rPr>
                <m:t>≤</m:t>
              </m:r>
            </m:oMath>
            <w:r w:rsidRPr="00D251AB">
              <w:rPr>
                <w:rFonts w:ascii="Times New Roman" w:hAnsi="Times New Roman" w:cs="Times New Roman"/>
                <w:sz w:val="22"/>
                <w:szCs w:val="22"/>
              </w:rPr>
              <w:t xml:space="preserve"> 30 minutes” to health facility </w:t>
            </w:r>
          </w:p>
        </w:tc>
      </w:tr>
      <w:tr w:rsidR="00B663F9" w:rsidRPr="00D251AB" w:rsidTr="00BA468A">
        <w:trPr>
          <w:jc w:val="center"/>
        </w:trPr>
        <w:tc>
          <w:tcPr>
            <w:tcW w:w="3600" w:type="dxa"/>
            <w:tcBorders>
              <w:bottom w:val="single" w:sz="4" w:space="0" w:color="auto"/>
            </w:tcBorders>
          </w:tcPr>
          <w:p w:rsidR="00B663F9" w:rsidRPr="00E91384" w:rsidRDefault="00B663F9" w:rsidP="00BA468A">
            <w:pPr>
              <w:rPr>
                <w:rFonts w:ascii="Times New Roman" w:hAnsi="Times New Roman" w:cs="Times New Roman"/>
                <w:b/>
                <w:bCs/>
                <w:sz w:val="22"/>
                <w:szCs w:val="22"/>
              </w:rPr>
            </w:pPr>
            <w:r w:rsidRPr="00E91384">
              <w:rPr>
                <w:rFonts w:ascii="Times New Roman" w:hAnsi="Times New Roman" w:cs="Times New Roman"/>
                <w:b/>
                <w:bCs/>
                <w:sz w:val="22"/>
                <w:szCs w:val="22"/>
              </w:rPr>
              <w:t>Location of health facility</w:t>
            </w:r>
          </w:p>
        </w:tc>
        <w:tc>
          <w:tcPr>
            <w:tcW w:w="6655" w:type="dxa"/>
            <w:tcBorders>
              <w:bottom w:val="single" w:sz="4" w:space="0" w:color="auto"/>
            </w:tcBorders>
          </w:tcPr>
          <w:p w:rsidR="00B663F9" w:rsidRPr="00D251AB" w:rsidRDefault="00B663F9" w:rsidP="00BA468A">
            <w:pPr>
              <w:rPr>
                <w:rFonts w:ascii="Times New Roman" w:hAnsi="Times New Roman" w:cs="Times New Roman"/>
                <w:sz w:val="22"/>
                <w:szCs w:val="22"/>
              </w:rPr>
            </w:pPr>
            <w:r w:rsidRPr="00D251AB">
              <w:rPr>
                <w:rFonts w:ascii="Times New Roman" w:hAnsi="Times New Roman" w:cs="Times New Roman"/>
                <w:sz w:val="22"/>
                <w:szCs w:val="22"/>
              </w:rPr>
              <w:t xml:space="preserve">Location was dichotomized into “urban” or “rural” health facilities </w:t>
            </w:r>
          </w:p>
        </w:tc>
      </w:tr>
    </w:tbl>
    <w:p w:rsidR="006756BC" w:rsidRDefault="006756BC">
      <w:bookmarkStart w:id="0" w:name="_GoBack"/>
      <w:bookmarkEnd w:id="0"/>
    </w:p>
    <w:sectPr w:rsidR="006756BC" w:rsidSect="00234EC0">
      <w:footerReference w:type="default" r:id="rId4"/>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91505775"/>
      <w:docPartObj>
        <w:docPartGallery w:val="Page Numbers (Bottom of Page)"/>
        <w:docPartUnique/>
      </w:docPartObj>
    </w:sdtPr>
    <w:sdtEndPr>
      <w:rPr>
        <w:rStyle w:val="PageNumber"/>
      </w:rPr>
    </w:sdtEndPr>
    <w:sdtContent>
      <w:p w:rsidR="0029310E" w:rsidRDefault="00B663F9" w:rsidP="00234E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29310E" w:rsidRDefault="00B663F9" w:rsidP="00234EC0">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F9"/>
    <w:rsid w:val="006756BC"/>
    <w:rsid w:val="00B6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D4525"/>
  <w15:chartTrackingRefBased/>
  <w15:docId w15:val="{A7D815C6-EF6F-43D8-B575-7EEFEBAD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3F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63F9"/>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B663F9"/>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B663F9"/>
  </w:style>
  <w:style w:type="character" w:styleId="Strong">
    <w:name w:val="Strong"/>
    <w:basedOn w:val="DefaultParagraphFont"/>
    <w:uiPriority w:val="22"/>
    <w:qFormat/>
    <w:rsid w:val="00B663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1324</Characters>
  <Application>Microsoft Office Word</Application>
  <DocSecurity>0</DocSecurity>
  <Lines>11</Lines>
  <Paragraphs>3</Paragraphs>
  <ScaleCrop>false</ScaleCrop>
  <Company>Springer Nature</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 Maharnur</dc:creator>
  <cp:keywords/>
  <dc:description/>
  <cp:lastModifiedBy>Sachin Maharnur</cp:lastModifiedBy>
  <cp:revision>1</cp:revision>
  <dcterms:created xsi:type="dcterms:W3CDTF">2020-09-23T08:47:00Z</dcterms:created>
  <dcterms:modified xsi:type="dcterms:W3CDTF">2020-09-23T08:47:00Z</dcterms:modified>
</cp:coreProperties>
</file>