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0E" w:rsidRDefault="00DF0B0E" w:rsidP="00DF0B0E">
      <w:pPr>
        <w:widowControl/>
        <w:spacing w:before="100" w:beforeAutospacing="1" w:after="100" w:afterAutospacing="1"/>
        <w:jc w:val="left"/>
        <w:rPr>
          <w:rFonts w:ascii="Times" w:hAnsi="Times"/>
          <w:sz w:val="24"/>
          <w:szCs w:val="24"/>
        </w:rPr>
      </w:pPr>
      <w:bookmarkStart w:id="0" w:name="OLE_LINK23"/>
      <w:bookmarkStart w:id="1" w:name="OLE_LINK22"/>
      <w:bookmarkStart w:id="2" w:name="_GoBack"/>
      <w:r>
        <w:rPr>
          <w:rFonts w:ascii="Times" w:hAnsi="Times"/>
          <w:sz w:val="24"/>
          <w:szCs w:val="24"/>
        </w:rPr>
        <w:t xml:space="preserve">Supplementary Table 1 Candidate mRNAs significantly associated with the OS of TCGA -STAD Project patients. </w:t>
      </w:r>
      <w:bookmarkEnd w:id="0"/>
      <w:bookmarkEnd w:id="1"/>
      <w:r>
        <w:rPr>
          <w:rFonts w:ascii="Times" w:hAnsi="Times"/>
          <w:sz w:val="24"/>
          <w:szCs w:val="24"/>
        </w:rPr>
        <w:t xml:space="preserve">Abbreviations: HR, hazard ratio; CI, confidence interval. </w:t>
      </w:r>
    </w:p>
    <w:p w:rsidR="00DF0B0E" w:rsidRDefault="00DF0B0E" w:rsidP="00DF0B0E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eastAsia="en-US"/>
        </w:rPr>
        <w:drawing>
          <wp:inline distT="0" distB="0" distL="0" distR="0">
            <wp:extent cx="3601720" cy="1493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B0E" w:rsidRDefault="00DF0B0E" w:rsidP="00DF0B0E">
      <w:pPr>
        <w:widowControl/>
        <w:spacing w:before="100" w:beforeAutospacing="1" w:after="100" w:afterAutospacing="1"/>
        <w:jc w:val="left"/>
        <w:rPr>
          <w:rFonts w:ascii="Times" w:hAnsi="Times"/>
          <w:sz w:val="24"/>
          <w:szCs w:val="24"/>
        </w:rPr>
      </w:pPr>
      <w:bookmarkStart w:id="3" w:name="OLE_LINK450"/>
      <w:bookmarkStart w:id="4" w:name="OLE_LINK449"/>
      <w:r>
        <w:rPr>
          <w:rFonts w:ascii="Times" w:hAnsi="Times"/>
          <w:sz w:val="24"/>
          <w:szCs w:val="24"/>
        </w:rPr>
        <w:t>Supplementary Table 2</w:t>
      </w:r>
      <w:bookmarkEnd w:id="3"/>
      <w:bookmarkEnd w:id="4"/>
      <w:r>
        <w:rPr>
          <w:rFonts w:ascii="Times" w:hAnsi="Times"/>
          <w:sz w:val="24"/>
          <w:szCs w:val="24"/>
        </w:rPr>
        <w:t xml:space="preserve"> Univariate and multivariate Cox proportional hazards regression analysis of five-mRNA signature and clinical risk factors in the GSE62254 dataset. Abbreviations: HR, hazard ratio; CI, confidence interval. </w:t>
      </w:r>
    </w:p>
    <w:p w:rsidR="00DF0B0E" w:rsidRDefault="00DF0B0E" w:rsidP="00DF0B0E">
      <w:pPr>
        <w:pStyle w:val="NormalWeb"/>
        <w:jc w:val="center"/>
        <w:rPr>
          <w:rFonts w:ascii="Times" w:eastAsiaTheme="minorEastAsia" w:hAnsi="Times" w:cstheme="minorBidi"/>
        </w:rPr>
      </w:pPr>
      <w:r>
        <w:rPr>
          <w:rFonts w:ascii="Times" w:eastAsiaTheme="minorEastAsia" w:hAnsi="Times" w:cstheme="minorBidi"/>
          <w:noProof/>
          <w:lang w:eastAsia="en-US"/>
        </w:rPr>
        <w:drawing>
          <wp:inline distT="0" distB="0" distL="0" distR="0">
            <wp:extent cx="3601720" cy="1221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:rsidR="00FF72D2" w:rsidRDefault="00FF72D2"/>
    <w:sectPr w:rsidR="00FF7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﷽﷽翿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0E"/>
    <w:rsid w:val="00DF0B0E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9327B-1A4A-40DB-BA9A-686DAB2C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0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B0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Springer Nature IT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Kamble</dc:creator>
  <cp:keywords/>
  <dc:description/>
  <cp:lastModifiedBy>Siddharth Kamble</cp:lastModifiedBy>
  <cp:revision>1</cp:revision>
  <dcterms:created xsi:type="dcterms:W3CDTF">2021-08-09T11:19:00Z</dcterms:created>
  <dcterms:modified xsi:type="dcterms:W3CDTF">2021-08-09T11:20:00Z</dcterms:modified>
</cp:coreProperties>
</file>