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FA65" w14:textId="43595192" w:rsidR="005D2A8A" w:rsidRDefault="00D814A6">
      <w:r>
        <w:rPr>
          <w:rFonts w:ascii="Times New Roman" w:hAnsi="Times New Roman" w:cs="Times New Roman"/>
          <w:noProof/>
        </w:rPr>
        <w:drawing>
          <wp:inline distT="0" distB="0" distL="0" distR="0" wp14:anchorId="00127A93" wp14:editId="14FDD133">
            <wp:extent cx="5400040" cy="230873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583D1" w14:textId="77777777" w:rsidR="00D814A6" w:rsidRPr="00D814A6" w:rsidRDefault="00D814A6" w:rsidP="00D814A6">
      <w:pPr>
        <w:spacing w:after="160" w:line="480" w:lineRule="auto"/>
        <w:rPr>
          <w:rFonts w:ascii="Times New Roman" w:hAnsi="Times New Roman" w:cs="Times New Roman"/>
        </w:rPr>
      </w:pPr>
      <w:r w:rsidRPr="00D814A6">
        <w:rPr>
          <w:rFonts w:ascii="Times New Roman" w:hAnsi="Times New Roman" w:cs="Times New Roman"/>
        </w:rPr>
        <w:t>Average (standard deviation)</w:t>
      </w:r>
    </w:p>
    <w:p w14:paraId="627ECB74" w14:textId="77777777" w:rsidR="00D814A6" w:rsidRPr="00D814A6" w:rsidRDefault="00D814A6" w:rsidP="00D814A6">
      <w:pPr>
        <w:spacing w:after="160" w:line="480" w:lineRule="auto"/>
        <w:rPr>
          <w:rFonts w:ascii="Times New Roman" w:hAnsi="Times New Roman" w:cs="Times New Roman"/>
        </w:rPr>
      </w:pPr>
      <w:r w:rsidRPr="00D814A6">
        <w:rPr>
          <w:rFonts w:ascii="Times New Roman" w:hAnsi="Times New Roman" w:cs="Times New Roman"/>
        </w:rPr>
        <w:t>max. ext.: maximum extension, max flex.: maximum flexion</w:t>
      </w:r>
    </w:p>
    <w:p w14:paraId="1A608CD9" w14:textId="77777777" w:rsidR="00D814A6" w:rsidRPr="00D814A6" w:rsidRDefault="00D814A6" w:rsidP="00D814A6">
      <w:pPr>
        <w:spacing w:after="160" w:line="480" w:lineRule="auto"/>
        <w:rPr>
          <w:rFonts w:ascii="Times New Roman" w:hAnsi="Times New Roman" w:cs="Times New Roman"/>
        </w:rPr>
      </w:pPr>
      <w:r w:rsidRPr="00D814A6">
        <w:rPr>
          <w:rFonts w:ascii="Times New Roman" w:hAnsi="Times New Roman" w:cs="Times New Roman"/>
        </w:rPr>
        <w:t>Table 3 Intraoperative bearing movement of Point B for the mobile bearing</w:t>
      </w:r>
    </w:p>
    <w:p w14:paraId="549B2AE0" w14:textId="77777777" w:rsidR="00D814A6" w:rsidRPr="00D814A6" w:rsidRDefault="00D814A6">
      <w:pPr>
        <w:rPr>
          <w:rFonts w:hint="eastAsia"/>
        </w:rPr>
      </w:pPr>
    </w:p>
    <w:sectPr w:rsidR="00D814A6" w:rsidRPr="00D814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4360A" w14:textId="77777777" w:rsidR="00F454E6" w:rsidRDefault="00F454E6" w:rsidP="00D814A6">
      <w:r>
        <w:separator/>
      </w:r>
    </w:p>
  </w:endnote>
  <w:endnote w:type="continuationSeparator" w:id="0">
    <w:p w14:paraId="46A3D1C0" w14:textId="77777777" w:rsidR="00F454E6" w:rsidRDefault="00F454E6" w:rsidP="00D8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B83CE" w14:textId="77777777" w:rsidR="00F454E6" w:rsidRDefault="00F454E6" w:rsidP="00D814A6">
      <w:r>
        <w:separator/>
      </w:r>
    </w:p>
  </w:footnote>
  <w:footnote w:type="continuationSeparator" w:id="0">
    <w:p w14:paraId="7AC697CC" w14:textId="77777777" w:rsidR="00F454E6" w:rsidRDefault="00F454E6" w:rsidP="00D81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DD"/>
    <w:rsid w:val="005D2A8A"/>
    <w:rsid w:val="00896DDD"/>
    <w:rsid w:val="00D814A6"/>
    <w:rsid w:val="00F4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F400E"/>
  <w15:chartTrackingRefBased/>
  <w15:docId w15:val="{E163293B-A58A-4701-8159-A20D2288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4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14A6"/>
  </w:style>
  <w:style w:type="paragraph" w:styleId="a5">
    <w:name w:val="footer"/>
    <w:basedOn w:val="a"/>
    <w:link w:val="a6"/>
    <w:uiPriority w:val="99"/>
    <w:unhideWhenUsed/>
    <w:rsid w:val="00D81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1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Kawaguchi Kohei</dc:creator>
  <cp:keywords/>
  <dc:description/>
  <cp:lastModifiedBy>Kawaguchi Kohei</cp:lastModifiedBy>
  <cp:revision>2</cp:revision>
  <dcterms:created xsi:type="dcterms:W3CDTF">2021-07-29T15:30:00Z</dcterms:created>
  <dcterms:modified xsi:type="dcterms:W3CDTF">2021-07-29T15:33:00Z</dcterms:modified>
</cp:coreProperties>
</file>