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4C" w:rsidRDefault="003C1D92" w:rsidP="009E1AE8">
      <w:pPr>
        <w:spacing w:after="0" w:line="480" w:lineRule="auto"/>
        <w:ind w:left="-85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70CC">
        <w:rPr>
          <w:rFonts w:ascii="Times New Roman" w:hAnsi="Times New Roman" w:cs="Times New Roman"/>
          <w:b/>
          <w:bCs/>
          <w:sz w:val="24"/>
          <w:szCs w:val="24"/>
          <w:lang w:val="en-GB"/>
        </w:rPr>
        <w:t>Relationship between leukocyte counts and large vessel occlusion in acute ischemic stroke</w:t>
      </w:r>
    </w:p>
    <w:p w:rsidR="009E1AE8" w:rsidRPr="009E1AE8" w:rsidRDefault="009E1AE8" w:rsidP="00F1465E">
      <w:pPr>
        <w:spacing w:line="480" w:lineRule="auto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E1AE8">
        <w:rPr>
          <w:rFonts w:ascii="Times New Roman" w:hAnsi="Times New Roman" w:cs="Times New Roman"/>
          <w:sz w:val="24"/>
          <w:szCs w:val="24"/>
          <w:lang w:val="en-GB"/>
        </w:rPr>
        <w:t>Tarkanyi</w:t>
      </w:r>
      <w:proofErr w:type="spellEnd"/>
      <w:r w:rsidRPr="009E1AE8">
        <w:rPr>
          <w:rFonts w:ascii="Times New Roman" w:hAnsi="Times New Roman" w:cs="Times New Roman"/>
          <w:sz w:val="24"/>
          <w:szCs w:val="24"/>
          <w:lang w:val="en-GB"/>
        </w:rPr>
        <w:t xml:space="preserve"> G, Karadi ZN, Szabo Z, </w:t>
      </w:r>
      <w:proofErr w:type="spellStart"/>
      <w:r w:rsidRPr="009E1AE8">
        <w:rPr>
          <w:rFonts w:ascii="Times New Roman" w:hAnsi="Times New Roman" w:cs="Times New Roman"/>
          <w:sz w:val="24"/>
          <w:szCs w:val="24"/>
          <w:lang w:val="en-GB"/>
        </w:rPr>
        <w:t>Szegedi</w:t>
      </w:r>
      <w:proofErr w:type="spellEnd"/>
      <w:r w:rsidRPr="009E1AE8">
        <w:rPr>
          <w:rFonts w:ascii="Times New Roman" w:hAnsi="Times New Roman" w:cs="Times New Roman"/>
          <w:sz w:val="24"/>
          <w:szCs w:val="24"/>
          <w:lang w:val="en-GB"/>
        </w:rPr>
        <w:t xml:space="preserve"> I, </w:t>
      </w:r>
      <w:proofErr w:type="spellStart"/>
      <w:r w:rsidRPr="009E1AE8">
        <w:rPr>
          <w:rFonts w:ascii="Times New Roman" w:hAnsi="Times New Roman" w:cs="Times New Roman"/>
          <w:sz w:val="24"/>
          <w:szCs w:val="24"/>
          <w:lang w:val="en-GB"/>
        </w:rPr>
        <w:t>Csiba</w:t>
      </w:r>
      <w:proofErr w:type="spellEnd"/>
      <w:r w:rsidRPr="009E1AE8">
        <w:rPr>
          <w:rFonts w:ascii="Times New Roman" w:hAnsi="Times New Roman" w:cs="Times New Roman"/>
          <w:sz w:val="24"/>
          <w:szCs w:val="24"/>
          <w:lang w:val="en-GB"/>
        </w:rPr>
        <w:t xml:space="preserve"> L, </w:t>
      </w:r>
      <w:proofErr w:type="spellStart"/>
      <w:r w:rsidRPr="009E1AE8">
        <w:rPr>
          <w:rFonts w:ascii="Times New Roman" w:hAnsi="Times New Roman" w:cs="Times New Roman"/>
          <w:sz w:val="24"/>
          <w:szCs w:val="24"/>
          <w:lang w:val="en-GB"/>
        </w:rPr>
        <w:t>Szapary</w:t>
      </w:r>
      <w:proofErr w:type="spellEnd"/>
      <w:r w:rsidRPr="009E1AE8">
        <w:rPr>
          <w:rFonts w:ascii="Times New Roman" w:hAnsi="Times New Roman" w:cs="Times New Roman"/>
          <w:sz w:val="24"/>
          <w:szCs w:val="24"/>
          <w:lang w:val="en-GB"/>
        </w:rPr>
        <w:t xml:space="preserve"> L.</w:t>
      </w:r>
    </w:p>
    <w:p w:rsidR="003C1D92" w:rsidRDefault="003C1D92" w:rsidP="0059422D">
      <w:pPr>
        <w:pStyle w:val="Kpalrs"/>
        <w:suppressLineNumbers/>
        <w:tabs>
          <w:tab w:val="left" w:pos="5995"/>
        </w:tabs>
        <w:spacing w:after="0" w:line="276" w:lineRule="auto"/>
        <w:ind w:left="-851"/>
        <w:jc w:val="both"/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GB"/>
        </w:rPr>
      </w:pPr>
      <w:r w:rsidRPr="006B5044">
        <w:rPr>
          <w:rFonts w:ascii="Times New Roman" w:hAnsi="Times New Roman" w:cs="Times New Roman"/>
          <w:b/>
          <w:i w:val="0"/>
          <w:color w:val="auto"/>
          <w:sz w:val="24"/>
          <w:szCs w:val="20"/>
          <w:lang w:val="en-GB"/>
        </w:rPr>
        <w:t>Supplementary material</w:t>
      </w:r>
    </w:p>
    <w:p w:rsidR="00B95B2A" w:rsidRDefault="00B95B2A" w:rsidP="00B95B2A">
      <w:pPr>
        <w:rPr>
          <w:lang w:val="en-GB"/>
        </w:rPr>
      </w:pPr>
    </w:p>
    <w:p w:rsidR="00F1465E" w:rsidRPr="00D47213" w:rsidRDefault="00F1465E" w:rsidP="00F1465E">
      <w:pPr>
        <w:pStyle w:val="Kpalrs"/>
        <w:suppressLineNumbers/>
        <w:tabs>
          <w:tab w:val="left" w:pos="5995"/>
        </w:tabs>
        <w:spacing w:after="0" w:line="276" w:lineRule="auto"/>
        <w:ind w:left="284" w:right="283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4721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S</w:t>
      </w:r>
      <w:r w:rsidRPr="00D4721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1.</w:t>
      </w:r>
      <w:r w:rsidRPr="00D472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Univariable associations between baseline characteristics and the </w:t>
      </w:r>
      <w:r w:rsidRPr="00D47213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presence of LVO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in acute ischemic stroke</w:t>
      </w:r>
    </w:p>
    <w:tbl>
      <w:tblPr>
        <w:tblStyle w:val="Rcsostblzat"/>
        <w:tblpPr w:leftFromText="180" w:rightFromText="180" w:vertAnchor="text" w:horzAnchor="margin" w:tblpXSpec="center" w:tblpY="53"/>
        <w:tblW w:w="8502" w:type="dxa"/>
        <w:tblLook w:val="04A0" w:firstRow="1" w:lastRow="0" w:firstColumn="1" w:lastColumn="0" w:noHBand="0" w:noVBand="1"/>
      </w:tblPr>
      <w:tblGrid>
        <w:gridCol w:w="4678"/>
        <w:gridCol w:w="2695"/>
        <w:gridCol w:w="1129"/>
      </w:tblGrid>
      <w:tr w:rsidR="00F1465E" w:rsidRPr="00D47213" w:rsidTr="006048A0"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Crude odds ratio</w:t>
            </w:r>
          </w:p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(95% CI)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65E" w:rsidRPr="00D47213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value</w:t>
            </w:r>
          </w:p>
        </w:tc>
      </w:tr>
      <w:tr w:rsidR="00F1465E" w:rsidRPr="00D47213" w:rsidTr="006048A0">
        <w:trPr>
          <w:trHeight w:val="326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Demographic characteristics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5E" w:rsidRPr="00D47213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1-year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1.011 (0.99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1.02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Gender, female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gender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2.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Elapsed times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465E" w:rsidRPr="00D47213" w:rsidTr="006048A0">
        <w:trPr>
          <w:trHeight w:val="2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Onset-to-sample time,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min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(0.995 to 1.002)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396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Sample-to-CTA time,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min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(0.98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1.00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715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 on admission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NIHSS score on admission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1-point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.23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(1.17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1.2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&lt;0.001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admission SBP,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mmHg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0.990 (0.983 to 0.997)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admission DBP,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 mmHg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0.98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(0.97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0.99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AC6FC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6FCE" w:rsidRPr="00AC6FCE" w:rsidRDefault="00AC6FC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Body temperature,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AC6FCE" w:rsidRDefault="00AC6FC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0.437 (0.190 to 1.006)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C6FCE" w:rsidRPr="008375AD" w:rsidRDefault="00AC6FC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0.052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oftHyphen/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Blood glucose,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mmol/L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1.01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(0.94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1.07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INR,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1-point increase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6048A0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947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383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Vascular risk factors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Smoking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(0.8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2.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Hypertension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(0.7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2.085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353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Diabetes mellitus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1.0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Hyperlipidaemia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(0.5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569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Atrial fibrillation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(1.4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to 3.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6048A0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</w:t>
            </w:r>
            <w:r w:rsidR="00F1465E"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0.001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Coronary artery disease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1.25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(0.7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0.33</w:t>
            </w:r>
            <w:r w:rsidR="0060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Chronic heart failure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467000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2.137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4.084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Previous stroke/TIA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1.0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Malignancy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1.037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3.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467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Therapy at stroke onset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Antiplatelet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(0.792 to 1.8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Anticoagulant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BF3596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2.003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3.6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  <w:r w:rsid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0.02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 lowering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(0.83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2.1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0.229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(0.8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2.098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</w:t>
            </w:r>
          </w:p>
        </w:tc>
      </w:tr>
      <w:tr w:rsidR="00F1465E" w:rsidRPr="00D47213" w:rsidTr="006048A0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65E" w:rsidRPr="00D47213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72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Antidiabetic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65E" w:rsidRPr="00D47213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1.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65E" w:rsidRPr="008375AD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75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BF35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071</w:t>
            </w:r>
            <w:r w:rsidR="004869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</w:tbl>
    <w:p w:rsidR="00F1465E" w:rsidRDefault="00F1465E" w:rsidP="00F1465E">
      <w:pPr>
        <w:pStyle w:val="Kpalrs"/>
        <w:suppressLineNumbers/>
        <w:spacing w:line="276" w:lineRule="auto"/>
        <w:ind w:left="284" w:right="283"/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D47213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Abbreviation: LVO, large vessel occlusion;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CI, Confidence Interval,</w:t>
      </w:r>
      <w:r w:rsidRPr="00D47213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 NIHSS, National Institutes of Health Stroke Scale; SBP, systolic blood pressure; DBP, diastolic blood pressure; INR, International Normalized Ratio; TIA, transient ischemic attack.</w:t>
      </w:r>
    </w:p>
    <w:p w:rsidR="0048698E" w:rsidRPr="0048698E" w:rsidRDefault="0048698E" w:rsidP="0048698E">
      <w:pPr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48698E">
        <w:rPr>
          <w:rFonts w:ascii="Times New Roman" w:hAnsi="Times New Roman" w:cs="Times New Roman"/>
          <w:sz w:val="24"/>
          <w:szCs w:val="24"/>
          <w:lang w:val="en-GB"/>
        </w:rPr>
        <w:t>* Variables included in the multivariable analysis.</w:t>
      </w:r>
    </w:p>
    <w:p w:rsidR="004F66CD" w:rsidRDefault="004F66CD" w:rsidP="0005752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B2EDE" w:rsidRPr="001B2EDE" w:rsidRDefault="001B2EDE" w:rsidP="001B2EDE">
      <w:pPr>
        <w:spacing w:after="0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1B2ED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S2.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Baseline characteristics of patients according to the site of occlusion in the anterior circulation</w:t>
      </w:r>
    </w:p>
    <w:tbl>
      <w:tblPr>
        <w:tblStyle w:val="Rcsostblzat"/>
        <w:tblpPr w:leftFromText="180" w:rightFromText="180" w:vertAnchor="text" w:horzAnchor="margin" w:tblpXSpec="center" w:tblpY="53"/>
        <w:tblW w:w="10773" w:type="dxa"/>
        <w:tblLook w:val="04A0" w:firstRow="1" w:lastRow="0" w:firstColumn="1" w:lastColumn="0" w:noHBand="0" w:noVBand="1"/>
      </w:tblPr>
      <w:tblGrid>
        <w:gridCol w:w="5067"/>
        <w:gridCol w:w="2163"/>
        <w:gridCol w:w="2414"/>
        <w:gridCol w:w="1129"/>
      </w:tblGrid>
      <w:tr w:rsidR="001B2EDE" w:rsidRPr="00F1465E" w:rsidTr="004F66CD">
        <w:tc>
          <w:tcPr>
            <w:tcW w:w="5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7BD5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Proximal occlusion</w:t>
            </w:r>
          </w:p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66CD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Distal occlusio</w:t>
            </w:r>
            <w:r w:rsidR="004F66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</w:p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value</w:t>
            </w:r>
          </w:p>
        </w:tc>
      </w:tr>
      <w:tr w:rsidR="001B2EDE" w:rsidRPr="00F1465E" w:rsidTr="004F66CD">
        <w:tc>
          <w:tcPr>
            <w:tcW w:w="5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Demographic characteristics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Age, years,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 (62-7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A2352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637BD5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37BD5" w:rsidRP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346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Gender, female, % (n)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794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Elapsed times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B2EDE" w:rsidRPr="00F1465E" w:rsidTr="004F66CD">
        <w:trPr>
          <w:trHeight w:val="2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Onset-to-sample time, min,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A2352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-14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032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Sample-to-CTA time, min,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-28)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985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 on admission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NIHSS score on admission,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 (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637BD5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&lt;0.001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admission SBP, mmHg, 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A2352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159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136-180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A2352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154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140-169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514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admission DBP, mmHg, 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76-96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80-96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940FC6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40FC6" w:rsidRPr="00F1465E" w:rsidRDefault="00940FC6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F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Body temperature, </w:t>
            </w:r>
            <w:proofErr w:type="spellStart"/>
            <w:r w:rsidRPr="00940F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Pr="00940F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End"/>
            <w:r w:rsidRPr="00940F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940FC6" w:rsidRPr="00F1465E" w:rsidRDefault="00940FC6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 (36.1-36.5)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40FC6" w:rsidRPr="00F1465E" w:rsidRDefault="00940FC6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 (36.0-36.7)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40FC6" w:rsidRPr="00F1465E" w:rsidRDefault="00940FC6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0.680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glucose, mmol/L,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(5.8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-7.9</w:t>
            </w:r>
            <w:r w:rsidR="00A235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A2352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6.57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5.80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7.94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637BD5" w:rsidRDefault="00637BD5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0.874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INR, ratio,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 (0.95-1.09)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A2352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(0.9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.259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Vascular risk factors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Smoking, % (n), 3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0569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05693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0.895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Hypertension, % (n), 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0569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9056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304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Diabetes mellitus, % (n), 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 (2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E80D99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535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Hyperlipidaemia, % (n), 1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618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Atrial fibrillation, % (n), 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E80D99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E80D99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80D9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E80D99" w:rsidRPr="00E80D9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  <w:r w:rsidR="00504A0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0*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Coronary artery disease, % (n), 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504A0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894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Chronic heart failure, % (n), 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E80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E80D99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17.1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</w:t>
            </w:r>
            <w:r w:rsidR="00E80D9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.776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Previous stroke/TIA, % (n), 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504A0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14.6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504A0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595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Malignancy, % (n), 1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04A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504A0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15.8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504A0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687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Therapy at stroke onset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Antiplatelet, % (n), 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C4F5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30.0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9C4F5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069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Anticoagulant, % (n), 1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 (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C4F5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31.6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9C4F5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023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 lowering, % (n), 1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C4F5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9C4F5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567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Antihypertensive, % (n), 1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C4F5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9C4F5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652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Antidiabetic, % (n), 1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 (</w:t>
            </w:r>
            <w:r w:rsidR="009C4F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9C4F54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0.701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Leukocyte counts (1x10</w:t>
            </w: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/L)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WBC,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(7.13-1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526245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9.13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585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Neutrophil,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(4.29-7.57)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526245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5.79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3.87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7.66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646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Lymphocyte,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(1.3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-2.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526245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1.75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2.84</w:t>
            </w:r>
            <w:r w:rsidR="001B2ED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528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Monocyte,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(0.49-0.83)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5262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759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Eosinophil,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 (0.07-0.2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(0.0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-0.2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666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Basophil,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 (0.03-0.07)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 (0.0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642</w:t>
            </w:r>
          </w:p>
        </w:tc>
      </w:tr>
      <w:tr w:rsidR="001B2EDE" w:rsidRPr="00F1465E" w:rsidTr="004F66CD"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2EDE" w:rsidRPr="00F1465E" w:rsidRDefault="001B2ED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NLR,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(1.9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2D01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4.73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</w:t>
            </w:r>
            <w:r w:rsid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1.95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B2EDE" w:rsidRPr="00F1465E" w:rsidRDefault="001B2ED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</w:t>
            </w:r>
            <w:r w:rsidR="00637BD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.959</w:t>
            </w:r>
          </w:p>
        </w:tc>
      </w:tr>
    </w:tbl>
    <w:p w:rsidR="00B95B2A" w:rsidRDefault="00637BD5" w:rsidP="00637BD5">
      <w:pPr>
        <w:pStyle w:val="Kpalrs"/>
        <w:suppressLineNumbers/>
        <w:spacing w:line="276" w:lineRule="auto"/>
        <w:ind w:left="-851" w:right="-851"/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F1465E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Abbreviation: LVO, large vessel occlusion; NIHSS, National Institutes of Health Stroke Scale; SBP, systolic blood pressure; DBP, diastolic blood pressure; </w:t>
      </w:r>
      <w:r w:rsidR="00501D14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IQR, interquartile range</w:t>
      </w:r>
      <w:r w:rsidRPr="00F1465E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; INR, International Normalized Ratio; TIA, transient ischemic attack; NLR, neutrophil-to-lymphocyte ratio.</w:t>
      </w:r>
    </w:p>
    <w:p w:rsidR="004F66CD" w:rsidRDefault="004F66CD" w:rsidP="004F66CD">
      <w:pPr>
        <w:spacing w:after="0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Proximal occlusion: ICA and MCA M1; distal occlusion: MCA M2, M3 and ACA A1 and A2</w:t>
      </w:r>
    </w:p>
    <w:p w:rsidR="008A7C48" w:rsidRPr="00137C40" w:rsidRDefault="004F66CD" w:rsidP="00137C40">
      <w:pPr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4F66CD">
        <w:rPr>
          <w:rFonts w:ascii="Times New Roman" w:hAnsi="Times New Roman" w:cs="Times New Roman"/>
          <w:sz w:val="24"/>
          <w:szCs w:val="24"/>
          <w:lang w:val="en-GB"/>
        </w:rPr>
        <w:t>*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Fischer exact test</w:t>
      </w:r>
    </w:p>
    <w:p w:rsidR="008A7C48" w:rsidRPr="001B2EDE" w:rsidRDefault="008A7C48" w:rsidP="008A7C48">
      <w:pPr>
        <w:spacing w:after="0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1B2ED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1B2ED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Baseline characteristics of patients according to collateral status in the anterior circulation</w:t>
      </w:r>
    </w:p>
    <w:tbl>
      <w:tblPr>
        <w:tblStyle w:val="Rcsostblzat"/>
        <w:tblpPr w:leftFromText="180" w:rightFromText="180" w:vertAnchor="text" w:horzAnchor="margin" w:tblpXSpec="center" w:tblpY="53"/>
        <w:tblW w:w="10773" w:type="dxa"/>
        <w:tblLook w:val="04A0" w:firstRow="1" w:lastRow="0" w:firstColumn="1" w:lastColumn="0" w:noHBand="0" w:noVBand="1"/>
      </w:tblPr>
      <w:tblGrid>
        <w:gridCol w:w="5067"/>
        <w:gridCol w:w="2163"/>
        <w:gridCol w:w="2414"/>
        <w:gridCol w:w="1129"/>
      </w:tblGrid>
      <w:tr w:rsidR="008A7C48" w:rsidRPr="00F1465E" w:rsidTr="00137C40">
        <w:tc>
          <w:tcPr>
            <w:tcW w:w="5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7C48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collaterals</w:t>
            </w:r>
          </w:p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Poor collaterals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value</w:t>
            </w:r>
          </w:p>
        </w:tc>
      </w:tr>
      <w:tr w:rsidR="008A7C48" w:rsidRPr="00F1465E" w:rsidTr="00137C40">
        <w:tc>
          <w:tcPr>
            <w:tcW w:w="5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Demographic characteristics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Age, years,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 (62-7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637BD5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448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Gender, female, % (n)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794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Elapsed times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A7C48" w:rsidRPr="00F1465E" w:rsidTr="00137C40">
        <w:trPr>
          <w:trHeight w:val="2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Onset-to-sample time, min,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64325C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4782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0.594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Sample-to-CTA time, min,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256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 on admission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NIHSS score on admission,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&lt;0.001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admission SBP, mmHg,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140-1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685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admission DBP, mmHg,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-9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64325C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80-9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337</w:t>
            </w:r>
          </w:p>
        </w:tc>
      </w:tr>
      <w:tr w:rsidR="00940FC6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40FC6" w:rsidRPr="00F1465E" w:rsidRDefault="00940FC6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F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Body temperature, </w:t>
            </w:r>
            <w:proofErr w:type="spellStart"/>
            <w:r w:rsidRPr="00940F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Pr="00940F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End"/>
            <w:r w:rsidRPr="00940F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940FC6" w:rsidRPr="00F1465E" w:rsidRDefault="00940FC6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 (36.0-36.5)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40FC6" w:rsidRDefault="00940FC6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 (36.1-36.5)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940FC6" w:rsidRPr="00F1465E" w:rsidRDefault="00940FC6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0.876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glucose, mmol/L,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(5.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-7.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8.60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637BD5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7B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943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INR, ratio,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(0.95-1.0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(0.9</w:t>
            </w:r>
            <w:r w:rsidR="006432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141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Vascular risk factors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Smoking, % (n), 3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783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Hypertension, % (n),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4782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4782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47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Diabetes mellitus, % (n),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Hyperlipidaemia, % (n),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403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Atrial fibrillation, % (n),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1C065F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36.8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BE21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E80D99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80D99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C065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867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Coronary artery disease, % (n),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672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Chronic heart failure, % (n),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C06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BE212A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20.7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1C065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195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Previous stroke/TIA, % (n),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BE212A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17.5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E21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7.5 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E21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BE2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995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Malignancy, % (n),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BE212A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16.9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BE212A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20.0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  <w:r w:rsidR="00BE2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Therapy at stroke onset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Antiplatelet, % (n), </w:t>
            </w:r>
            <w:r w:rsidR="00BE21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BE212A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41.0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BE212A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BE2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742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Anticoagulant, % (n), 1</w:t>
            </w:r>
            <w:r w:rsidR="00BE21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E21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BE212A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BE212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678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 lowering, % (n),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137D0C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30.8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37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37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37D0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428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Antihypertensive, % (n), 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37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137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137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137D0C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71.9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37D0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753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Antidiabetic, % (n), 1</w:t>
            </w:r>
            <w:r w:rsidR="00137D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137D0C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20.5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137D0C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37D0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209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Leukocyte counts (1x10</w:t>
            </w: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/L)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WBC,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060B3D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9.23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(7.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10.97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060B3D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8.55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6.50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8A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105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Neutrophil,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060B3D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6.04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  <w:r w:rsidR="008A7C48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-7.57)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198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Lymphocyte,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(1.3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226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Monocyte,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-0.8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203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Eosinophil,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(0.07-0.2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998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Basophil,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 (0.03-0.0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(0.0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360</w:t>
            </w:r>
          </w:p>
        </w:tc>
      </w:tr>
      <w:tr w:rsidR="008A7C48" w:rsidRPr="00F1465E" w:rsidTr="00137C40"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C48" w:rsidRPr="00F1465E" w:rsidRDefault="008A7C48" w:rsidP="00137C40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NLR, median (IQR)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(1.9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060B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5.38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C48" w:rsidRPr="00F1465E" w:rsidRDefault="008A7C48" w:rsidP="00137C4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8478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822</w:t>
            </w:r>
          </w:p>
        </w:tc>
      </w:tr>
    </w:tbl>
    <w:p w:rsidR="008A7C48" w:rsidRDefault="008A7C48" w:rsidP="008A7C48">
      <w:pPr>
        <w:pStyle w:val="Kpalrs"/>
        <w:suppressLineNumbers/>
        <w:spacing w:line="276" w:lineRule="auto"/>
        <w:ind w:left="-851" w:right="-851"/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bookmarkStart w:id="0" w:name="_Hlk40257327"/>
      <w:r w:rsidRPr="00F1465E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 xml:space="preserve">Abbreviation: LVO, large vessel occlusion; NIHSS, National Institutes of Health Stroke Scale; SBP, systolic blood pressure; DBP, diastolic blood pressure; </w:t>
      </w:r>
      <w:r w:rsidR="00501D14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IQR, interquartile range</w:t>
      </w:r>
      <w:r w:rsidRPr="00F1465E"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  <w:t>; INR, International Normalized Ratio; TIA, transient ischemic attack; NLR, neutrophil-to-lymphocyte ratio.</w:t>
      </w:r>
    </w:p>
    <w:bookmarkEnd w:id="0"/>
    <w:p w:rsidR="00137C40" w:rsidRDefault="00137C40" w:rsidP="00B95B2A">
      <w:pPr>
        <w:rPr>
          <w:lang w:val="en-GB"/>
        </w:rPr>
      </w:pPr>
    </w:p>
    <w:p w:rsidR="0005752A" w:rsidRDefault="0005752A" w:rsidP="00B95B2A">
      <w:pPr>
        <w:rPr>
          <w:lang w:val="en-GB"/>
        </w:rPr>
      </w:pPr>
    </w:p>
    <w:p w:rsidR="00F1465E" w:rsidRPr="00F1465E" w:rsidRDefault="00F1465E" w:rsidP="00F1465E">
      <w:pPr>
        <w:pStyle w:val="Kpalrs"/>
        <w:suppressLineNumbers/>
        <w:tabs>
          <w:tab w:val="left" w:pos="5995"/>
        </w:tabs>
        <w:spacing w:after="0" w:line="276" w:lineRule="auto"/>
        <w:ind w:left="-851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GB"/>
        </w:rPr>
      </w:pPr>
      <w:r w:rsidRPr="00F1465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lastRenderedPageBreak/>
        <w:t>Table S</w:t>
      </w:r>
      <w:r w:rsidR="004F66CD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4</w:t>
      </w:r>
      <w:r w:rsidRPr="00F1465E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GB"/>
        </w:rPr>
        <w:t>.</w:t>
      </w:r>
      <w:r w:rsidRPr="00F146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465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Demography and clinical characteristics of LVO patients according to the location of LVO </w:t>
      </w:r>
    </w:p>
    <w:tbl>
      <w:tblPr>
        <w:tblStyle w:val="Rcsostblzat"/>
        <w:tblpPr w:leftFromText="180" w:rightFromText="180" w:vertAnchor="text" w:horzAnchor="margin" w:tblpXSpec="center" w:tblpY="53"/>
        <w:tblW w:w="10773" w:type="dxa"/>
        <w:tblLook w:val="04A0" w:firstRow="1" w:lastRow="0" w:firstColumn="1" w:lastColumn="0" w:noHBand="0" w:noVBand="1"/>
      </w:tblPr>
      <w:tblGrid>
        <w:gridCol w:w="5067"/>
        <w:gridCol w:w="2306"/>
        <w:gridCol w:w="2271"/>
        <w:gridCol w:w="1129"/>
      </w:tblGrid>
      <w:tr w:rsidR="00F1465E" w:rsidRPr="00F1465E" w:rsidTr="00A23524">
        <w:tc>
          <w:tcPr>
            <w:tcW w:w="5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28408933"/>
          </w:p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Anterior LVO </w:t>
            </w:r>
          </w:p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(N=1</w:t>
            </w:r>
            <w:r w:rsidR="0013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Posterior LVO</w:t>
            </w:r>
          </w:p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(N=2</w:t>
            </w:r>
            <w:r w:rsidR="0013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 value</w:t>
            </w:r>
          </w:p>
        </w:tc>
      </w:tr>
      <w:tr w:rsidR="00F1465E" w:rsidRPr="00F1465E" w:rsidTr="00A23524">
        <w:tc>
          <w:tcPr>
            <w:tcW w:w="5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Demographic characteristics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Age, years,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69 (62-79)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3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(60-</w:t>
            </w:r>
            <w:r w:rsidR="00137C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0.0</w:t>
            </w:r>
            <w:r w:rsidR="00394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16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Gender, female, % (n)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5B763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5B763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0.498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Elapsed times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1465E" w:rsidRPr="00F1465E" w:rsidTr="00A23524">
        <w:trPr>
          <w:trHeight w:val="2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Onset-to-sample time, min,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-119)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 (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244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Sample-to-CTA time, min,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896170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060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Parameters on admission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NIHSS score on admission,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(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-18)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896170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(4-12)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0.00</w:t>
            </w:r>
            <w:r w:rsidR="00177BF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admission SBP, mmHg, me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dian (IQR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896170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158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140-174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143-190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213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admission DBP, mmHg, 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896170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(80-96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896170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74-99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767</w:t>
            </w:r>
          </w:p>
        </w:tc>
      </w:tr>
      <w:tr w:rsidR="0005752A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05752A" w:rsidRPr="00F1465E" w:rsidRDefault="0005752A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75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Body temperature, </w:t>
            </w:r>
            <w:proofErr w:type="spellStart"/>
            <w:r w:rsidRPr="0005752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Pr="000575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proofErr w:type="spellEnd"/>
            <w:r w:rsidRPr="000575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05752A" w:rsidRDefault="0005752A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 (36.1-36.5)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05752A" w:rsidRDefault="0005752A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36.5 (36.2-36.5)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5752A" w:rsidRPr="00F1465E" w:rsidRDefault="0005752A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0.871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Blood glucose, mmol/L,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6.7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(5.8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-7.94)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(6.4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-9.97)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0.01</w:t>
            </w:r>
            <w:r w:rsidR="00177B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INR, ratio,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1.02 (0.95-1.09)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0.99 (0.9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-1.0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177B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Vascular risk factors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Smoking, % (n), 3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(42)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Hypertension, % (n), 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(11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5B763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Diabetes mellitus, % (n), 8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(29)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5B763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Hyperlipidaemia, % (n), 1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(6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5B7634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5B7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949</w:t>
            </w:r>
            <w:r w:rsidR="005B7634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Atrial fibrillation, % (n), 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D60F1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0.0</w:t>
            </w:r>
            <w:r w:rsidR="00D60F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Coronary artery disease, % (n), 1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(40)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D60F1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Chronic heart failure, % (n), 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(22)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D60F13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D60F1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741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Previous stroke/TIA, % (n), 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D60F1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756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Malignancy, % (n), 1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D60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D60F1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310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Therapy at stroke onset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Antiplatelet, % (n), 13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(57)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6F4138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F41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312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Anticoagulant, % (n), 14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6F4138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F41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200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Lipid lowering, % (n), 12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(38)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6F4138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27.8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F41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997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Antihypertensive, % (n), 12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(10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6F4138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72.2 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6F41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945*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Antidiabetic, % (n), 14 missing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1.8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6F41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0.7</w:t>
            </w:r>
            <w:r w:rsidR="006F41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41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*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Leukocyte counts (1x10</w:t>
            </w: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9</w:t>
            </w: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/L)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WBC,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8.77 (7.13-10.9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8961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12.41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005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Neutrophil,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5.89 (4.2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-7.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394E1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7.06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5.98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010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Lymphocyte,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(1.3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-2.70)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(1.6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-3.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0.2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24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Monocyte,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0.64 (0.49-0.83)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0.76 (0.54-0.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114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Eosinophil,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 (0.07-0.20)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0.09 (0.05-0.21)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0.2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Basophil,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 (0.03-0.07)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 (0.0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-0.08)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682</w:t>
            </w:r>
          </w:p>
        </w:tc>
      </w:tr>
      <w:tr w:rsidR="00F1465E" w:rsidRPr="00F1465E" w:rsidTr="00A23524"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465E" w:rsidRPr="00F1465E" w:rsidRDefault="00F1465E" w:rsidP="00A23524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NLR, median (IQR)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(1.9</w:t>
            </w:r>
            <w:r w:rsidR="00394E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-5.28)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465E" w:rsidRPr="00F1465E" w:rsidRDefault="00394E1E" w:rsidP="00A235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3.13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5.44</w:t>
            </w:r>
            <w:r w:rsidR="00F1465E" w:rsidRPr="00F146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465E" w:rsidRPr="00F1465E" w:rsidRDefault="00F1465E" w:rsidP="00A235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465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</w:t>
            </w:r>
            <w:r w:rsidR="00177BF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344</w:t>
            </w:r>
          </w:p>
        </w:tc>
      </w:tr>
    </w:tbl>
    <w:bookmarkEnd w:id="1"/>
    <w:p w:rsidR="006F4138" w:rsidRDefault="006F4138" w:rsidP="00F1465E">
      <w:pPr>
        <w:spacing w:line="276" w:lineRule="auto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6F4138">
        <w:rPr>
          <w:rFonts w:ascii="Times New Roman" w:hAnsi="Times New Roman" w:cs="Times New Roman"/>
          <w:sz w:val="24"/>
          <w:szCs w:val="24"/>
          <w:lang w:val="en-GB"/>
        </w:rPr>
        <w:t xml:space="preserve">Abbreviation: LVO, large vessel occlusion; NIHSS, National Institutes of Health Stroke Scale; SBP, systolic blood pressure; DBP, diastolic blood pressure; </w:t>
      </w:r>
      <w:r w:rsidR="00501D14">
        <w:rPr>
          <w:rFonts w:ascii="Times New Roman" w:hAnsi="Times New Roman" w:cs="Times New Roman"/>
          <w:sz w:val="24"/>
          <w:szCs w:val="24"/>
          <w:lang w:val="en-GB"/>
        </w:rPr>
        <w:t>IQR, interquartile range</w:t>
      </w:r>
      <w:r w:rsidRPr="006F4138">
        <w:rPr>
          <w:rFonts w:ascii="Times New Roman" w:hAnsi="Times New Roman" w:cs="Times New Roman"/>
          <w:sz w:val="24"/>
          <w:szCs w:val="24"/>
          <w:lang w:val="en-GB"/>
        </w:rPr>
        <w:t>; INR, International Normalized Ratio; TIA, transient ischemic attack; N</w:t>
      </w:r>
      <w:bookmarkStart w:id="2" w:name="_GoBack"/>
      <w:bookmarkEnd w:id="2"/>
      <w:r w:rsidRPr="006F4138">
        <w:rPr>
          <w:rFonts w:ascii="Times New Roman" w:hAnsi="Times New Roman" w:cs="Times New Roman"/>
          <w:sz w:val="24"/>
          <w:szCs w:val="24"/>
          <w:lang w:val="en-GB"/>
        </w:rPr>
        <w:t>LR, neutrophil-to-lymphocyte ratio.</w:t>
      </w:r>
    </w:p>
    <w:p w:rsidR="003C1D92" w:rsidRPr="00F1465E" w:rsidRDefault="00F1465E" w:rsidP="00F1465E">
      <w:pPr>
        <w:spacing w:line="276" w:lineRule="auto"/>
        <w:ind w:left="-851"/>
        <w:rPr>
          <w:rFonts w:ascii="Times New Roman" w:hAnsi="Times New Roman" w:cs="Times New Roman"/>
          <w:sz w:val="24"/>
          <w:szCs w:val="24"/>
          <w:lang w:val="en-GB"/>
        </w:rPr>
      </w:pPr>
      <w:r w:rsidRPr="00F1465E">
        <w:rPr>
          <w:rFonts w:ascii="Times New Roman" w:hAnsi="Times New Roman" w:cs="Times New Roman"/>
          <w:sz w:val="24"/>
          <w:szCs w:val="24"/>
          <w:lang w:val="en-GB"/>
        </w:rPr>
        <w:t>* Fischer exact test.</w:t>
      </w:r>
    </w:p>
    <w:p w:rsidR="003C1D92" w:rsidRDefault="003C1D92" w:rsidP="00B95B2A">
      <w:pPr>
        <w:pStyle w:val="Kpalrs"/>
        <w:suppressLineNumbers/>
        <w:tabs>
          <w:tab w:val="left" w:pos="5995"/>
        </w:tabs>
        <w:spacing w:after="0" w:line="276" w:lineRule="auto"/>
        <w:ind w:left="-851"/>
        <w:jc w:val="center"/>
        <w:rPr>
          <w:rFonts w:ascii="Times New Roman" w:hAnsi="Times New Roman" w:cs="Times New Roman"/>
          <w:b/>
          <w:i w:val="0"/>
          <w:color w:val="auto"/>
          <w:sz w:val="22"/>
          <w:lang w:val="en-GB"/>
        </w:rPr>
      </w:pPr>
    </w:p>
    <w:p w:rsidR="00C65D50" w:rsidRDefault="00C65D50" w:rsidP="00C65D50">
      <w:pPr>
        <w:spacing w:line="276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65D50" w:rsidRDefault="00C65D50" w:rsidP="00C65D50">
      <w:pPr>
        <w:spacing w:line="276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-428999</wp:posOffset>
            </wp:positionH>
            <wp:positionV relativeFrom="paragraph">
              <wp:posOffset>226920</wp:posOffset>
            </wp:positionV>
            <wp:extent cx="6664456" cy="3993776"/>
            <wp:effectExtent l="0" t="0" r="3175" b="6985"/>
            <wp:wrapTopAndBottom/>
            <wp:docPr id="1" name="Kép 1" descr="A képen szöveg, tér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456" cy="3993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B2A" w:rsidRPr="00F1465E" w:rsidRDefault="00B95B2A" w:rsidP="00C65D50">
      <w:pPr>
        <w:spacing w:line="276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465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S1. </w:t>
      </w:r>
      <w:r w:rsidRPr="00F1465E">
        <w:rPr>
          <w:rFonts w:ascii="Times New Roman" w:hAnsi="Times New Roman" w:cs="Times New Roman"/>
          <w:sz w:val="24"/>
          <w:szCs w:val="24"/>
          <w:lang w:val="en-GB"/>
        </w:rPr>
        <w:t xml:space="preserve">Receiver operating characteristic curves demonstrating the ability of total and differential leukocyte counts to discriminate the presence of LVO in AIS. </w:t>
      </w:r>
      <w:r w:rsidR="00C65D50">
        <w:rPr>
          <w:rFonts w:ascii="Times New Roman" w:hAnsi="Times New Roman" w:cs="Times New Roman"/>
          <w:sz w:val="24"/>
          <w:szCs w:val="24"/>
          <w:lang w:val="en-GB"/>
        </w:rPr>
        <w:t xml:space="preserve">Area under the curve (AUC) values and 95% confidence intervals are presented. </w:t>
      </w:r>
    </w:p>
    <w:p w:rsidR="00B95B2A" w:rsidRPr="00F1465E" w:rsidRDefault="00B95B2A" w:rsidP="00F1465E">
      <w:pPr>
        <w:rPr>
          <w:rFonts w:ascii="Times New Roman" w:hAnsi="Times New Roman" w:cs="Times New Roman"/>
          <w:b/>
          <w:iCs/>
          <w:szCs w:val="18"/>
          <w:lang w:val="en-GB"/>
        </w:rPr>
      </w:pPr>
    </w:p>
    <w:sectPr w:rsidR="00B95B2A" w:rsidRPr="00F1465E" w:rsidSect="004F66C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407"/>
    <w:multiLevelType w:val="hybridMultilevel"/>
    <w:tmpl w:val="C876DB42"/>
    <w:lvl w:ilvl="0" w:tplc="90905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14E"/>
    <w:multiLevelType w:val="hybridMultilevel"/>
    <w:tmpl w:val="F68CF3EC"/>
    <w:lvl w:ilvl="0" w:tplc="134CC05A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B626D87"/>
    <w:multiLevelType w:val="hybridMultilevel"/>
    <w:tmpl w:val="9EE413E2"/>
    <w:lvl w:ilvl="0" w:tplc="3F6431F2"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6EF61925"/>
    <w:multiLevelType w:val="hybridMultilevel"/>
    <w:tmpl w:val="5EDA5828"/>
    <w:lvl w:ilvl="0" w:tplc="0C0A5738"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72061B7D"/>
    <w:multiLevelType w:val="hybridMultilevel"/>
    <w:tmpl w:val="1804C204"/>
    <w:lvl w:ilvl="0" w:tplc="00200B5C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55"/>
    <w:rsid w:val="00012F37"/>
    <w:rsid w:val="000379BD"/>
    <w:rsid w:val="0005752A"/>
    <w:rsid w:val="00060B3D"/>
    <w:rsid w:val="0012797E"/>
    <w:rsid w:val="00137C40"/>
    <w:rsid w:val="00137D0C"/>
    <w:rsid w:val="001642A9"/>
    <w:rsid w:val="00177BFF"/>
    <w:rsid w:val="001B2EDE"/>
    <w:rsid w:val="001C065F"/>
    <w:rsid w:val="001C1C38"/>
    <w:rsid w:val="001E75CE"/>
    <w:rsid w:val="002137E0"/>
    <w:rsid w:val="00226833"/>
    <w:rsid w:val="00243332"/>
    <w:rsid w:val="002569C4"/>
    <w:rsid w:val="00263AD7"/>
    <w:rsid w:val="002D01F0"/>
    <w:rsid w:val="002D2D72"/>
    <w:rsid w:val="0030413F"/>
    <w:rsid w:val="0030579E"/>
    <w:rsid w:val="0034214C"/>
    <w:rsid w:val="00356E37"/>
    <w:rsid w:val="00394E1E"/>
    <w:rsid w:val="003C1D92"/>
    <w:rsid w:val="003C6798"/>
    <w:rsid w:val="003D4C5D"/>
    <w:rsid w:val="00442A08"/>
    <w:rsid w:val="00467000"/>
    <w:rsid w:val="0048698E"/>
    <w:rsid w:val="004936B6"/>
    <w:rsid w:val="00494216"/>
    <w:rsid w:val="004C0D95"/>
    <w:rsid w:val="004C1FBD"/>
    <w:rsid w:val="004D56B3"/>
    <w:rsid w:val="004E5039"/>
    <w:rsid w:val="004F129E"/>
    <w:rsid w:val="004F3B48"/>
    <w:rsid w:val="004F66CD"/>
    <w:rsid w:val="00501D14"/>
    <w:rsid w:val="00504A03"/>
    <w:rsid w:val="00526245"/>
    <w:rsid w:val="00542F64"/>
    <w:rsid w:val="0054622C"/>
    <w:rsid w:val="0059422D"/>
    <w:rsid w:val="00597438"/>
    <w:rsid w:val="005B7634"/>
    <w:rsid w:val="005C665C"/>
    <w:rsid w:val="005D71B7"/>
    <w:rsid w:val="005E1310"/>
    <w:rsid w:val="005E447B"/>
    <w:rsid w:val="006048A0"/>
    <w:rsid w:val="00611BD1"/>
    <w:rsid w:val="00637BD5"/>
    <w:rsid w:val="0064325C"/>
    <w:rsid w:val="00655B9B"/>
    <w:rsid w:val="00670CAE"/>
    <w:rsid w:val="00676F34"/>
    <w:rsid w:val="00687803"/>
    <w:rsid w:val="006B5044"/>
    <w:rsid w:val="006E2CE1"/>
    <w:rsid w:val="006E3538"/>
    <w:rsid w:val="006E7087"/>
    <w:rsid w:val="006F4138"/>
    <w:rsid w:val="006F7C35"/>
    <w:rsid w:val="007930BD"/>
    <w:rsid w:val="007E3D41"/>
    <w:rsid w:val="007E57D0"/>
    <w:rsid w:val="007F2D94"/>
    <w:rsid w:val="0080623A"/>
    <w:rsid w:val="00847828"/>
    <w:rsid w:val="00857274"/>
    <w:rsid w:val="00863C7F"/>
    <w:rsid w:val="00896170"/>
    <w:rsid w:val="008A3B59"/>
    <w:rsid w:val="008A7C48"/>
    <w:rsid w:val="00905693"/>
    <w:rsid w:val="00940FC6"/>
    <w:rsid w:val="009B7035"/>
    <w:rsid w:val="009B73A0"/>
    <w:rsid w:val="009C4F54"/>
    <w:rsid w:val="009E1AE8"/>
    <w:rsid w:val="00A23524"/>
    <w:rsid w:val="00A45871"/>
    <w:rsid w:val="00A47939"/>
    <w:rsid w:val="00A80A05"/>
    <w:rsid w:val="00AB76E6"/>
    <w:rsid w:val="00AC6FCE"/>
    <w:rsid w:val="00AD1999"/>
    <w:rsid w:val="00B01184"/>
    <w:rsid w:val="00B04C0F"/>
    <w:rsid w:val="00B34758"/>
    <w:rsid w:val="00B45204"/>
    <w:rsid w:val="00B652DE"/>
    <w:rsid w:val="00B87DCD"/>
    <w:rsid w:val="00B95B2A"/>
    <w:rsid w:val="00BB315A"/>
    <w:rsid w:val="00BC0ABC"/>
    <w:rsid w:val="00BC70D9"/>
    <w:rsid w:val="00BE212A"/>
    <w:rsid w:val="00BF3596"/>
    <w:rsid w:val="00C3749B"/>
    <w:rsid w:val="00C65D50"/>
    <w:rsid w:val="00CA36FB"/>
    <w:rsid w:val="00CE1170"/>
    <w:rsid w:val="00D60F13"/>
    <w:rsid w:val="00D62363"/>
    <w:rsid w:val="00D8106F"/>
    <w:rsid w:val="00E35C55"/>
    <w:rsid w:val="00E55D18"/>
    <w:rsid w:val="00E62555"/>
    <w:rsid w:val="00E80D99"/>
    <w:rsid w:val="00EA0BFC"/>
    <w:rsid w:val="00EA3D4E"/>
    <w:rsid w:val="00ED39EB"/>
    <w:rsid w:val="00F1465E"/>
    <w:rsid w:val="00F20FD7"/>
    <w:rsid w:val="00F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44FE"/>
  <w15:chartTrackingRefBased/>
  <w15:docId w15:val="{B2285B34-B8F6-43ED-B59B-14AC6400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0A0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E6255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Rcsostblzat">
    <w:name w:val="Table Grid"/>
    <w:basedOn w:val="Normltblzat"/>
    <w:uiPriority w:val="59"/>
    <w:rsid w:val="00E6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Tárkányi</dc:creator>
  <cp:keywords/>
  <dc:description/>
  <cp:lastModifiedBy>Gábor Tárkányi</cp:lastModifiedBy>
  <cp:revision>23</cp:revision>
  <dcterms:created xsi:type="dcterms:W3CDTF">2020-04-27T10:38:00Z</dcterms:created>
  <dcterms:modified xsi:type="dcterms:W3CDTF">2020-09-02T11:05:00Z</dcterms:modified>
</cp:coreProperties>
</file>