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0B6C" w14:textId="25F67564" w:rsidR="006076DF" w:rsidRDefault="006076DF" w:rsidP="006076DF">
      <w:pPr>
        <w:jc w:val="both"/>
        <w:rPr>
          <w:szCs w:val="24"/>
        </w:rPr>
      </w:pPr>
      <w:r>
        <w:rPr>
          <w:noProof/>
        </w:rPr>
        <w:drawing>
          <wp:inline distT="0" distB="0" distL="0" distR="0" wp14:anchorId="773C639D" wp14:editId="33B8431A">
            <wp:extent cx="8679180" cy="4267200"/>
            <wp:effectExtent l="0" t="0" r="762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18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Cs w:val="24"/>
        </w:rPr>
        <w:t xml:space="preserve">Supplemental </w:t>
      </w:r>
      <w:r w:rsidRPr="00072967">
        <w:rPr>
          <w:rFonts w:asciiTheme="majorBidi" w:hAnsiTheme="majorBidi" w:cstheme="majorBidi"/>
          <w:b/>
          <w:bCs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Cs w:val="24"/>
        </w:rPr>
        <w:t>1</w:t>
      </w:r>
      <w:r w:rsidRPr="00E064ED">
        <w:rPr>
          <w:b/>
          <w:bCs/>
        </w:rPr>
        <w:t>. Monitoring of blast cells in peripheral blood in engrafted transgenic mice</w:t>
      </w:r>
      <w:r>
        <w:rPr>
          <w:b/>
          <w:bCs/>
        </w:rPr>
        <w:t xml:space="preserve">. </w:t>
      </w:r>
      <w:r w:rsidRPr="00E064ED">
        <w:rPr>
          <w:b/>
          <w:bCs/>
        </w:rPr>
        <w:t xml:space="preserve">A) K562-Luc (AML cell line) in control versus fb-PMT treated mice at different doses over 21 days during treatment and over 14 days post-treatment. </w:t>
      </w:r>
      <w:r w:rsidRPr="00E064ED">
        <w:t xml:space="preserve">fb-PMT at 1, 3, and 10 mg/kg, subcutaneous daily for 21 days, prevented blast cell expression/reproduction by 35%, 65%, and &gt;95%, respectively, compared to controls. OFF treatment, fb-PMT (10 mg/kg) shows maintained remission. </w:t>
      </w:r>
      <w:r w:rsidRPr="00E064ED">
        <w:rPr>
          <w:b/>
          <w:bCs/>
        </w:rPr>
        <w:t xml:space="preserve">B) Primary AML cells (6373-FlT3-ITD) cells in peripheral blood in control versus fb-PMT treated mice through 28 days and 14 days post-treatment. </w:t>
      </w:r>
      <w:r w:rsidRPr="00E064ED">
        <w:t xml:space="preserve">fb-PMT at 1, 3, and 10 mg/kg, subcutaneous daily for 28 days, prevented abnormal blast cell expression/reproduction by 54%, 75%, and 90.5%, respectively, compared to controls. fb-PMT treated mice (10 mg/kg) were in full remission after discontinuation of treatment for 2 weeks, </w:t>
      </w:r>
      <w:r w:rsidRPr="00E064ED">
        <w:rPr>
          <w:szCs w:val="24"/>
        </w:rPr>
        <w:t>(***</w:t>
      </w:r>
      <w:r w:rsidRPr="00E064ED">
        <w:rPr>
          <w:i/>
          <w:iCs/>
          <w:szCs w:val="24"/>
        </w:rPr>
        <w:t>P</w:t>
      </w:r>
      <w:r w:rsidRPr="00E064ED">
        <w:rPr>
          <w:szCs w:val="24"/>
        </w:rPr>
        <w:t>&lt;0.0001, **</w:t>
      </w:r>
      <w:r w:rsidRPr="00E064ED">
        <w:rPr>
          <w:i/>
          <w:iCs/>
          <w:szCs w:val="24"/>
        </w:rPr>
        <w:t>P</w:t>
      </w:r>
      <w:r w:rsidRPr="00E064ED">
        <w:rPr>
          <w:szCs w:val="24"/>
        </w:rPr>
        <w:t>&lt;0.001, *</w:t>
      </w:r>
      <w:r w:rsidRPr="00E064ED">
        <w:rPr>
          <w:i/>
          <w:iCs/>
          <w:szCs w:val="24"/>
        </w:rPr>
        <w:t>P</w:t>
      </w:r>
      <w:r w:rsidRPr="00E064ED">
        <w:rPr>
          <w:szCs w:val="24"/>
        </w:rPr>
        <w:t>&lt;0.01).</w:t>
      </w:r>
    </w:p>
    <w:p w14:paraId="7B0248A1" w14:textId="4495FE08" w:rsidR="00E040A1" w:rsidRDefault="00E040A1" w:rsidP="006076DF">
      <w:pPr>
        <w:jc w:val="both"/>
        <w:rPr>
          <w:szCs w:val="24"/>
        </w:rPr>
      </w:pPr>
    </w:p>
    <w:p w14:paraId="493F513F" w14:textId="7AB39270" w:rsidR="00E040A1" w:rsidRPr="00CA09DB" w:rsidRDefault="000D63C6" w:rsidP="006076DF">
      <w:pPr>
        <w:jc w:val="both"/>
        <w:rPr>
          <w:rFonts w:asciiTheme="majorHAnsi" w:hAnsiTheme="majorHAnsi" w:cstheme="majorHAnsi"/>
          <w:sz w:val="24"/>
          <w:szCs w:val="28"/>
        </w:rPr>
      </w:pPr>
      <w:r w:rsidRPr="00CA09DB">
        <w:rPr>
          <w:rFonts w:asciiTheme="majorHAnsi" w:hAnsiTheme="majorHAnsi" w:cstheme="majorHAnsi"/>
          <w:b/>
          <w:bCs/>
          <w:sz w:val="20"/>
        </w:rPr>
        <w:lastRenderedPageBreak/>
        <w:t>Supplemental</w:t>
      </w:r>
      <w:r w:rsidRPr="00CA09DB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figure </w:t>
      </w:r>
      <w:r w:rsidR="00CA09DB" w:rsidRPr="00CA09DB">
        <w:rPr>
          <w:rFonts w:asciiTheme="majorHAnsi" w:hAnsiTheme="majorHAnsi" w:cstheme="majorHAnsi"/>
          <w:b/>
          <w:bCs/>
          <w:sz w:val="20"/>
        </w:rPr>
        <w:t>2</w:t>
      </w:r>
    </w:p>
    <w:p w14:paraId="75D5CD5D" w14:textId="77777777" w:rsidR="00E040A1" w:rsidRDefault="00E040A1" w:rsidP="00E040A1">
      <w:pPr>
        <w:jc w:val="center"/>
        <w:rPr>
          <w:rFonts w:asciiTheme="majorBidi" w:hAnsiTheme="majorBidi" w:cstheme="majorBidi"/>
          <w:b/>
          <w:bCs/>
          <w:szCs w:val="24"/>
        </w:rPr>
      </w:pPr>
      <w:r>
        <w:rPr>
          <w:noProof/>
        </w:rPr>
        <w:drawing>
          <wp:inline distT="0" distB="0" distL="0" distR="0" wp14:anchorId="035E443A" wp14:editId="0FA7F850">
            <wp:extent cx="6567821" cy="353695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71" cy="35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F7A5" w14:textId="0AA84E70" w:rsidR="00E040A1" w:rsidRPr="00CA09DB" w:rsidRDefault="00E040A1" w:rsidP="00E040A1">
      <w:pPr>
        <w:jc w:val="both"/>
        <w:rPr>
          <w:b/>
          <w:bCs/>
          <w:sz w:val="20"/>
          <w:szCs w:val="20"/>
        </w:rPr>
      </w:pPr>
      <w:r w:rsidRPr="00CA09DB">
        <w:rPr>
          <w:rFonts w:asciiTheme="majorBidi" w:hAnsiTheme="majorBidi" w:cstheme="majorBidi"/>
          <w:b/>
          <w:bCs/>
          <w:sz w:val="20"/>
        </w:rPr>
        <w:t>Supplemental</w:t>
      </w:r>
      <w:r w:rsidRPr="00CA09DB">
        <w:rPr>
          <w:b/>
          <w:bCs/>
          <w:sz w:val="20"/>
          <w:szCs w:val="20"/>
        </w:rPr>
        <w:t xml:space="preserve"> 2. Blood smear from transgenic mice engrafted with leukemic cells. A) K562 cells in peripheral blood (PB) cells, control blood smears versus fb-PMT treated mice at different doses. </w:t>
      </w:r>
      <w:r w:rsidRPr="00CA09DB">
        <w:rPr>
          <w:sz w:val="20"/>
          <w:szCs w:val="20"/>
        </w:rPr>
        <w:t xml:space="preserve">Blast cells appeared in the blood smears of NSG-S mice after 10 days. After 21 days of fb-PMT daily subcutaneous injection, the control group showed many blast cells in the peripheral blood, while fb-PMT (1, 3, and 10 mg/kg) treated mice showed a significant decrease in the blast cells by 35%, 65%, and &gt;95%, respectively. The decrease of blast cell percentage in the peripheral blood was </w:t>
      </w:r>
      <w:proofErr w:type="gramStart"/>
      <w:r w:rsidRPr="00CA09DB">
        <w:rPr>
          <w:sz w:val="20"/>
          <w:szCs w:val="20"/>
        </w:rPr>
        <w:t>dose-dependent</w:t>
      </w:r>
      <w:proofErr w:type="gramEnd"/>
      <w:r w:rsidRPr="00CA09DB">
        <w:rPr>
          <w:sz w:val="20"/>
          <w:szCs w:val="20"/>
        </w:rPr>
        <w:t xml:space="preserve">. </w:t>
      </w:r>
      <w:r w:rsidRPr="00CA09DB">
        <w:rPr>
          <w:b/>
          <w:bCs/>
          <w:sz w:val="20"/>
          <w:szCs w:val="20"/>
        </w:rPr>
        <w:t xml:space="preserve">Left side shows blast cells in peripheral blood in fb-PMT treated animals at different doses ON 21 Days and ON+OFF treatment for 14 days and right side shows representative K562-Luc AML control blood smears versus fb-PMT (10 mg/kg) treated animal cells. </w:t>
      </w:r>
      <w:r w:rsidRPr="00CA09DB">
        <w:rPr>
          <w:sz w:val="20"/>
          <w:szCs w:val="20"/>
        </w:rPr>
        <w:t xml:space="preserve">Control group showed immature cells with prominent nucleoli (blast cells) in the peripheral blood. fb-PMT (10 mg/kg) treated animal showed segmented neutrophils with absent blast cells, after 21 days of daily subcutaneous injection. fb-PMT (10 mg/kg) maintained remission after 2 weeks discontinuation. </w:t>
      </w:r>
      <w:r w:rsidRPr="00CA09DB">
        <w:rPr>
          <w:b/>
          <w:bCs/>
          <w:sz w:val="20"/>
          <w:szCs w:val="20"/>
        </w:rPr>
        <w:t xml:space="preserve">B) Primary AML cells (6373-FlT3-ITD), </w:t>
      </w:r>
      <w:r w:rsidRPr="00CA09DB">
        <w:rPr>
          <w:sz w:val="20"/>
          <w:szCs w:val="20"/>
        </w:rPr>
        <w:t xml:space="preserve">fb-PMT treated at 1, 3, and 10 mg/kg subcutaneous daily for 28 days and 14 days OFF treatment prevented blast cell expression/reproduction by 54%, 75%, and 90.5%, respectively, compared to controls. Right side shows representative image from control group with immature cells and prominent nucleoli (blast cells) in the peripheral blood where fb-PMT (10 mg/kg) treated animal shows segmented neutrophils with absent blast cells. OFF study, 14 days post-treatment, fb-PMT (10 mg/kg) showed successful maintained remission. </w:t>
      </w:r>
    </w:p>
    <w:p w14:paraId="715F4D34" w14:textId="053D819F" w:rsidR="006076DF" w:rsidRDefault="006076DF" w:rsidP="00316A6F">
      <w:pPr>
        <w:tabs>
          <w:tab w:val="left" w:pos="5784"/>
        </w:tabs>
        <w:sectPr w:rsidR="006076DF" w:rsidSect="006076D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F5CED58" w14:textId="217074C9" w:rsidR="006076DF" w:rsidRPr="006076DF" w:rsidRDefault="006076DF" w:rsidP="006076DF">
      <w:pPr>
        <w:tabs>
          <w:tab w:val="left" w:pos="5784"/>
        </w:tabs>
        <w:jc w:val="both"/>
      </w:pPr>
      <w:r>
        <w:rPr>
          <w:noProof/>
        </w:rPr>
        <w:lastRenderedPageBreak/>
        <w:drawing>
          <wp:inline distT="0" distB="0" distL="0" distR="0" wp14:anchorId="4BDBB39B" wp14:editId="1DEC9ED2">
            <wp:extent cx="8229600" cy="4629150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Cs w:val="24"/>
        </w:rPr>
        <w:t xml:space="preserve">Supplemental </w:t>
      </w:r>
      <w:r w:rsidRPr="00072967">
        <w:rPr>
          <w:rFonts w:asciiTheme="majorBidi" w:hAnsiTheme="majorBidi" w:cstheme="majorBidi"/>
          <w:b/>
          <w:bCs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Cs w:val="24"/>
        </w:rPr>
        <w:t>3</w:t>
      </w:r>
      <w:r w:rsidRPr="00AC7E73">
        <w:rPr>
          <w:rFonts w:asciiTheme="majorBidi" w:hAnsiTheme="majorBidi" w:cstheme="majorBidi"/>
          <w:b/>
          <w:bCs/>
          <w:szCs w:val="24"/>
        </w:rPr>
        <w:t xml:space="preserve">. IVIS scans of different organs in transgenic mice engrafted with AML K562-Luc and sacrificed after 23 days of fb-PMT (ON treatment). </w:t>
      </w:r>
      <w:r w:rsidRPr="00AC7E73">
        <w:rPr>
          <w:rFonts w:asciiTheme="majorBidi" w:hAnsiTheme="majorBidi" w:cstheme="majorBidi"/>
          <w:szCs w:val="24"/>
        </w:rPr>
        <w:t>fb-PMT at 1, 3 and 10 mg fb-PMT treatment, markedly reduced brain, lung, liver, and spleen infiltration with leukemic cells in dose dependent manner</w:t>
      </w:r>
      <w:r>
        <w:rPr>
          <w:rFonts w:asciiTheme="majorBidi" w:hAnsiTheme="majorBidi" w:cstheme="majorBidi"/>
          <w:szCs w:val="24"/>
        </w:rPr>
        <w:t xml:space="preserve"> (</w:t>
      </w:r>
      <w:r w:rsidRPr="00E064ED">
        <w:rPr>
          <w:szCs w:val="24"/>
        </w:rPr>
        <w:t>***</w:t>
      </w:r>
      <w:r w:rsidRPr="00E064ED">
        <w:rPr>
          <w:i/>
          <w:iCs/>
          <w:szCs w:val="24"/>
        </w:rPr>
        <w:t>P</w:t>
      </w:r>
      <w:r w:rsidRPr="00E064ED">
        <w:rPr>
          <w:szCs w:val="24"/>
        </w:rPr>
        <w:t>&lt;0.0001</w:t>
      </w:r>
      <w:r>
        <w:rPr>
          <w:szCs w:val="24"/>
        </w:rPr>
        <w:t>).</w:t>
      </w:r>
    </w:p>
    <w:p w14:paraId="7D690148" w14:textId="1995B030" w:rsidR="006076DF" w:rsidRDefault="006076DF" w:rsidP="006076DF">
      <w:pPr>
        <w:tabs>
          <w:tab w:val="left" w:pos="5784"/>
        </w:tabs>
      </w:pPr>
    </w:p>
    <w:p w14:paraId="1E94E95F" w14:textId="1F27E1F4" w:rsidR="006076DF" w:rsidRDefault="006076DF" w:rsidP="006076DF">
      <w:pPr>
        <w:tabs>
          <w:tab w:val="left" w:pos="5784"/>
        </w:tabs>
      </w:pPr>
    </w:p>
    <w:p w14:paraId="58140C48" w14:textId="7379A42B" w:rsidR="000D63C6" w:rsidRPr="000D63C6" w:rsidRDefault="000D63C6" w:rsidP="000D63C6">
      <w:pPr>
        <w:jc w:val="both"/>
        <w:rPr>
          <w:rFonts w:asciiTheme="majorHAnsi" w:hAnsiTheme="majorHAnsi" w:cstheme="majorHAnsi"/>
          <w:sz w:val="24"/>
          <w:szCs w:val="28"/>
        </w:rPr>
      </w:pPr>
      <w:r w:rsidRPr="00CA09DB">
        <w:rPr>
          <w:rFonts w:asciiTheme="majorHAnsi" w:hAnsiTheme="majorHAnsi" w:cstheme="majorHAnsi"/>
          <w:b/>
          <w:bCs/>
          <w:sz w:val="20"/>
        </w:rPr>
        <w:lastRenderedPageBreak/>
        <w:t>Supplemental</w:t>
      </w:r>
      <w:r w:rsidRPr="00CA09DB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figure </w:t>
      </w:r>
      <w:r>
        <w:rPr>
          <w:rFonts w:asciiTheme="majorHAnsi" w:hAnsiTheme="majorHAnsi" w:cstheme="majorHAnsi"/>
          <w:b/>
          <w:bCs/>
          <w:sz w:val="20"/>
        </w:rPr>
        <w:t>4</w:t>
      </w:r>
    </w:p>
    <w:p w14:paraId="3F8D66C0" w14:textId="6CB0F709" w:rsidR="006076DF" w:rsidRDefault="000D63C6" w:rsidP="006076DF">
      <w:pPr>
        <w:tabs>
          <w:tab w:val="left" w:pos="5784"/>
        </w:tabs>
      </w:pPr>
      <w:r>
        <w:rPr>
          <w:noProof/>
        </w:rPr>
        <w:drawing>
          <wp:inline distT="0" distB="0" distL="0" distR="0" wp14:anchorId="5C021871" wp14:editId="32BB9F11">
            <wp:extent cx="8229600" cy="4629150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DF6C" w14:textId="13CFF878" w:rsidR="000D63C6" w:rsidRPr="000D63C6" w:rsidRDefault="000D63C6" w:rsidP="000D63C6">
      <w:pPr>
        <w:jc w:val="both"/>
        <w:rPr>
          <w:rFonts w:asciiTheme="majorHAnsi" w:hAnsiTheme="majorHAnsi" w:cstheme="majorHAnsi"/>
          <w:sz w:val="24"/>
          <w:szCs w:val="28"/>
        </w:rPr>
      </w:pPr>
      <w:r w:rsidRPr="000D63C6">
        <w:rPr>
          <w:rFonts w:asciiTheme="majorBidi" w:hAnsiTheme="majorBidi" w:cstheme="majorBidi"/>
          <w:b/>
          <w:bCs/>
          <w:szCs w:val="24"/>
        </w:rPr>
        <w:t xml:space="preserve">Supplemental </w:t>
      </w:r>
      <w:r w:rsidR="00DD2FB3">
        <w:rPr>
          <w:rFonts w:asciiTheme="majorBidi" w:hAnsiTheme="majorBidi" w:cstheme="majorBidi"/>
          <w:b/>
          <w:bCs/>
          <w:szCs w:val="24"/>
        </w:rPr>
        <w:t>F</w:t>
      </w:r>
      <w:r w:rsidRPr="000D63C6">
        <w:rPr>
          <w:rFonts w:asciiTheme="majorBidi" w:hAnsiTheme="majorBidi" w:cstheme="majorBidi"/>
          <w:b/>
          <w:bCs/>
          <w:szCs w:val="24"/>
        </w:rPr>
        <w:t>igure 4.</w:t>
      </w:r>
      <w:r>
        <w:rPr>
          <w:rFonts w:asciiTheme="majorBidi" w:hAnsiTheme="majorBidi" w:cstheme="majorBidi"/>
          <w:b/>
          <w:bCs/>
        </w:rPr>
        <w:t xml:space="preserve"> Identification and characterization of the 25-gene fb-PMT-induced expression signature in K562 cells.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</w:rPr>
        <w:t>A)</w:t>
      </w:r>
      <w:r>
        <w:rPr>
          <w:rFonts w:asciiTheme="majorBidi" w:hAnsiTheme="majorBidi" w:cstheme="majorBidi"/>
        </w:rPr>
        <w:t xml:space="preserve"> Integration into different functional categories of fb-PMT treatment-induced gene expression signatures (GES) as reported in Table 1. </w:t>
      </w:r>
      <w:r>
        <w:rPr>
          <w:rFonts w:asciiTheme="majorBidi" w:hAnsiTheme="majorBidi" w:cstheme="majorBidi"/>
          <w:b/>
          <w:bCs/>
        </w:rPr>
        <w:t>B)</w:t>
      </w:r>
      <w:r>
        <w:rPr>
          <w:rFonts w:asciiTheme="majorBidi" w:hAnsiTheme="majorBidi" w:cstheme="majorBidi"/>
        </w:rPr>
        <w:t xml:space="preserve"> GSEA of 25-gene GES using the TF perturbations followed by expression database. </w:t>
      </w:r>
      <w:r>
        <w:rPr>
          <w:rFonts w:asciiTheme="majorBidi" w:hAnsiTheme="majorBidi" w:cstheme="majorBidi"/>
          <w:b/>
          <w:bCs/>
        </w:rPr>
        <w:t>C)</w:t>
      </w:r>
      <w:r>
        <w:rPr>
          <w:rFonts w:asciiTheme="majorBidi" w:hAnsiTheme="majorBidi" w:cstheme="majorBidi"/>
        </w:rPr>
        <w:t xml:space="preserve"> GSEA of 25-gene GES using the Gene perturbations from gene expression omnibus (GEO) database focused on up-regulated genes. </w:t>
      </w:r>
      <w:r>
        <w:rPr>
          <w:rFonts w:asciiTheme="majorBidi" w:hAnsiTheme="majorBidi" w:cstheme="majorBidi"/>
          <w:b/>
          <w:bCs/>
        </w:rPr>
        <w:t>D)</w:t>
      </w:r>
      <w:r>
        <w:rPr>
          <w:rFonts w:asciiTheme="majorBidi" w:hAnsiTheme="majorBidi" w:cstheme="majorBidi"/>
        </w:rPr>
        <w:t xml:space="preserve"> GSEA of 25-gene GES using the GEO database focused on down-regulated genes. Numbers shown next to the bar graphs report the values of Cumulative scores (Methods).</w:t>
      </w:r>
    </w:p>
    <w:p w14:paraId="47BB12BB" w14:textId="7E1B0991" w:rsidR="000D63C6" w:rsidRPr="000D63C6" w:rsidRDefault="000D63C6" w:rsidP="000D63C6">
      <w:pPr>
        <w:jc w:val="both"/>
        <w:rPr>
          <w:rFonts w:asciiTheme="majorHAnsi" w:hAnsiTheme="majorHAnsi" w:cstheme="majorHAnsi"/>
          <w:sz w:val="24"/>
          <w:szCs w:val="28"/>
        </w:rPr>
      </w:pPr>
      <w:r w:rsidRPr="00CA09DB">
        <w:rPr>
          <w:rFonts w:asciiTheme="majorHAnsi" w:hAnsiTheme="majorHAnsi" w:cstheme="majorHAnsi"/>
          <w:b/>
          <w:bCs/>
          <w:sz w:val="20"/>
        </w:rPr>
        <w:lastRenderedPageBreak/>
        <w:t>Supplemental</w:t>
      </w:r>
      <w:r w:rsidRPr="00CA09DB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figure </w:t>
      </w:r>
      <w:r>
        <w:rPr>
          <w:rFonts w:asciiTheme="majorHAnsi" w:hAnsiTheme="majorHAnsi" w:cstheme="majorHAnsi"/>
          <w:b/>
          <w:bCs/>
          <w:sz w:val="20"/>
        </w:rPr>
        <w:t>5</w:t>
      </w:r>
    </w:p>
    <w:p w14:paraId="7D30127E" w14:textId="4E8E64BA" w:rsidR="000D63C6" w:rsidRDefault="000D63C6" w:rsidP="006076DF">
      <w:pPr>
        <w:tabs>
          <w:tab w:val="left" w:pos="5784"/>
        </w:tabs>
      </w:pPr>
      <w:r>
        <w:rPr>
          <w:noProof/>
        </w:rPr>
        <w:drawing>
          <wp:inline distT="0" distB="0" distL="0" distR="0" wp14:anchorId="13043E30" wp14:editId="3E95F692">
            <wp:extent cx="8229600" cy="4629150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C598" w14:textId="27484468" w:rsidR="000D63C6" w:rsidRDefault="000D63C6" w:rsidP="000D63C6">
      <w:pPr>
        <w:jc w:val="both"/>
        <w:rPr>
          <w:rFonts w:asciiTheme="majorHAnsi" w:hAnsiTheme="majorHAnsi" w:cstheme="majorHAnsi"/>
          <w:sz w:val="24"/>
          <w:szCs w:val="28"/>
        </w:rPr>
      </w:pPr>
      <w:r w:rsidRPr="000D63C6">
        <w:rPr>
          <w:rFonts w:asciiTheme="majorBidi" w:hAnsiTheme="majorBidi" w:cstheme="majorBidi"/>
          <w:b/>
          <w:bCs/>
        </w:rPr>
        <w:t xml:space="preserve">Supplemental </w:t>
      </w:r>
      <w:r w:rsidR="00DD2FB3">
        <w:rPr>
          <w:rFonts w:asciiTheme="majorBidi" w:hAnsiTheme="majorBidi" w:cstheme="majorBidi"/>
          <w:b/>
          <w:bCs/>
        </w:rPr>
        <w:t>F</w:t>
      </w:r>
      <w:r w:rsidRPr="000D63C6">
        <w:rPr>
          <w:rFonts w:asciiTheme="majorBidi" w:hAnsiTheme="majorBidi" w:cstheme="majorBidi"/>
          <w:b/>
          <w:bCs/>
        </w:rPr>
        <w:t>igure 5.</w:t>
      </w:r>
      <w:r>
        <w:rPr>
          <w:rFonts w:asciiTheme="majorBidi" w:hAnsiTheme="majorBidi" w:cstheme="majorBidi"/>
          <w:b/>
          <w:bCs/>
        </w:rPr>
        <w:t xml:space="preserve"> Networks and Ligands associated with the 25-gene fb-PMT-induced expression signature in K562 cells.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</w:rPr>
        <w:t>A)</w:t>
      </w:r>
      <w:r>
        <w:rPr>
          <w:rFonts w:asciiTheme="majorBidi" w:hAnsiTheme="majorBidi" w:cstheme="majorBidi"/>
        </w:rPr>
        <w:t xml:space="preserve"> Affected genomic regulatory networks revealed by the GSEA of the Gene perturbations from gene expression omnibus (GEO) database focused on up-regulated (left) and down-regulated (right) genes. </w:t>
      </w:r>
      <w:r>
        <w:rPr>
          <w:rFonts w:asciiTheme="majorBidi" w:hAnsiTheme="majorBidi" w:cstheme="majorBidi"/>
          <w:b/>
          <w:bCs/>
        </w:rPr>
        <w:t>B)</w:t>
      </w:r>
      <w:r>
        <w:rPr>
          <w:rFonts w:asciiTheme="majorBidi" w:hAnsiTheme="majorBidi" w:cstheme="majorBidi"/>
        </w:rPr>
        <w:t xml:space="preserve"> GSEA of the Ligand perturbations from GEO database focused on up-regulated genes. </w:t>
      </w:r>
      <w:r>
        <w:rPr>
          <w:rFonts w:asciiTheme="majorBidi" w:hAnsiTheme="majorBidi" w:cstheme="majorBidi"/>
          <w:b/>
          <w:bCs/>
        </w:rPr>
        <w:t>C)</w:t>
      </w:r>
      <w:r>
        <w:rPr>
          <w:rFonts w:asciiTheme="majorBidi" w:hAnsiTheme="majorBidi" w:cstheme="majorBidi"/>
        </w:rPr>
        <w:t xml:space="preserve"> GSEA of the Ligand perturbations from GEO database focused on down-regulated genes. Numbers shown next to the bar graphs report the values of Cumulative scores (Methods). </w:t>
      </w:r>
      <w:r>
        <w:rPr>
          <w:rFonts w:asciiTheme="majorBidi" w:hAnsiTheme="majorBidi" w:cstheme="majorBidi"/>
          <w:b/>
          <w:bCs/>
        </w:rPr>
        <w:t>D)</w:t>
      </w:r>
      <w:r>
        <w:rPr>
          <w:rFonts w:asciiTheme="majorBidi" w:hAnsiTheme="majorBidi" w:cstheme="majorBidi"/>
        </w:rPr>
        <w:t xml:space="preserve"> </w:t>
      </w:r>
      <w:r>
        <w:rPr>
          <w:rFonts w:eastAsiaTheme="minorEastAsia" w:hAnsi="Calibr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bCs/>
        </w:rPr>
        <w:t>fb-PMT gene expression signature in K562 cells</w:t>
      </w:r>
    </w:p>
    <w:p w14:paraId="610C1300" w14:textId="2F1B7123" w:rsidR="000D63C6" w:rsidRDefault="000D63C6" w:rsidP="000D63C6">
      <w:pPr>
        <w:jc w:val="both"/>
        <w:rPr>
          <w:rFonts w:asciiTheme="majorHAnsi" w:hAnsiTheme="majorHAnsi" w:cstheme="majorHAnsi"/>
          <w:b/>
          <w:bCs/>
          <w:sz w:val="20"/>
        </w:rPr>
      </w:pPr>
      <w:r w:rsidRPr="00CA09DB">
        <w:rPr>
          <w:rFonts w:asciiTheme="majorHAnsi" w:hAnsiTheme="majorHAnsi" w:cstheme="majorHAnsi"/>
          <w:b/>
          <w:bCs/>
          <w:sz w:val="20"/>
        </w:rPr>
        <w:lastRenderedPageBreak/>
        <w:t>Supplemental</w:t>
      </w:r>
      <w:r w:rsidRPr="00CA09DB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figure </w:t>
      </w:r>
      <w:r>
        <w:rPr>
          <w:rFonts w:asciiTheme="majorHAnsi" w:hAnsiTheme="majorHAnsi" w:cstheme="majorHAnsi"/>
          <w:b/>
          <w:bCs/>
          <w:sz w:val="20"/>
        </w:rPr>
        <w:t>6</w:t>
      </w:r>
    </w:p>
    <w:p w14:paraId="4AD0228E" w14:textId="4EED53BD" w:rsidR="000D63C6" w:rsidRPr="000D63C6" w:rsidRDefault="000D63C6" w:rsidP="000D63C6">
      <w:p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noProof/>
          <w:sz w:val="24"/>
          <w:szCs w:val="28"/>
        </w:rPr>
        <w:drawing>
          <wp:inline distT="0" distB="0" distL="0" distR="0" wp14:anchorId="01B25F44" wp14:editId="4AED4740">
            <wp:extent cx="8229600" cy="4629150"/>
            <wp:effectExtent l="0" t="0" r="0" b="0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C1A6" w14:textId="179FE212" w:rsidR="000D63C6" w:rsidRPr="000D63C6" w:rsidRDefault="000D63C6" w:rsidP="000D63C6">
      <w:pPr>
        <w:jc w:val="both"/>
        <w:rPr>
          <w:rFonts w:asciiTheme="majorHAnsi" w:hAnsiTheme="majorHAnsi" w:cstheme="majorHAnsi"/>
          <w:b/>
          <w:bCs/>
          <w:sz w:val="20"/>
        </w:rPr>
      </w:pPr>
      <w:r w:rsidRPr="000D63C6">
        <w:rPr>
          <w:rFonts w:asciiTheme="majorBidi" w:hAnsiTheme="majorBidi" w:cstheme="majorBidi"/>
          <w:b/>
          <w:bCs/>
        </w:rPr>
        <w:t xml:space="preserve">Supplemental </w:t>
      </w:r>
      <w:r w:rsidR="00DD2FB3">
        <w:rPr>
          <w:rFonts w:asciiTheme="majorBidi" w:hAnsiTheme="majorBidi" w:cstheme="majorBidi"/>
          <w:b/>
          <w:bCs/>
        </w:rPr>
        <w:t>F</w:t>
      </w:r>
      <w:r w:rsidRPr="000D63C6">
        <w:rPr>
          <w:rFonts w:asciiTheme="majorBidi" w:hAnsiTheme="majorBidi" w:cstheme="majorBidi"/>
          <w:b/>
          <w:bCs/>
        </w:rPr>
        <w:t>igure 6.</w:t>
      </w:r>
      <w:r>
        <w:rPr>
          <w:rFonts w:asciiTheme="majorBidi" w:hAnsiTheme="majorBidi" w:cstheme="majorBidi"/>
          <w:b/>
          <w:bCs/>
        </w:rPr>
        <w:t xml:space="preserve"> Examples of the specific genes and pathways of potential functional significance revealed by the GSEA of 233 genes down-regulated in KG1a cells after fb-PMT treatment.</w:t>
      </w:r>
      <w:r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  <w:b/>
          <w:bCs/>
        </w:rPr>
        <w:t>A)</w:t>
      </w:r>
      <w:r>
        <w:rPr>
          <w:rFonts w:asciiTheme="majorBidi" w:hAnsiTheme="majorBidi" w:cstheme="majorBidi"/>
        </w:rPr>
        <w:t xml:space="preserve"> Functionally significant genes down-regulated by fb-PMT treatment in KG1a human AML cells. </w:t>
      </w:r>
      <w:r>
        <w:rPr>
          <w:rFonts w:asciiTheme="majorBidi" w:hAnsiTheme="majorBidi" w:cstheme="majorBidi"/>
          <w:b/>
          <w:bCs/>
        </w:rPr>
        <w:t>B)</w:t>
      </w:r>
      <w:r>
        <w:rPr>
          <w:rFonts w:asciiTheme="majorBidi" w:hAnsiTheme="majorBidi" w:cstheme="majorBidi"/>
        </w:rPr>
        <w:t xml:space="preserve"> GSEA of the TF Perturbations Followed by Expression database (top 30 of 84 significant records). </w:t>
      </w:r>
      <w:r>
        <w:rPr>
          <w:rFonts w:asciiTheme="majorBidi" w:hAnsiTheme="majorBidi" w:cstheme="majorBidi"/>
          <w:b/>
          <w:bCs/>
        </w:rPr>
        <w:t>C)</w:t>
      </w:r>
      <w:r>
        <w:rPr>
          <w:rFonts w:asciiTheme="majorBidi" w:hAnsiTheme="majorBidi" w:cstheme="majorBidi"/>
        </w:rPr>
        <w:t xml:space="preserve"> GSEA of the LINCS L1000 Ligand Perturbations database of up-regulated genes revealed evidence of molecular interference with functions of multiple growth factors in human cancer cell lines. </w:t>
      </w:r>
      <w:r>
        <w:rPr>
          <w:rFonts w:asciiTheme="majorBidi" w:hAnsiTheme="majorBidi" w:cstheme="majorBidi"/>
          <w:b/>
          <w:bCs/>
        </w:rPr>
        <w:t>D)</w:t>
      </w:r>
      <w:r>
        <w:rPr>
          <w:rFonts w:asciiTheme="majorBidi" w:hAnsiTheme="majorBidi" w:cstheme="majorBidi"/>
        </w:rPr>
        <w:t xml:space="preserve"> GSEA of the KEGG 2019 Human database revealed evidence of targeting multiple cancer pathways (including AML). </w:t>
      </w:r>
    </w:p>
    <w:p w14:paraId="3A71F365" w14:textId="52294B95" w:rsidR="00DD2FB3" w:rsidRPr="00DD2FB3" w:rsidRDefault="00DD2FB3" w:rsidP="00DD2FB3">
      <w:pPr>
        <w:jc w:val="both"/>
        <w:rPr>
          <w:rFonts w:asciiTheme="majorHAnsi" w:hAnsiTheme="majorHAnsi" w:cstheme="majorHAnsi"/>
          <w:b/>
          <w:bCs/>
          <w:sz w:val="20"/>
        </w:rPr>
      </w:pPr>
      <w:r w:rsidRPr="00CA09DB">
        <w:rPr>
          <w:rFonts w:asciiTheme="majorHAnsi" w:hAnsiTheme="majorHAnsi" w:cstheme="majorHAnsi"/>
          <w:b/>
          <w:bCs/>
          <w:sz w:val="20"/>
        </w:rPr>
        <w:lastRenderedPageBreak/>
        <w:t>Supplemental</w:t>
      </w:r>
      <w:r w:rsidRPr="00CA09DB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figure </w:t>
      </w:r>
      <w:r>
        <w:rPr>
          <w:rFonts w:asciiTheme="majorHAnsi" w:hAnsiTheme="majorHAnsi" w:cstheme="majorHAnsi"/>
          <w:b/>
          <w:bCs/>
          <w:sz w:val="20"/>
        </w:rPr>
        <w:t>7</w:t>
      </w:r>
    </w:p>
    <w:p w14:paraId="0D45F37A" w14:textId="17C6A343" w:rsidR="006076DF" w:rsidRDefault="00DD2FB3" w:rsidP="006076DF">
      <w:pPr>
        <w:tabs>
          <w:tab w:val="left" w:pos="5784"/>
        </w:tabs>
      </w:pPr>
      <w:r>
        <w:rPr>
          <w:noProof/>
        </w:rPr>
        <w:drawing>
          <wp:inline distT="0" distB="0" distL="0" distR="0" wp14:anchorId="10CE33CB" wp14:editId="40E61322">
            <wp:extent cx="8229600" cy="4629150"/>
            <wp:effectExtent l="0" t="0" r="0" b="0"/>
            <wp:docPr id="10" name="Picture 1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2851" w14:textId="0CC776C4" w:rsidR="006076DF" w:rsidRPr="006076DF" w:rsidRDefault="006076DF" w:rsidP="006076DF">
      <w:pPr>
        <w:spacing w:line="360" w:lineRule="auto"/>
        <w:contextualSpacing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 xml:space="preserve">Supplemental </w:t>
      </w:r>
      <w:r w:rsidRPr="00072967">
        <w:rPr>
          <w:rFonts w:asciiTheme="majorBidi" w:hAnsiTheme="majorBidi" w:cstheme="majorBidi"/>
          <w:b/>
          <w:bCs/>
          <w:szCs w:val="24"/>
        </w:rPr>
        <w:t xml:space="preserve">Figure </w:t>
      </w:r>
      <w:r w:rsidR="000D63C6">
        <w:rPr>
          <w:rFonts w:asciiTheme="majorBidi" w:hAnsiTheme="majorBidi" w:cstheme="majorBidi"/>
          <w:b/>
          <w:bCs/>
          <w:szCs w:val="24"/>
        </w:rPr>
        <w:t>7</w:t>
      </w:r>
      <w:r w:rsidRPr="00072967">
        <w:rPr>
          <w:rFonts w:asciiTheme="majorBidi" w:hAnsiTheme="majorBidi" w:cstheme="majorBidi"/>
          <w:b/>
          <w:bCs/>
          <w:szCs w:val="24"/>
        </w:rPr>
        <w:t xml:space="preserve">. Identification and characterization of the 39-gene </w:t>
      </w:r>
      <w:r w:rsidRPr="00072967">
        <w:rPr>
          <w:rFonts w:asciiTheme="majorBidi" w:hAnsiTheme="majorBidi" w:cstheme="majorBidi"/>
          <w:b/>
          <w:bCs/>
          <w:i/>
          <w:szCs w:val="24"/>
        </w:rPr>
        <w:t>SNAI</w:t>
      </w:r>
      <w:r w:rsidRPr="00072967">
        <w:rPr>
          <w:rFonts w:asciiTheme="majorBidi" w:hAnsiTheme="majorBidi" w:cstheme="majorBidi"/>
          <w:b/>
          <w:bCs/>
          <w:szCs w:val="24"/>
        </w:rPr>
        <w:t xml:space="preserve"> pathway interference expression signature induced by fb-PMT treatment of K562 cells.</w:t>
      </w:r>
      <w:r>
        <w:rPr>
          <w:rFonts w:asciiTheme="majorBidi" w:hAnsiTheme="majorBidi" w:cstheme="majorBidi"/>
          <w:szCs w:val="24"/>
        </w:rPr>
        <w:t xml:space="preserve"> </w:t>
      </w:r>
      <w:r w:rsidRPr="00072967">
        <w:rPr>
          <w:rFonts w:asciiTheme="majorBidi" w:hAnsiTheme="majorBidi" w:cstheme="majorBidi"/>
          <w:b/>
          <w:bCs/>
          <w:szCs w:val="24"/>
        </w:rPr>
        <w:t>A)</w:t>
      </w:r>
      <w:r>
        <w:rPr>
          <w:rFonts w:asciiTheme="majorBidi" w:hAnsiTheme="majorBidi" w:cstheme="majorBidi"/>
          <w:szCs w:val="24"/>
        </w:rPr>
        <w:t xml:space="preserve"> </w:t>
      </w:r>
      <w:r w:rsidRPr="00072967">
        <w:rPr>
          <w:rFonts w:asciiTheme="majorBidi" w:hAnsiTheme="majorBidi" w:cstheme="majorBidi"/>
          <w:szCs w:val="24"/>
        </w:rPr>
        <w:t>GSEA of the TF perturbations followed by expression database.</w:t>
      </w:r>
      <w:r>
        <w:rPr>
          <w:rFonts w:asciiTheme="majorBidi" w:hAnsiTheme="majorBidi" w:cstheme="majorBidi"/>
          <w:szCs w:val="24"/>
        </w:rPr>
        <w:t xml:space="preserve"> </w:t>
      </w:r>
      <w:r w:rsidRPr="00072967">
        <w:rPr>
          <w:rFonts w:asciiTheme="majorBidi" w:hAnsiTheme="majorBidi" w:cstheme="majorBidi"/>
          <w:b/>
          <w:bCs/>
          <w:szCs w:val="24"/>
        </w:rPr>
        <w:t>B)</w:t>
      </w:r>
      <w:r>
        <w:rPr>
          <w:rFonts w:asciiTheme="majorBidi" w:hAnsiTheme="majorBidi" w:cstheme="majorBidi"/>
          <w:szCs w:val="24"/>
        </w:rPr>
        <w:t xml:space="preserve"> </w:t>
      </w:r>
      <w:r w:rsidRPr="00072967">
        <w:rPr>
          <w:rFonts w:asciiTheme="majorBidi" w:hAnsiTheme="majorBidi" w:cstheme="majorBidi"/>
          <w:szCs w:val="24"/>
        </w:rPr>
        <w:t xml:space="preserve">GSEA of Ligand perturbations from GEO up-regulation (left) and Ligand perturbations from GEO down-regulation (right) databases. </w:t>
      </w:r>
      <w:r>
        <w:rPr>
          <w:rFonts w:asciiTheme="majorBidi" w:hAnsiTheme="majorBidi" w:cstheme="majorBidi"/>
          <w:szCs w:val="24"/>
        </w:rPr>
        <w:t xml:space="preserve"> </w:t>
      </w:r>
      <w:r w:rsidRPr="00072967">
        <w:rPr>
          <w:rFonts w:asciiTheme="majorBidi" w:hAnsiTheme="majorBidi" w:cstheme="majorBidi"/>
          <w:szCs w:val="24"/>
        </w:rPr>
        <w:t>Numbers shown next to the bar graphs report the values of Cumulative scores (Methods).</w:t>
      </w:r>
    </w:p>
    <w:p w14:paraId="16181492" w14:textId="2730555E" w:rsidR="00DD2FB3" w:rsidRPr="00DD2FB3" w:rsidRDefault="00DD2FB3" w:rsidP="00DD2FB3">
      <w:pPr>
        <w:jc w:val="both"/>
        <w:rPr>
          <w:rFonts w:asciiTheme="majorHAnsi" w:hAnsiTheme="majorHAnsi" w:cstheme="majorHAnsi"/>
          <w:b/>
          <w:bCs/>
          <w:sz w:val="20"/>
        </w:rPr>
      </w:pPr>
      <w:r w:rsidRPr="00CA09DB">
        <w:rPr>
          <w:rFonts w:asciiTheme="majorHAnsi" w:hAnsiTheme="majorHAnsi" w:cstheme="majorHAnsi"/>
          <w:b/>
          <w:bCs/>
          <w:sz w:val="20"/>
        </w:rPr>
        <w:lastRenderedPageBreak/>
        <w:t>Supplemental</w:t>
      </w:r>
      <w:r w:rsidRPr="00CA09DB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figure </w:t>
      </w:r>
      <w:r>
        <w:rPr>
          <w:rFonts w:asciiTheme="majorHAnsi" w:hAnsiTheme="majorHAnsi" w:cstheme="majorHAnsi"/>
          <w:b/>
          <w:bCs/>
          <w:sz w:val="20"/>
        </w:rPr>
        <w:t>8</w:t>
      </w:r>
    </w:p>
    <w:p w14:paraId="6AF019DC" w14:textId="4B1F9807" w:rsidR="006076DF" w:rsidRPr="006076DF" w:rsidRDefault="00DD2FB3" w:rsidP="006076DF">
      <w:pPr>
        <w:tabs>
          <w:tab w:val="left" w:pos="5784"/>
        </w:tabs>
      </w:pPr>
      <w:r>
        <w:rPr>
          <w:rFonts w:asciiTheme="majorBidi" w:hAnsiTheme="majorBidi" w:cstheme="majorBidi"/>
          <w:b/>
          <w:bCs/>
          <w:noProof/>
          <w:szCs w:val="24"/>
        </w:rPr>
        <w:drawing>
          <wp:inline distT="0" distB="0" distL="0" distR="0" wp14:anchorId="11E87DB9" wp14:editId="62B4BF66">
            <wp:extent cx="8229600" cy="4629150"/>
            <wp:effectExtent l="0" t="0" r="0" b="0"/>
            <wp:docPr id="11" name="Picture 11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att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6DF">
        <w:rPr>
          <w:rFonts w:asciiTheme="majorBidi" w:hAnsiTheme="majorBidi" w:cstheme="majorBidi"/>
          <w:b/>
          <w:bCs/>
          <w:szCs w:val="24"/>
        </w:rPr>
        <w:t xml:space="preserve">Supplemental </w:t>
      </w:r>
      <w:r w:rsidR="006076DF" w:rsidRPr="00072967">
        <w:rPr>
          <w:rFonts w:asciiTheme="majorBidi" w:hAnsiTheme="majorBidi" w:cstheme="majorBidi"/>
          <w:b/>
          <w:bCs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Cs w:val="24"/>
        </w:rPr>
        <w:t>8</w:t>
      </w:r>
      <w:r w:rsidR="006076DF" w:rsidRPr="00072967">
        <w:rPr>
          <w:rFonts w:asciiTheme="majorBidi" w:hAnsiTheme="majorBidi" w:cstheme="majorBidi"/>
          <w:b/>
          <w:szCs w:val="24"/>
        </w:rPr>
        <w:t>.</w:t>
      </w:r>
      <w:r w:rsidR="006076DF" w:rsidRPr="00072967">
        <w:rPr>
          <w:rFonts w:asciiTheme="majorBidi" w:hAnsiTheme="majorBidi" w:cstheme="majorBidi"/>
          <w:szCs w:val="24"/>
        </w:rPr>
        <w:t xml:space="preserve"> </w:t>
      </w:r>
      <w:r w:rsidR="006076DF" w:rsidRPr="00072967">
        <w:rPr>
          <w:rFonts w:asciiTheme="majorBidi" w:hAnsiTheme="majorBidi" w:cstheme="majorBidi"/>
          <w:b/>
          <w:bCs/>
          <w:szCs w:val="24"/>
        </w:rPr>
        <w:t>Identification and characterization of the 50-gene fb-PMT signature of molecular interference with estrogen pathway/multi-kinase gene expression regulatory matrix of cell cycle progression.</w:t>
      </w:r>
      <w:r w:rsidR="006076DF" w:rsidRPr="00072967">
        <w:rPr>
          <w:rFonts w:asciiTheme="majorBidi" w:hAnsiTheme="majorBidi" w:cstheme="majorBidi"/>
          <w:szCs w:val="24"/>
        </w:rPr>
        <w:t xml:space="preserve"> </w:t>
      </w:r>
      <w:r w:rsidR="006076DF">
        <w:rPr>
          <w:rFonts w:asciiTheme="majorBidi" w:hAnsiTheme="majorBidi" w:cstheme="majorBidi"/>
          <w:szCs w:val="24"/>
        </w:rPr>
        <w:t xml:space="preserve"> </w:t>
      </w:r>
      <w:r w:rsidR="006076DF" w:rsidRPr="00072967">
        <w:rPr>
          <w:rFonts w:asciiTheme="majorBidi" w:hAnsiTheme="majorBidi" w:cstheme="majorBidi"/>
          <w:b/>
          <w:bCs/>
          <w:szCs w:val="24"/>
        </w:rPr>
        <w:t>A)</w:t>
      </w:r>
      <w:r w:rsidR="006076DF">
        <w:rPr>
          <w:rFonts w:asciiTheme="majorBidi" w:hAnsiTheme="majorBidi" w:cstheme="majorBidi"/>
          <w:szCs w:val="24"/>
        </w:rPr>
        <w:t xml:space="preserve"> </w:t>
      </w:r>
      <w:r w:rsidR="006076DF" w:rsidRPr="00072967">
        <w:rPr>
          <w:rFonts w:asciiTheme="majorBidi" w:hAnsiTheme="majorBidi" w:cstheme="majorBidi"/>
          <w:szCs w:val="24"/>
        </w:rPr>
        <w:t>69-gene estrogen pathway interference signature harbors 16-gene estrogen-kinase crosstalk signature.</w:t>
      </w:r>
      <w:r w:rsidR="006076DF">
        <w:rPr>
          <w:rFonts w:asciiTheme="majorBidi" w:hAnsiTheme="majorBidi" w:cstheme="majorBidi"/>
          <w:szCs w:val="24"/>
        </w:rPr>
        <w:t xml:space="preserve"> </w:t>
      </w:r>
      <w:r w:rsidR="006076DF" w:rsidRPr="00072967">
        <w:rPr>
          <w:rFonts w:asciiTheme="majorBidi" w:hAnsiTheme="majorBidi" w:cstheme="majorBidi"/>
          <w:b/>
          <w:bCs/>
          <w:szCs w:val="24"/>
        </w:rPr>
        <w:t>B)</w:t>
      </w:r>
      <w:r w:rsidR="006076DF">
        <w:rPr>
          <w:rFonts w:asciiTheme="majorBidi" w:hAnsiTheme="majorBidi" w:cstheme="majorBidi"/>
          <w:szCs w:val="24"/>
        </w:rPr>
        <w:t xml:space="preserve"> </w:t>
      </w:r>
      <w:r w:rsidR="006076DF" w:rsidRPr="00072967">
        <w:rPr>
          <w:rFonts w:asciiTheme="majorBidi" w:hAnsiTheme="majorBidi" w:cstheme="majorBidi"/>
          <w:szCs w:val="24"/>
        </w:rPr>
        <w:t>50-gene fb-PMT signature of molecular interference with estrogen pathway/multi-kinase gene expression regulatory matrix.</w:t>
      </w:r>
      <w:r w:rsidR="006076DF">
        <w:rPr>
          <w:rFonts w:asciiTheme="majorBidi" w:hAnsiTheme="majorBidi" w:cstheme="majorBidi"/>
          <w:szCs w:val="24"/>
        </w:rPr>
        <w:t xml:space="preserve"> </w:t>
      </w:r>
      <w:r w:rsidR="006076DF" w:rsidRPr="00072967">
        <w:rPr>
          <w:rFonts w:asciiTheme="majorBidi" w:hAnsiTheme="majorBidi" w:cstheme="majorBidi"/>
          <w:b/>
          <w:bCs/>
          <w:szCs w:val="24"/>
        </w:rPr>
        <w:t>C)</w:t>
      </w:r>
      <w:r w:rsidR="006076DF">
        <w:rPr>
          <w:rFonts w:asciiTheme="majorBidi" w:hAnsiTheme="majorBidi" w:cstheme="majorBidi"/>
          <w:szCs w:val="24"/>
        </w:rPr>
        <w:t xml:space="preserve"> </w:t>
      </w:r>
      <w:proofErr w:type="spellStart"/>
      <w:r w:rsidR="006076DF" w:rsidRPr="00072967">
        <w:rPr>
          <w:rFonts w:asciiTheme="majorBidi" w:hAnsiTheme="majorBidi" w:cstheme="majorBidi"/>
          <w:szCs w:val="24"/>
        </w:rPr>
        <w:t>Enrichr</w:t>
      </w:r>
      <w:proofErr w:type="spellEnd"/>
      <w:r w:rsidR="006076DF" w:rsidRPr="00072967">
        <w:rPr>
          <w:rFonts w:asciiTheme="majorBidi" w:hAnsiTheme="majorBidi" w:cstheme="majorBidi"/>
          <w:szCs w:val="24"/>
        </w:rPr>
        <w:t xml:space="preserve"> pathway analyses of the 50-gene interference signature with estrogen-kinase regulatory matrix identify the cell cycle progression pathway as the principal target. </w:t>
      </w:r>
      <w:r w:rsidR="006076DF">
        <w:rPr>
          <w:rFonts w:asciiTheme="majorBidi" w:hAnsiTheme="majorBidi" w:cstheme="majorBidi"/>
          <w:szCs w:val="24"/>
        </w:rPr>
        <w:t xml:space="preserve"> </w:t>
      </w:r>
      <w:r w:rsidR="006076DF" w:rsidRPr="00072967">
        <w:rPr>
          <w:rFonts w:asciiTheme="majorBidi" w:hAnsiTheme="majorBidi" w:cstheme="majorBidi"/>
          <w:b/>
          <w:bCs/>
          <w:szCs w:val="24"/>
        </w:rPr>
        <w:t>D)</w:t>
      </w:r>
      <w:r w:rsidR="006076DF">
        <w:rPr>
          <w:rFonts w:asciiTheme="majorBidi" w:hAnsiTheme="majorBidi" w:cstheme="majorBidi"/>
          <w:szCs w:val="24"/>
        </w:rPr>
        <w:t xml:space="preserve"> </w:t>
      </w:r>
      <w:r w:rsidR="006076DF" w:rsidRPr="00072967">
        <w:rPr>
          <w:rFonts w:asciiTheme="majorBidi" w:hAnsiTheme="majorBidi" w:cstheme="majorBidi"/>
          <w:szCs w:val="24"/>
        </w:rPr>
        <w:t xml:space="preserve">GSEA of the 50-gene interference signature with estrogen-kinase regulatory matrix using the </w:t>
      </w:r>
      <w:proofErr w:type="spellStart"/>
      <w:r w:rsidR="006076DF" w:rsidRPr="00072967">
        <w:rPr>
          <w:rFonts w:asciiTheme="majorBidi" w:hAnsiTheme="majorBidi" w:cstheme="majorBidi"/>
          <w:szCs w:val="24"/>
        </w:rPr>
        <w:t>DisGeNET</w:t>
      </w:r>
      <w:proofErr w:type="spellEnd"/>
      <w:r w:rsidR="006076DF" w:rsidRPr="00072967">
        <w:rPr>
          <w:rFonts w:asciiTheme="majorBidi" w:hAnsiTheme="majorBidi" w:cstheme="majorBidi"/>
          <w:szCs w:val="24"/>
        </w:rPr>
        <w:t xml:space="preserve"> database of human disorders.</w:t>
      </w:r>
    </w:p>
    <w:sectPr w:rsidR="006076DF" w:rsidRPr="006076DF" w:rsidSect="006076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63829" w14:textId="77777777" w:rsidR="003D7F66" w:rsidRDefault="003D7F66" w:rsidP="006076DF">
      <w:pPr>
        <w:spacing w:after="0" w:line="240" w:lineRule="auto"/>
      </w:pPr>
      <w:r>
        <w:separator/>
      </w:r>
    </w:p>
  </w:endnote>
  <w:endnote w:type="continuationSeparator" w:id="0">
    <w:p w14:paraId="46BF3E0A" w14:textId="77777777" w:rsidR="003D7F66" w:rsidRDefault="003D7F66" w:rsidP="00607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39DE2" w14:textId="77777777" w:rsidR="003D7F66" w:rsidRDefault="003D7F66" w:rsidP="006076DF">
      <w:pPr>
        <w:spacing w:after="0" w:line="240" w:lineRule="auto"/>
      </w:pPr>
      <w:r>
        <w:separator/>
      </w:r>
    </w:p>
  </w:footnote>
  <w:footnote w:type="continuationSeparator" w:id="0">
    <w:p w14:paraId="2AC910B4" w14:textId="77777777" w:rsidR="003D7F66" w:rsidRDefault="003D7F66" w:rsidP="006076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6DF"/>
    <w:rsid w:val="000D63C6"/>
    <w:rsid w:val="001460D1"/>
    <w:rsid w:val="00316A6F"/>
    <w:rsid w:val="003D7F66"/>
    <w:rsid w:val="00601A13"/>
    <w:rsid w:val="006076DF"/>
    <w:rsid w:val="00727B45"/>
    <w:rsid w:val="008E77C5"/>
    <w:rsid w:val="00A65CAD"/>
    <w:rsid w:val="00BD0330"/>
    <w:rsid w:val="00CA09DB"/>
    <w:rsid w:val="00DD2FB3"/>
    <w:rsid w:val="00E0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7141E"/>
  <w15:chartTrackingRefBased/>
  <w15:docId w15:val="{76736A0F-D81F-4F6A-85C2-A8B8271D9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6DF"/>
  </w:style>
  <w:style w:type="paragraph" w:styleId="Footer">
    <w:name w:val="footer"/>
    <w:basedOn w:val="Normal"/>
    <w:link w:val="FooterChar"/>
    <w:uiPriority w:val="99"/>
    <w:unhideWhenUsed/>
    <w:rsid w:val="00607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6DF"/>
  </w:style>
  <w:style w:type="character" w:customStyle="1" w:styleId="label">
    <w:name w:val="label"/>
    <w:basedOn w:val="DefaultParagraphFont"/>
    <w:rsid w:val="006076DF"/>
  </w:style>
  <w:style w:type="character" w:customStyle="1" w:styleId="notes">
    <w:name w:val="notes"/>
    <w:basedOn w:val="DefaultParagraphFont"/>
    <w:rsid w:val="00607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Noureldien Darwish</dc:creator>
  <cp:keywords/>
  <dc:description/>
  <cp:lastModifiedBy>Noureldien Darwish</cp:lastModifiedBy>
  <cp:revision>2</cp:revision>
  <dcterms:created xsi:type="dcterms:W3CDTF">2021-07-26T18:24:00Z</dcterms:created>
  <dcterms:modified xsi:type="dcterms:W3CDTF">2021-07-26T18:24:00Z</dcterms:modified>
</cp:coreProperties>
</file>