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BD811" w14:textId="77777777" w:rsidR="00705011" w:rsidRDefault="00705011" w:rsidP="00705011">
      <w:r>
        <w:rPr>
          <w:noProof/>
        </w:rPr>
        <w:drawing>
          <wp:inline distT="0" distB="0" distL="0" distR="0" wp14:anchorId="50CEB2DD" wp14:editId="24B09C6E">
            <wp:extent cx="5274310" cy="56019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0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CEF8D" w14:textId="6CA56227" w:rsidR="00705011" w:rsidRDefault="00705011" w:rsidP="00705011">
      <w:pPr>
        <w:pStyle w:val="EndNoteBibliography"/>
        <w:spacing w:line="360" w:lineRule="auto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B85CE4">
        <w:rPr>
          <w:rFonts w:ascii="Times New Roman" w:eastAsiaTheme="minorEastAsia" w:hAnsi="Times New Roman" w:cs="Times New Roman"/>
          <w:b/>
          <w:bCs/>
          <w:sz w:val="24"/>
          <w:szCs w:val="24"/>
          <w:shd w:val="clear" w:color="auto" w:fill="FFFFFF"/>
        </w:rPr>
        <w:t xml:space="preserve">Supplementary Figure 1: GO, and KEGG of DEGs in lung cancer tissues and adjacent tissues were analyzed. </w:t>
      </w:r>
      <w:r w:rsidRPr="00B85CE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(A) Heatmap of the 141 DEGs with |log2fold change | &gt; 1, P &lt;0 .05. Red: higher expression; blue: lower expression. (B) A volcano plot of 141 DEGs. Red: upregulation with |log2fold change | &gt; 1, P &lt;0 .05; blue: downregulation with |log2fold change | &gt; 1, P &lt;0 .05; black: unchanged genes. (C-F) GO and KEGG enrichment analysis on 141 differential genes. BP: biological process; CC: cellular component; MF: molecular function; KEGG: Kyoto Encyclopedia of Genes and Genomes.</w:t>
      </w:r>
    </w:p>
    <w:p w14:paraId="1FB37585" w14:textId="42B032D4" w:rsidR="00705011" w:rsidRDefault="00705011" w:rsidP="00705011">
      <w:pPr>
        <w:pStyle w:val="EndNoteBibliography"/>
        <w:spacing w:line="360" w:lineRule="auto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</w:p>
    <w:p w14:paraId="7C9ABBBD" w14:textId="572141DD" w:rsidR="00705011" w:rsidRDefault="00705011" w:rsidP="00705011">
      <w:pPr>
        <w:pStyle w:val="EndNoteBibliography"/>
        <w:spacing w:line="360" w:lineRule="auto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</w:p>
    <w:p w14:paraId="09674F54" w14:textId="77777777" w:rsidR="00705011" w:rsidRDefault="00705011" w:rsidP="00705011">
      <w:r>
        <w:rPr>
          <w:noProof/>
        </w:rPr>
        <w:lastRenderedPageBreak/>
        <w:drawing>
          <wp:inline distT="0" distB="0" distL="0" distR="0" wp14:anchorId="4FCD49BC" wp14:editId="119287B1">
            <wp:extent cx="4126865" cy="636905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63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B11F8" w14:textId="77777777" w:rsidR="00705011" w:rsidRDefault="00705011" w:rsidP="00705011">
      <w:pPr>
        <w:pStyle w:val="EndNoteBibliography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85CE4">
        <w:rPr>
          <w:rFonts w:ascii="Times New Roman" w:eastAsiaTheme="minorEastAsia" w:hAnsi="Times New Roman" w:cs="Times New Roman"/>
          <w:b/>
          <w:bCs/>
          <w:sz w:val="24"/>
          <w:szCs w:val="24"/>
          <w:shd w:val="clear" w:color="auto" w:fill="FFFFFF"/>
        </w:rPr>
        <w:t xml:space="preserve">Supplementary Figure 2: Clinicopathological characteristics between clusters. </w:t>
      </w:r>
      <w:r w:rsidRPr="00B85CE4">
        <w:rPr>
          <w:rFonts w:ascii="Times New Roman" w:eastAsiaTheme="minorEastAsia" w:hAnsi="Times New Roman" w:cs="Times New Roman"/>
          <w:sz w:val="24"/>
          <w:szCs w:val="24"/>
        </w:rPr>
        <w:t>Different clinicopathological parameters between the clusters, including TNM classification (A-I), tumor stage (J-L), and drug response (M-O).</w:t>
      </w:r>
    </w:p>
    <w:p w14:paraId="18B596CF" w14:textId="77777777" w:rsidR="00705011" w:rsidRPr="00705011" w:rsidRDefault="00705011" w:rsidP="00705011">
      <w:pPr>
        <w:pStyle w:val="EndNoteBibliography"/>
        <w:spacing w:line="360" w:lineRule="auto"/>
        <w:rPr>
          <w:rFonts w:ascii="Times New Roman" w:eastAsiaTheme="minorEastAsia" w:hAnsi="Times New Roman" w:cs="Times New Roman" w:hint="eastAsia"/>
          <w:sz w:val="24"/>
          <w:szCs w:val="24"/>
          <w:shd w:val="clear" w:color="auto" w:fill="FFFFFF"/>
        </w:rPr>
      </w:pPr>
    </w:p>
    <w:p w14:paraId="203091E1" w14:textId="4E1E78AF" w:rsidR="00250F80" w:rsidRDefault="00250F80">
      <w:r>
        <w:rPr>
          <w:noProof/>
        </w:rPr>
        <w:lastRenderedPageBreak/>
        <w:drawing>
          <wp:inline distT="0" distB="0" distL="0" distR="0" wp14:anchorId="1685D137" wp14:editId="0C5E8AE0">
            <wp:extent cx="4691380" cy="34664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92242" w14:textId="77777777" w:rsidR="00250F80" w:rsidRPr="00B85CE4" w:rsidRDefault="00250F80" w:rsidP="00250F80">
      <w:pPr>
        <w:pStyle w:val="EndNoteBibliography"/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  <w:shd w:val="clear" w:color="auto" w:fill="FFFFFF"/>
        </w:rPr>
      </w:pPr>
      <w:r w:rsidRPr="00B85CE4">
        <w:rPr>
          <w:rFonts w:ascii="Times New Roman" w:eastAsiaTheme="minorEastAsia" w:hAnsi="Times New Roman" w:cs="Times New Roman"/>
          <w:b/>
          <w:bCs/>
          <w:sz w:val="24"/>
          <w:szCs w:val="24"/>
          <w:shd w:val="clear" w:color="auto" w:fill="FFFFFF"/>
        </w:rPr>
        <w:t>Supplementary Figure 3: Venn diagram of genetic intersection.</w:t>
      </w:r>
    </w:p>
    <w:p w14:paraId="45CE1AE1" w14:textId="77777777" w:rsidR="00705011" w:rsidRDefault="00705011" w:rsidP="00705011">
      <w:r>
        <w:rPr>
          <w:noProof/>
        </w:rPr>
        <w:lastRenderedPageBreak/>
        <w:drawing>
          <wp:inline distT="0" distB="0" distL="0" distR="0" wp14:anchorId="4133A679" wp14:editId="5B2DBA77">
            <wp:extent cx="4642034" cy="7808181"/>
            <wp:effectExtent l="0" t="0" r="635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09" cy="7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9FA4A" w14:textId="77777777" w:rsidR="00705011" w:rsidRPr="00B85CE4" w:rsidRDefault="00705011" w:rsidP="00705011">
      <w:pPr>
        <w:pStyle w:val="EndNoteBibliography"/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  <w:shd w:val="clear" w:color="auto" w:fill="FFFFFF"/>
        </w:rPr>
      </w:pPr>
      <w:r w:rsidRPr="00B85CE4">
        <w:rPr>
          <w:rFonts w:ascii="Times New Roman" w:eastAsiaTheme="minorEastAsia" w:hAnsi="Times New Roman" w:cs="Times New Roman"/>
          <w:b/>
          <w:bCs/>
          <w:sz w:val="24"/>
          <w:szCs w:val="24"/>
          <w:shd w:val="clear" w:color="auto" w:fill="FFFFFF"/>
        </w:rPr>
        <w:t xml:space="preserve">Supplementary Figure 4: Gene differential expression map in Pan-cancer. </w:t>
      </w:r>
      <w:r w:rsidRPr="00B85CE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(A-E) Comparison of the expression levels of five hub genes (RRM2, HMMR, PFKP, TCN1 and TK1) in tumors and normal tissues.</w:t>
      </w:r>
    </w:p>
    <w:p w14:paraId="7543D1A2" w14:textId="77777777" w:rsidR="00705011" w:rsidRPr="00705011" w:rsidRDefault="00705011" w:rsidP="00250F80">
      <w:pPr>
        <w:pStyle w:val="EndNoteBibliography"/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  <w:shd w:val="clear" w:color="auto" w:fill="FFFFFF"/>
        </w:rPr>
      </w:pPr>
    </w:p>
    <w:p w14:paraId="796919E0" w14:textId="77777777" w:rsidR="00705011" w:rsidRDefault="00705011" w:rsidP="00705011">
      <w:r>
        <w:rPr>
          <w:noProof/>
        </w:rPr>
        <w:drawing>
          <wp:inline distT="0" distB="0" distL="0" distR="0" wp14:anchorId="7343137A" wp14:editId="6F4F28DA">
            <wp:extent cx="4158615" cy="573278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573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2909F" w14:textId="77777777" w:rsidR="00705011" w:rsidRPr="00B85CE4" w:rsidRDefault="00705011" w:rsidP="00705011">
      <w:pPr>
        <w:pStyle w:val="EndNoteBibliography"/>
        <w:spacing w:line="360" w:lineRule="auto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B85CE4">
        <w:rPr>
          <w:rFonts w:ascii="Times New Roman" w:eastAsiaTheme="minorEastAsia" w:hAnsi="Times New Roman" w:cs="Times New Roman"/>
          <w:b/>
          <w:bCs/>
          <w:sz w:val="24"/>
          <w:szCs w:val="24"/>
          <w:shd w:val="clear" w:color="auto" w:fill="FFFFFF"/>
        </w:rPr>
        <w:t>Supplementary Figure 5: Correlation map and survival map of genes and immune cells.</w:t>
      </w:r>
      <w:r w:rsidRPr="00B85CE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(A-D) Correlation map of HMMR, PFKP, TCN1 and TK1 with seven kinds of immune cells. (E-H) The survival time of HMMR, PFKP, TCN1 and TK1 expressions.</w:t>
      </w:r>
    </w:p>
    <w:p w14:paraId="27904240" w14:textId="77777777" w:rsidR="00250F80" w:rsidRPr="00705011" w:rsidRDefault="00250F80">
      <w:pPr>
        <w:rPr>
          <w:rFonts w:hint="eastAsia"/>
        </w:rPr>
      </w:pPr>
    </w:p>
    <w:sectPr w:rsidR="00250F80" w:rsidRPr="007050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A6195" w14:textId="77777777" w:rsidR="009B69F8" w:rsidRDefault="009B69F8" w:rsidP="00250F80">
      <w:r>
        <w:separator/>
      </w:r>
    </w:p>
  </w:endnote>
  <w:endnote w:type="continuationSeparator" w:id="0">
    <w:p w14:paraId="6D508E60" w14:textId="77777777" w:rsidR="009B69F8" w:rsidRDefault="009B69F8" w:rsidP="00250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31778" w14:textId="77777777" w:rsidR="009B69F8" w:rsidRDefault="009B69F8" w:rsidP="00250F80">
      <w:r>
        <w:separator/>
      </w:r>
    </w:p>
  </w:footnote>
  <w:footnote w:type="continuationSeparator" w:id="0">
    <w:p w14:paraId="6207CE19" w14:textId="77777777" w:rsidR="009B69F8" w:rsidRDefault="009B69F8" w:rsidP="00250F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9ED"/>
    <w:rsid w:val="0013044A"/>
    <w:rsid w:val="00250F80"/>
    <w:rsid w:val="00705011"/>
    <w:rsid w:val="009B69F8"/>
    <w:rsid w:val="00C60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C08FE3"/>
  <w15:chartTrackingRefBased/>
  <w15:docId w15:val="{F13D8B0B-62F8-4F2E-82E3-6E004D7E6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0F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50F8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50F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50F80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qFormat/>
    <w:rsid w:val="00250F80"/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sid w:val="00250F80"/>
    <w:rPr>
      <w:rFonts w:ascii="等线" w:eastAsia="等线" w:hAnsi="等线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194</Words>
  <Characters>1108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fazhan</dc:creator>
  <cp:keywords/>
  <dc:description/>
  <cp:lastModifiedBy>li fazhan</cp:lastModifiedBy>
  <cp:revision>2</cp:revision>
  <dcterms:created xsi:type="dcterms:W3CDTF">2021-11-16T03:37:00Z</dcterms:created>
  <dcterms:modified xsi:type="dcterms:W3CDTF">2021-11-16T03:45:00Z</dcterms:modified>
</cp:coreProperties>
</file>