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A1" w:rsidRPr="006D7CF7" w:rsidRDefault="0007152B" w:rsidP="001F75A1">
      <w:pPr>
        <w:widowControl/>
        <w:wordWrap/>
        <w:autoSpaceDE/>
        <w:autoSpaceDN/>
        <w:spacing w:line="240" w:lineRule="auto"/>
        <w:jc w:val="left"/>
        <w:rPr>
          <w:rFonts w:ascii="Arial" w:eastAsia="맑은 고딕" w:hAnsi="Arial" w:cs="Arial"/>
          <w:b/>
          <w:kern w:val="0"/>
          <w:sz w:val="24"/>
          <w:szCs w:val="24"/>
        </w:rPr>
      </w:pPr>
      <w:r>
        <w:rPr>
          <w:rFonts w:ascii="Arial" w:eastAsia="맑은 고딕" w:hAnsi="Arial" w:cs="Arial" w:hint="eastAsia"/>
          <w:b/>
          <w:kern w:val="0"/>
          <w:sz w:val="24"/>
          <w:szCs w:val="24"/>
        </w:rPr>
        <w:t>Additional fil</w:t>
      </w:r>
      <w:r>
        <w:rPr>
          <w:rFonts w:ascii="Arial" w:eastAsia="맑은 고딕" w:hAnsi="Arial" w:cs="Arial"/>
          <w:b/>
          <w:kern w:val="0"/>
          <w:sz w:val="24"/>
          <w:szCs w:val="24"/>
        </w:rPr>
        <w:t>e 1</w:t>
      </w:r>
      <w:r w:rsidR="001F75A1" w:rsidRPr="006D7CF7">
        <w:rPr>
          <w:rFonts w:ascii="Arial" w:eastAsia="맑은 고딕" w:hAnsi="Arial" w:cs="Arial"/>
          <w:b/>
          <w:kern w:val="0"/>
          <w:sz w:val="24"/>
          <w:szCs w:val="24"/>
        </w:rPr>
        <w:t>. Multivaria</w:t>
      </w:r>
      <w:r w:rsidR="001F75A1">
        <w:rPr>
          <w:rFonts w:ascii="Arial" w:eastAsia="맑은 고딕" w:hAnsi="Arial" w:cs="Arial" w:hint="eastAsia"/>
          <w:b/>
          <w:kern w:val="0"/>
          <w:sz w:val="24"/>
          <w:szCs w:val="24"/>
        </w:rPr>
        <w:t>t</w:t>
      </w:r>
      <w:r w:rsidR="001F75A1" w:rsidRPr="006D7CF7">
        <w:rPr>
          <w:rFonts w:ascii="Arial" w:eastAsia="맑은 고딕" w:hAnsi="Arial" w:cs="Arial"/>
          <w:b/>
          <w:kern w:val="0"/>
          <w:sz w:val="24"/>
          <w:szCs w:val="24"/>
        </w:rPr>
        <w:t>e analysis of possible predictors of silent brain infarct, excluding patients with statin use</w:t>
      </w:r>
      <w:r w:rsidR="001F75A1" w:rsidRPr="006D7CF7">
        <w:rPr>
          <w:rFonts w:ascii="Arial" w:eastAsia="맑은 고딕" w:hAnsi="Arial" w:cs="Arial"/>
          <w:kern w:val="0"/>
          <w:sz w:val="24"/>
          <w:szCs w:val="24"/>
          <w:vertAlign w:val="superscript"/>
        </w:rPr>
        <w:t>†</w:t>
      </w:r>
      <w:r w:rsidR="001F75A1" w:rsidRPr="006D7CF7">
        <w:rPr>
          <w:rFonts w:ascii="Arial" w:eastAsia="맑은 고딕" w:hAnsi="Arial" w:cs="Arial"/>
          <w:b/>
          <w:kern w:val="0"/>
          <w:sz w:val="24"/>
          <w:szCs w:val="24"/>
        </w:rPr>
        <w:t xml:space="preserve"> (n = 2,916)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2"/>
        <w:gridCol w:w="2636"/>
        <w:gridCol w:w="1067"/>
        <w:gridCol w:w="2540"/>
        <w:gridCol w:w="1161"/>
      </w:tblGrid>
      <w:tr w:rsidR="001F75A1" w:rsidRPr="006D7CF7" w:rsidTr="00DB5DB3">
        <w:trPr>
          <w:trHeight w:val="360"/>
        </w:trPr>
        <w:tc>
          <w:tcPr>
            <w:tcW w:w="8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Crude OR (95% CI)</w:t>
            </w:r>
          </w:p>
        </w:tc>
        <w:tc>
          <w:tcPr>
            <w:tcW w:w="59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24"/>
                <w:szCs w:val="24"/>
              </w:rPr>
              <w:t>P-</w:t>
            </w:r>
            <w:r w:rsidRPr="006D7CF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40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Adjusted OR (95% CI)</w:t>
            </w:r>
          </w:p>
        </w:tc>
        <w:tc>
          <w:tcPr>
            <w:tcW w:w="643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24"/>
                <w:szCs w:val="24"/>
              </w:rPr>
              <w:t>P-</w:t>
            </w:r>
            <w:r w:rsidRPr="006D7CF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Age</w:t>
            </w: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2.17 (1.87 to 2.51)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2.07 (1.78 to 2.41)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Sex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1.11 (0.85 to 1.45)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0.435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1.07 (0.81 to 1.42)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0.628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2.11 (1.60 to 2.79)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1.49 (1.11 to 2.01)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0.009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Diabetes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1.90 (1.37 to 2.63)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1.21 (0.85 to 1.71)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0.291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On antiplatelet medication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1.65 (1.13 to 2.40)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0.009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0.99 (0.67 to 1.48)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0.973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hs-CRP</w:t>
            </w: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1.12 (1.03 to 1.21)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0.010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1.07 (0.98 to 1.17)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0.123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ICAS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2.48 (1.40 to 4.41)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0.002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1.50 (0.82 to 2.76)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0.189</w:t>
            </w:r>
          </w:p>
        </w:tc>
      </w:tr>
      <w:tr w:rsidR="001F75A1" w:rsidRPr="006D7CF7" w:rsidTr="00DB5DB3">
        <w:trPr>
          <w:trHeight w:val="360"/>
        </w:trPr>
        <w:tc>
          <w:tcPr>
            <w:tcW w:w="8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TG/HDL </w:t>
            </w: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cholesterol </w:t>
            </w: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</w:rPr>
              <w:t>ratio</w:t>
            </w:r>
            <w:r w:rsidRPr="006D7CF7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1.11 (0.99 to 1.25)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0.078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1.15 (1.01 to 1.31)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5A1" w:rsidRPr="006D7CF7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</w:pPr>
            <w:r w:rsidRPr="006D7CF7">
              <w:rPr>
                <w:rFonts w:ascii="Arial" w:eastAsia="맑은 고딕" w:hAnsi="Arial" w:cs="Arial"/>
                <w:bCs/>
                <w:kern w:val="0"/>
                <w:sz w:val="24"/>
                <w:szCs w:val="24"/>
              </w:rPr>
              <w:t>0.035</w:t>
            </w:r>
          </w:p>
        </w:tc>
      </w:tr>
    </w:tbl>
    <w:p w:rsidR="001F75A1" w:rsidRPr="006D7CF7" w:rsidRDefault="001F75A1" w:rsidP="001F75A1">
      <w:pPr>
        <w:widowControl/>
        <w:wordWrap/>
        <w:autoSpaceDE/>
        <w:autoSpaceDN/>
        <w:spacing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  <w:r w:rsidRPr="006D7CF7">
        <w:rPr>
          <w:rFonts w:ascii="Arial" w:eastAsia="맑은 고딕" w:hAnsi="Arial" w:cs="Arial"/>
          <w:kern w:val="0"/>
          <w:sz w:val="24"/>
          <w:szCs w:val="24"/>
        </w:rPr>
        <w:t>hs-CRP = high-sensitivity C-reactive protein, ICAS = intracranial atherosclerosis, TG = triglyceride, HDL = high-density lipoprotein</w:t>
      </w:r>
    </w:p>
    <w:p w:rsidR="001F75A1" w:rsidRPr="006D7CF7" w:rsidRDefault="001F75A1" w:rsidP="001F75A1">
      <w:pPr>
        <w:widowControl/>
        <w:wordWrap/>
        <w:autoSpaceDE/>
        <w:autoSpaceDN/>
        <w:spacing w:line="240" w:lineRule="auto"/>
        <w:jc w:val="left"/>
        <w:rPr>
          <w:rFonts w:ascii="Arial" w:eastAsia="맑은 고딕" w:hAnsi="Arial" w:cs="Arial"/>
          <w:b/>
          <w:kern w:val="0"/>
          <w:sz w:val="24"/>
          <w:szCs w:val="24"/>
        </w:rPr>
      </w:pPr>
      <w:r w:rsidRPr="006D7CF7">
        <w:rPr>
          <w:rFonts w:ascii="Arial" w:eastAsia="맑은 고딕" w:hAnsi="Arial" w:cs="Arial"/>
          <w:kern w:val="0"/>
          <w:sz w:val="24"/>
          <w:szCs w:val="24"/>
          <w:vertAlign w:val="superscript"/>
        </w:rPr>
        <w:t>*</w:t>
      </w:r>
      <w:r w:rsidRPr="006D7CF7">
        <w:rPr>
          <w:rFonts w:ascii="Arial" w:eastAsia="맑은 고딕" w:hAnsi="Arial" w:cs="Arial"/>
          <w:kern w:val="0"/>
          <w:sz w:val="24"/>
          <w:szCs w:val="24"/>
        </w:rPr>
        <w:t xml:space="preserve">These variables were standardized by division </w:t>
      </w:r>
      <w:r>
        <w:rPr>
          <w:rFonts w:ascii="Arial" w:eastAsia="맑은 고딕" w:hAnsi="Arial" w:cs="Arial" w:hint="eastAsia"/>
          <w:kern w:val="0"/>
          <w:sz w:val="24"/>
          <w:szCs w:val="24"/>
        </w:rPr>
        <w:t>by the</w:t>
      </w:r>
      <w:r w:rsidRPr="006D7CF7">
        <w:rPr>
          <w:rFonts w:ascii="Arial" w:eastAsia="맑은 고딕" w:hAnsi="Arial" w:cs="Arial"/>
          <w:kern w:val="0"/>
          <w:sz w:val="24"/>
          <w:szCs w:val="24"/>
        </w:rPr>
        <w:t xml:space="preserve"> standard deviation.</w:t>
      </w:r>
    </w:p>
    <w:p w:rsidR="001F75A1" w:rsidRPr="002313C5" w:rsidRDefault="001F75A1" w:rsidP="001F75A1">
      <w:pPr>
        <w:widowControl/>
        <w:wordWrap/>
        <w:autoSpaceDE/>
        <w:autoSpaceDN/>
        <w:spacing w:line="240" w:lineRule="auto"/>
        <w:jc w:val="left"/>
        <w:rPr>
          <w:rFonts w:ascii="Arial" w:eastAsia="맑은 고딕" w:hAnsi="Arial" w:cs="Arial"/>
          <w:b/>
          <w:kern w:val="0"/>
          <w:sz w:val="24"/>
          <w:szCs w:val="24"/>
        </w:rPr>
      </w:pPr>
      <w:r w:rsidRPr="006D7CF7">
        <w:rPr>
          <w:rFonts w:ascii="Arial" w:eastAsia="맑은 고딕" w:hAnsi="Arial" w:cs="Arial"/>
          <w:kern w:val="0"/>
          <w:sz w:val="24"/>
          <w:szCs w:val="24"/>
          <w:vertAlign w:val="superscript"/>
        </w:rPr>
        <w:t>†</w:t>
      </w:r>
      <w:r w:rsidRPr="006D7CF7">
        <w:rPr>
          <w:rFonts w:ascii="Arial" w:eastAsia="맑은 고딕" w:hAnsi="Arial" w:cs="Arial"/>
          <w:kern w:val="0"/>
          <w:sz w:val="24"/>
          <w:szCs w:val="24"/>
        </w:rPr>
        <w:t>These analyses were performed after excluding subjects with statin medication</w:t>
      </w:r>
    </w:p>
    <w:p w:rsidR="001F75A1" w:rsidRPr="002313C5" w:rsidRDefault="001F75A1" w:rsidP="001F75A1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  <w:r w:rsidRPr="002313C5">
        <w:rPr>
          <w:rFonts w:ascii="Arial" w:hAnsi="Arial" w:cs="Arial"/>
          <w:sz w:val="24"/>
          <w:szCs w:val="24"/>
        </w:rPr>
        <w:br w:type="page"/>
      </w:r>
    </w:p>
    <w:p w:rsidR="001F75A1" w:rsidRPr="002313C5" w:rsidRDefault="0007152B" w:rsidP="001F75A1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Additional file 2</w:t>
      </w:r>
      <w:bookmarkStart w:id="0" w:name="_GoBack"/>
      <w:bookmarkEnd w:id="0"/>
      <w:r w:rsidR="001F75A1" w:rsidRPr="002313C5">
        <w:rPr>
          <w:rFonts w:ascii="Arial" w:hAnsi="Arial" w:cs="Arial"/>
          <w:b/>
          <w:sz w:val="24"/>
          <w:szCs w:val="24"/>
        </w:rPr>
        <w:t xml:space="preserve">. Comparisons of risk factors according to TG/HDL </w:t>
      </w:r>
      <w:r w:rsidR="001F75A1">
        <w:rPr>
          <w:rFonts w:ascii="Arial" w:hAnsi="Arial" w:cs="Arial" w:hint="eastAsia"/>
          <w:b/>
          <w:sz w:val="24"/>
          <w:szCs w:val="24"/>
        </w:rPr>
        <w:t xml:space="preserve">cholesterol </w:t>
      </w:r>
      <w:r w:rsidR="001F75A1" w:rsidRPr="002313C5">
        <w:rPr>
          <w:rFonts w:ascii="Arial" w:hAnsi="Arial" w:cs="Arial"/>
          <w:b/>
          <w:sz w:val="24"/>
          <w:szCs w:val="24"/>
        </w:rPr>
        <w:t>ratio teritles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1"/>
        <w:gridCol w:w="1333"/>
        <w:gridCol w:w="2120"/>
        <w:gridCol w:w="2120"/>
        <w:gridCol w:w="1652"/>
      </w:tblGrid>
      <w:tr w:rsidR="001F75A1" w:rsidRPr="002313C5" w:rsidTr="00DB5DB3">
        <w:trPr>
          <w:trHeight w:val="645"/>
        </w:trPr>
        <w:tc>
          <w:tcPr>
            <w:tcW w:w="12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75A1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  <w:t>Tertile 1</w:t>
            </w:r>
          </w:p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 w:val="24"/>
                <w:szCs w:val="24"/>
              </w:rPr>
              <w:t>(&lt; 1.42)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75A1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  <w:t>Tertile 2</w:t>
            </w:r>
          </w:p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 w:val="24"/>
                <w:szCs w:val="24"/>
              </w:rPr>
              <w:t>(1.42-2.56)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75A1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  <w:t>Tertile 3</w:t>
            </w:r>
          </w:p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 w:val="24"/>
                <w:szCs w:val="24"/>
              </w:rPr>
              <w:t>(&gt; 2.56)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b/>
                <w:i/>
                <w:kern w:val="0"/>
                <w:sz w:val="24"/>
                <w:szCs w:val="24"/>
              </w:rPr>
              <w:t>P</w:t>
            </w:r>
            <w:r w:rsidRPr="002313C5"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  <w:t xml:space="preserve"> for trend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Number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1057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1059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Age, y [IQR]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55 [50-63]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57 [52-63]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56 [49-63]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0.386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Sex, male,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421 (39.7)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555 (52.7)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737 (69.7)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Body mass index, kg/m</w:t>
            </w: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2</w:t>
            </w: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[IQR]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22.92 [21.11-24.80]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24.14 [22.26-26.00]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24.98 [23.37-26.93]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Hypertension,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184 (17.3)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255 (24.2)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273 (25.8)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Diabetes,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99 (9.3)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143 (13.6)</w:t>
            </w:r>
          </w:p>
        </w:tc>
        <w:tc>
          <w:tcPr>
            <w:tcW w:w="101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195 (18.4)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Ischemic heart disease,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40 (3.8)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36 (3.4)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48 (4.5)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0.361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Current smoking,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86 (8.1)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124 (11.8)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279 (26.4)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Current alcohol use, n (%)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467 (44.0)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505 (47.9)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567 (53.6)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Fasting glucose, mg/dL [IQR]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89 [82-97]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92 [85-101]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95 [87-105]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White blood cell</w:t>
            </w: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s</w:t>
            </w: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, x 10</w:t>
            </w: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3</w:t>
            </w: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/μL [IQR]</w:t>
            </w:r>
          </w:p>
        </w:tc>
        <w:tc>
          <w:tcPr>
            <w:tcW w:w="969" w:type="pct"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4.81 [4.00-5.83]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5.28 [4.42-6.21]</w:t>
            </w:r>
          </w:p>
        </w:tc>
        <w:tc>
          <w:tcPr>
            <w:tcW w:w="1019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5.90 [4.92-7.12]</w:t>
            </w:r>
          </w:p>
        </w:tc>
        <w:tc>
          <w:tcPr>
            <w:tcW w:w="765" w:type="pct"/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  <w:tr w:rsidR="001F75A1" w:rsidRPr="002313C5" w:rsidTr="00DB5DB3">
        <w:trPr>
          <w:trHeight w:val="330"/>
        </w:trPr>
        <w:tc>
          <w:tcPr>
            <w:tcW w:w="1228" w:type="pct"/>
            <w:tcBorders>
              <w:bottom w:val="single" w:sz="12" w:space="0" w:color="auto"/>
            </w:tcBorders>
          </w:tcPr>
          <w:p w:rsidR="001F75A1" w:rsidRPr="002313C5" w:rsidRDefault="001F75A1" w:rsidP="00DB5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hs-CRP, mg/dL [IQR]</w:t>
            </w: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0.02 [0.01-0.11]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0.05 [0.01-0.15]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0.09 [0.01-0.18]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noWrap/>
          </w:tcPr>
          <w:p w:rsidR="001F75A1" w:rsidRPr="002313C5" w:rsidRDefault="001F75A1" w:rsidP="00DB5DB3">
            <w:pPr>
              <w:widowControl/>
              <w:wordWrap/>
              <w:autoSpaceDE/>
              <w:spacing w:after="0" w:line="240" w:lineRule="auto"/>
              <w:ind w:firstLineChars="100" w:firstLine="240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2313C5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0.001</w:t>
            </w:r>
          </w:p>
        </w:tc>
      </w:tr>
    </w:tbl>
    <w:p w:rsidR="001F75A1" w:rsidRPr="009951C7" w:rsidRDefault="001F75A1" w:rsidP="001F75A1">
      <w:pPr>
        <w:spacing w:line="48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  <w:r w:rsidRPr="009951C7">
        <w:rPr>
          <w:rFonts w:ascii="Arial" w:eastAsia="맑은 고딕" w:hAnsi="Arial" w:cs="Arial" w:hint="eastAsia"/>
          <w:kern w:val="0"/>
          <w:sz w:val="24"/>
          <w:szCs w:val="24"/>
        </w:rPr>
        <w:t>hs-CRP = high-sensitivity C-reactive protein</w:t>
      </w:r>
    </w:p>
    <w:p w:rsidR="00D42918" w:rsidRPr="001F75A1" w:rsidRDefault="0007152B"/>
    <w:sectPr w:rsidR="00D42918" w:rsidRPr="001F75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1"/>
    <w:rsid w:val="0007152B"/>
    <w:rsid w:val="001472AD"/>
    <w:rsid w:val="001F75A1"/>
    <w:rsid w:val="00B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534CA-95B3-41A4-865C-101BA41B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A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nam.stroke@gmail.com</dc:creator>
  <cp:keywords/>
  <dc:description/>
  <cp:lastModifiedBy>Kookmin university</cp:lastModifiedBy>
  <cp:revision>2</cp:revision>
  <dcterms:created xsi:type="dcterms:W3CDTF">2018-12-03T12:44:00Z</dcterms:created>
  <dcterms:modified xsi:type="dcterms:W3CDTF">2019-03-16T00:36:00Z</dcterms:modified>
</cp:coreProperties>
</file>