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5980" w14:textId="77777777" w:rsidR="008E763C" w:rsidRDefault="008E763C" w:rsidP="008E763C">
      <w:pPr>
        <w:ind w:firstLineChars="100" w:firstLine="210"/>
      </w:pPr>
      <w:r>
        <w:rPr>
          <w:noProof/>
        </w:rPr>
        <w:drawing>
          <wp:inline distT="0" distB="0" distL="0" distR="0" wp14:anchorId="06A04AE8" wp14:editId="4E6655EF">
            <wp:extent cx="5274310" cy="362394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93686" w14:textId="7C656329" w:rsidR="008E763C" w:rsidRDefault="008E763C" w:rsidP="008E763C">
      <w:pPr>
        <w:ind w:firstLineChars="50" w:firstLine="120"/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Supplementary Fig.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1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. Characterization assay of percentage of positive MSC markers (CD29, CD44 and CD90) and negative hematopoietic markers (CD34 and CD45) by flow cytometry. (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a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) Flow cytometry analysis of the expression of CD44. (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b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) Flow cytometry analysis of the expression of CD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29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. (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c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) Flow cytometry analysis of the expression of CD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90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. (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d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) Flow cytometry analysis of the expression of CD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45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. (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e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) Flow cytometry analysis of the expression of CD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34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. Gate based on isotype control antibodies.</w:t>
      </w:r>
    </w:p>
    <w:p w14:paraId="700DA744" w14:textId="77777777" w:rsidR="008E763C" w:rsidRDefault="008E763C" w:rsidP="008E763C">
      <w:pP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</w:p>
    <w:p w14:paraId="56D6CDD1" w14:textId="77777777" w:rsidR="008E763C" w:rsidRDefault="008E763C" w:rsidP="008E763C">
      <w:pP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6FB9FBE" wp14:editId="3E2C27C5">
            <wp:extent cx="5274310" cy="2720340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2BD58" w14:textId="77777777" w:rsidR="008E763C" w:rsidRDefault="008E763C" w:rsidP="008E763C">
      <w:pP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</w:p>
    <w:p w14:paraId="43469A75" w14:textId="02352F1A" w:rsidR="008E763C" w:rsidRPr="00D56C9A" w:rsidRDefault="008E763C" w:rsidP="008E763C">
      <w:pP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</w:pP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Supplementary Fig. 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2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. (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a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)</w:t>
      </w:r>
      <w:r w:rsidRPr="00D56C9A">
        <w:t xml:space="preserve"> </w:t>
      </w:r>
      <w:proofErr w:type="spellStart"/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hBMSCs</w:t>
      </w:r>
      <w:proofErr w:type="spellEnd"/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 were cultured for 3 days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，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Cell morphology of </w:t>
      </w:r>
      <w:proofErr w:type="spellStart"/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hBMSCs</w:t>
      </w:r>
      <w:proofErr w:type="spellEnd"/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 was shown under a light mirror. (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b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)The </w:t>
      </w:r>
      <w:proofErr w:type="spellStart"/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hBMSCs</w:t>
      </w:r>
      <w:proofErr w:type="spellEnd"/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 were treated for osteogenic induction for 14 days, (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c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) and mineralization nodules were determined by alizarin red 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lastRenderedPageBreak/>
        <w:t>S staining. (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d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) The </w:t>
      </w:r>
      <w:proofErr w:type="spellStart"/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hBMSCs</w:t>
      </w:r>
      <w:proofErr w:type="spellEnd"/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 were treated for </w:t>
      </w:r>
      <w:proofErr w:type="spellStart"/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adipogenic</w:t>
      </w:r>
      <w:proofErr w:type="spellEnd"/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 induction for 21 days, (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e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)and lipid droplets were determined by Oil Red O staining showed.</w:t>
      </w:r>
    </w:p>
    <w:p w14:paraId="271DC1FD" w14:textId="77777777" w:rsidR="008E763C" w:rsidRDefault="008E763C" w:rsidP="008E763C">
      <w:pPr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</w:pPr>
    </w:p>
    <w:p w14:paraId="3BA7BE35" w14:textId="77777777" w:rsidR="008E763C" w:rsidRDefault="008E763C" w:rsidP="008E763C">
      <w:pPr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5DE31DF" wp14:editId="682C366A">
            <wp:extent cx="5274310" cy="162306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D30B" w14:textId="77777777" w:rsidR="008E763C" w:rsidRDefault="008E763C" w:rsidP="008E763C">
      <w:pPr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</w:pPr>
    </w:p>
    <w:p w14:paraId="2286CB16" w14:textId="77777777" w:rsidR="008E763C" w:rsidRDefault="008E763C" w:rsidP="008E763C">
      <w:pPr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</w:pP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Supplementary Fig.</w:t>
      </w:r>
      <w:r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>3</w:t>
      </w:r>
      <w:r w:rsidRPr="00D56C9A">
        <w:rPr>
          <w:rFonts w:ascii="Times New Roman" w:eastAsia="宋体" w:hAnsi="Times New Roman" w:cs="Times New Roman"/>
          <w:snapToGrid w:val="0"/>
          <w:kern w:val="0"/>
          <w:sz w:val="24"/>
          <w:szCs w:val="24"/>
        </w:rPr>
        <w:t xml:space="preserve">. </w:t>
      </w:r>
      <w:r w:rsidRPr="008E763C"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>Relationship between the</w:t>
      </w:r>
      <w:r w:rsidRPr="008E763C">
        <w:rPr>
          <w:b/>
          <w:bCs/>
        </w:rPr>
        <w:t xml:space="preserve"> </w:t>
      </w:r>
      <w:r w:rsidRPr="008E763C"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urinary cadmium, BM-4 and network indices. </w:t>
      </w:r>
    </w:p>
    <w:p w14:paraId="78051406" w14:textId="1F15CDD9" w:rsidR="008E763C" w:rsidRPr="001520E7" w:rsidRDefault="008E763C" w:rsidP="008E763C">
      <w:pPr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</w:pPr>
      <w:r w:rsidRPr="008E763C"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>(</w:t>
      </w:r>
      <w:r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>a</w:t>
      </w:r>
      <w:r w:rsidRPr="008E763C"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>) Urinary cadmium vs BMP-4. (</w:t>
      </w:r>
      <w:r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>b</w:t>
      </w:r>
      <w:r w:rsidRPr="008E763C"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) BMP-4 vs </w:t>
      </w:r>
      <w:proofErr w:type="spellStart"/>
      <w:r w:rsidRPr="008E763C"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>Tvalue</w:t>
      </w:r>
      <w:proofErr w:type="spellEnd"/>
      <w:r w:rsidRPr="008E763C"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>, where the effect of urinary cadmium is regressed out. (</w:t>
      </w:r>
      <w:r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>c</w:t>
      </w:r>
      <w:r w:rsidRPr="008E763C"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) Urinary cadmium vs </w:t>
      </w:r>
      <w:proofErr w:type="spellStart"/>
      <w:r w:rsidRPr="008E763C"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>Tvalue</w:t>
      </w:r>
      <w:proofErr w:type="spellEnd"/>
      <w:r w:rsidRPr="008E763C">
        <w:rPr>
          <w:rStyle w:val="a3"/>
          <w:rFonts w:ascii="Times New Roman" w:eastAsia="宋体" w:hAnsi="Times New Roman" w:cs="Times New Roman"/>
          <w:b w:val="0"/>
          <w:bCs w:val="0"/>
          <w:snapToGrid w:val="0"/>
          <w:kern w:val="0"/>
          <w:sz w:val="24"/>
          <w:szCs w:val="24"/>
        </w:rPr>
        <w:t xml:space="preserve">, where the effect of BMP-4 is regressed out. A symbol represents an individual. </w:t>
      </w:r>
    </w:p>
    <w:p w14:paraId="2B0361B4" w14:textId="77777777" w:rsidR="0013152D" w:rsidRPr="008E763C" w:rsidRDefault="0013152D"/>
    <w:sectPr w:rsidR="0013152D" w:rsidRPr="008E7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3C"/>
    <w:rsid w:val="0013152D"/>
    <w:rsid w:val="008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8AA4"/>
  <w15:chartTrackingRefBased/>
  <w15:docId w15:val="{5A232716-D744-43E4-8482-E784A002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 宇</dc:creator>
  <cp:keywords/>
  <dc:description/>
  <cp:lastModifiedBy>万 宇</cp:lastModifiedBy>
  <cp:revision>1</cp:revision>
  <dcterms:created xsi:type="dcterms:W3CDTF">2021-07-14T03:40:00Z</dcterms:created>
  <dcterms:modified xsi:type="dcterms:W3CDTF">2021-07-14T03:42:00Z</dcterms:modified>
</cp:coreProperties>
</file>