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8F" w:rsidRDefault="00843D8F" w:rsidP="00843D8F">
      <w:pPr>
        <w:keepNext/>
        <w:spacing w:line="360" w:lineRule="auto"/>
        <w:jc w:val="both"/>
      </w:pPr>
      <w:r w:rsidRPr="00771F27">
        <w:rPr>
          <w:b/>
          <w:noProof/>
          <w:lang w:val="en-US" w:eastAsia="en-US"/>
        </w:rPr>
        <w:drawing>
          <wp:inline distT="0" distB="0" distL="0" distR="0" wp14:anchorId="45D19D2E" wp14:editId="1587C47B">
            <wp:extent cx="5105399" cy="2543175"/>
            <wp:effectExtent l="0" t="0" r="63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el di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5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8F" w:rsidRPr="006B6A6F" w:rsidRDefault="00843D8F" w:rsidP="00843D8F">
      <w:pPr>
        <w:pStyle w:val="Caption"/>
        <w:jc w:val="both"/>
        <w:rPr>
          <w:color w:val="auto"/>
          <w:sz w:val="24"/>
          <w:szCs w:val="24"/>
        </w:rPr>
      </w:pPr>
      <w:bookmarkStart w:id="0" w:name="_Ref71058959"/>
      <w:r w:rsidRPr="00F61D73">
        <w:rPr>
          <w:color w:val="auto"/>
          <w:sz w:val="24"/>
          <w:szCs w:val="24"/>
        </w:rPr>
        <w:t>Additional file S</w:t>
      </w:r>
      <w:bookmarkEnd w:id="0"/>
      <w:r w:rsidR="006169A4">
        <w:rPr>
          <w:color w:val="auto"/>
          <w:sz w:val="24"/>
          <w:szCs w:val="24"/>
        </w:rPr>
        <w:t>5</w:t>
      </w:r>
      <w:r w:rsidRPr="00F61D73">
        <w:rPr>
          <w:color w:val="auto"/>
          <w:sz w:val="24"/>
          <w:szCs w:val="24"/>
        </w:rPr>
        <w:t>:</w:t>
      </w:r>
      <w:bookmarkStart w:id="1" w:name="_Toc70609992"/>
      <w:r w:rsidRPr="00F61D73">
        <w:rPr>
          <w:color w:val="auto"/>
          <w:sz w:val="24"/>
          <w:szCs w:val="24"/>
        </w:rPr>
        <w:t xml:space="preserve"> </w:t>
      </w:r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Funnel plot of comparison: dihydroartemisinin-piperaquine versus artemether-lumefantrine for treatment of uncomplicated </w:t>
      </w:r>
      <w:r w:rsidRPr="00F61D73">
        <w:rPr>
          <w:rFonts w:eastAsia="Times New Roman" w:cs="Times New Roman"/>
          <w:b w:val="0"/>
          <w:i/>
          <w:color w:val="auto"/>
          <w:sz w:val="24"/>
          <w:szCs w:val="24"/>
        </w:rPr>
        <w:t>plasmodium falciparum</w:t>
      </w:r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malaria </w:t>
      </w:r>
      <w:r w:rsidR="006169A4">
        <w:rPr>
          <w:rFonts w:eastAsia="Times New Roman" w:cs="Times New Roman"/>
          <w:b w:val="0"/>
          <w:color w:val="auto"/>
          <w:sz w:val="24"/>
          <w:szCs w:val="24"/>
        </w:rPr>
        <w:t>among children in Africa</w:t>
      </w:r>
      <w:bookmarkStart w:id="2" w:name="_GoBack"/>
      <w:bookmarkEnd w:id="2"/>
      <w:r w:rsidRPr="00F61D73">
        <w:rPr>
          <w:rFonts w:eastAsia="Times New Roman" w:cs="Times New Roman"/>
          <w:b w:val="0"/>
          <w:color w:val="auto"/>
          <w:sz w:val="24"/>
          <w:szCs w:val="24"/>
        </w:rPr>
        <w:t>, outcome: Gastrointestinal adverse events (diarrhea).</w:t>
      </w:r>
      <w:bookmarkEnd w:id="1"/>
    </w:p>
    <w:p w:rsidR="00F16AFB" w:rsidRDefault="00F16AFB"/>
    <w:sectPr w:rsidR="00F1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F"/>
    <w:rsid w:val="002A6CAB"/>
    <w:rsid w:val="002C1F03"/>
    <w:rsid w:val="006169A4"/>
    <w:rsid w:val="00627376"/>
    <w:rsid w:val="00843D8F"/>
    <w:rsid w:val="00C37518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3D8F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8F"/>
    <w:rPr>
      <w:rFonts w:ascii="Tahoma" w:eastAsia="Times New Roman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3D8F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8F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2021-05-04T20:29:00Z</dcterms:created>
  <dcterms:modified xsi:type="dcterms:W3CDTF">2021-07-12T10:50:00Z</dcterms:modified>
</cp:coreProperties>
</file>