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8F6B" w14:textId="35C63C2F" w:rsidR="00625CEC" w:rsidRPr="00625CEC" w:rsidRDefault="003530C1" w:rsidP="002F403F">
      <w:pPr>
        <w:spacing w:line="360" w:lineRule="auto"/>
        <w:rPr>
          <w:rFonts w:ascii="Arial" w:hAnsi="Arial" w:cs="Arial"/>
          <w:color w:val="000000"/>
        </w:rPr>
      </w:pPr>
      <w:r w:rsidRPr="00625CEC">
        <w:rPr>
          <w:rFonts w:ascii="Arial" w:hAnsi="Arial" w:cs="Arial"/>
          <w:b/>
          <w:color w:val="000000"/>
        </w:rPr>
        <w:t xml:space="preserve">Supplemental Digital Content </w:t>
      </w:r>
      <w:r w:rsidR="007E7745">
        <w:rPr>
          <w:rFonts w:ascii="Arial" w:hAnsi="Arial" w:cs="Arial"/>
          <w:b/>
          <w:color w:val="000000"/>
        </w:rPr>
        <w:t>2</w:t>
      </w:r>
      <w:r w:rsidR="005D30DF" w:rsidRPr="00625CEC">
        <w:rPr>
          <w:rFonts w:ascii="Arial" w:hAnsi="Arial" w:cs="Arial"/>
          <w:b/>
          <w:color w:val="000000"/>
        </w:rPr>
        <w:br/>
      </w:r>
    </w:p>
    <w:p w14:paraId="003F5CCF" w14:textId="0BC1E693" w:rsidR="009B1551" w:rsidRPr="00625CEC" w:rsidRDefault="009B1551" w:rsidP="002F403F">
      <w:pPr>
        <w:spacing w:line="360" w:lineRule="auto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Exclusion criteria</w:t>
      </w:r>
    </w:p>
    <w:p w14:paraId="14E51215" w14:textId="45C8E26F" w:rsidR="009B1551" w:rsidRPr="00625CEC" w:rsidRDefault="009B1551" w:rsidP="002F403F">
      <w:pPr>
        <w:spacing w:after="160" w:line="360" w:lineRule="auto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Patients fulfilling any of the following criteria were not eligible</w:t>
      </w:r>
      <w:r w:rsidR="00625CEC" w:rsidRPr="00625CEC">
        <w:rPr>
          <w:rFonts w:ascii="Arial" w:hAnsi="Arial" w:cs="Arial"/>
          <w:color w:val="000000"/>
          <w:sz w:val="20"/>
        </w:rPr>
        <w:t xml:space="preserve"> for inclusion in the study. No </w:t>
      </w:r>
      <w:r w:rsidRPr="00625CEC">
        <w:rPr>
          <w:rFonts w:ascii="Arial" w:hAnsi="Arial" w:cs="Arial"/>
          <w:color w:val="000000"/>
          <w:sz w:val="20"/>
        </w:rPr>
        <w:t>additional exclusions could be applied by the investigator in</w:t>
      </w:r>
      <w:r w:rsidR="00625CEC" w:rsidRPr="00625CEC">
        <w:rPr>
          <w:rFonts w:ascii="Arial" w:hAnsi="Arial" w:cs="Arial"/>
          <w:color w:val="000000"/>
          <w:sz w:val="20"/>
        </w:rPr>
        <w:t xml:space="preserve"> order to ensure that the study </w:t>
      </w:r>
      <w:r w:rsidRPr="00625CEC">
        <w:rPr>
          <w:rFonts w:ascii="Arial" w:hAnsi="Arial" w:cs="Arial"/>
          <w:color w:val="000000"/>
          <w:sz w:val="20"/>
        </w:rPr>
        <w:t>population was representative of all eligible patients.</w:t>
      </w:r>
    </w:p>
    <w:p w14:paraId="32F36423" w14:textId="77777777" w:rsidR="009B1551" w:rsidRPr="00625CEC" w:rsidRDefault="009B1551" w:rsidP="002F403F">
      <w:pPr>
        <w:spacing w:after="160" w:line="360" w:lineRule="auto"/>
        <w:rPr>
          <w:rFonts w:ascii="Arial" w:hAnsi="Arial" w:cs="Arial"/>
          <w:i/>
          <w:color w:val="000000"/>
          <w:sz w:val="20"/>
        </w:rPr>
      </w:pPr>
      <w:r w:rsidRPr="00625CEC">
        <w:rPr>
          <w:rFonts w:ascii="Arial" w:hAnsi="Arial" w:cs="Arial"/>
          <w:i/>
          <w:color w:val="000000"/>
          <w:sz w:val="20"/>
        </w:rPr>
        <w:t>Exclusion criteria for patients</w:t>
      </w:r>
    </w:p>
    <w:p w14:paraId="3E555AB4" w14:textId="77777777" w:rsidR="009B1551" w:rsidRPr="00625CEC" w:rsidRDefault="009B1551" w:rsidP="002F403F">
      <w:pPr>
        <w:spacing w:after="160" w:line="360" w:lineRule="auto"/>
        <w:ind w:left="36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1. Inability to comply with study or follow-up procedures</w:t>
      </w:r>
    </w:p>
    <w:p w14:paraId="557D4089" w14:textId="0C2FA9C6" w:rsidR="009B1551" w:rsidRPr="00625CEC" w:rsidRDefault="009B1551" w:rsidP="002F403F">
      <w:pPr>
        <w:spacing w:after="160" w:line="360" w:lineRule="auto"/>
        <w:ind w:left="36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2. Pregnant or nursing (lactating) women, where pregnanc</w:t>
      </w:r>
      <w:r w:rsidR="00625CEC" w:rsidRPr="00625CEC">
        <w:rPr>
          <w:rFonts w:ascii="Arial" w:hAnsi="Arial" w:cs="Arial"/>
          <w:color w:val="000000"/>
          <w:sz w:val="20"/>
        </w:rPr>
        <w:t xml:space="preserve">y was defined as the state of a </w:t>
      </w:r>
      <w:r w:rsidRPr="00625CEC">
        <w:rPr>
          <w:rFonts w:ascii="Arial" w:hAnsi="Arial" w:cs="Arial"/>
          <w:color w:val="000000"/>
          <w:sz w:val="20"/>
        </w:rPr>
        <w:t>female after conception and until the termination of ges</w:t>
      </w:r>
      <w:r w:rsidR="00625CEC" w:rsidRPr="00625CEC">
        <w:rPr>
          <w:rFonts w:ascii="Arial" w:hAnsi="Arial" w:cs="Arial"/>
          <w:color w:val="000000"/>
          <w:sz w:val="20"/>
        </w:rPr>
        <w:t xml:space="preserve">tation, confirmed by a positive </w:t>
      </w:r>
      <w:r w:rsidRPr="00625CEC">
        <w:rPr>
          <w:rFonts w:ascii="Arial" w:hAnsi="Arial" w:cs="Arial"/>
          <w:color w:val="000000"/>
          <w:sz w:val="20"/>
        </w:rPr>
        <w:t>h-chorionic gonadotropin laboratory test</w:t>
      </w:r>
    </w:p>
    <w:p w14:paraId="44A2140F" w14:textId="6360045B" w:rsidR="009B1551" w:rsidRPr="00625CEC" w:rsidRDefault="009B1551" w:rsidP="002F403F">
      <w:pPr>
        <w:spacing w:after="160" w:line="360" w:lineRule="auto"/>
        <w:ind w:left="36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3. Women of child-bearing potential, defined as all w</w:t>
      </w:r>
      <w:r w:rsidR="00625CEC" w:rsidRPr="00625CEC">
        <w:rPr>
          <w:rFonts w:ascii="Arial" w:hAnsi="Arial" w:cs="Arial"/>
          <w:color w:val="000000"/>
          <w:sz w:val="20"/>
        </w:rPr>
        <w:t xml:space="preserve">omen physiologically capable of </w:t>
      </w:r>
      <w:r w:rsidRPr="00625CEC">
        <w:rPr>
          <w:rFonts w:ascii="Arial" w:hAnsi="Arial" w:cs="Arial"/>
          <w:color w:val="000000"/>
          <w:sz w:val="20"/>
        </w:rPr>
        <w:t xml:space="preserve">becoming pregnant, unless they were using effective </w:t>
      </w:r>
      <w:r w:rsidR="00625CEC" w:rsidRPr="00625CEC">
        <w:rPr>
          <w:rFonts w:ascii="Arial" w:hAnsi="Arial" w:cs="Arial"/>
          <w:color w:val="000000"/>
          <w:sz w:val="20"/>
        </w:rPr>
        <w:t xml:space="preserve">methods of contraception during </w:t>
      </w:r>
      <w:r w:rsidRPr="00625CEC">
        <w:rPr>
          <w:rFonts w:ascii="Arial" w:hAnsi="Arial" w:cs="Arial"/>
          <w:color w:val="000000"/>
          <w:sz w:val="20"/>
        </w:rPr>
        <w:t>dosing of study drug. Effective contraception methods included:</w:t>
      </w:r>
      <w:r w:rsidRPr="00625CEC">
        <w:rPr>
          <w:rFonts w:ascii="Arial" w:hAnsi="Arial" w:cs="Arial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Total abstinence (when this was in line with the preferred and usual lifestyle of the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 xml:space="preserve">patient). Periodic abstinence (e.g., calendar, ovulation, symptothermal, </w:t>
      </w:r>
      <w:r w:rsidR="00294C23">
        <w:rPr>
          <w:rFonts w:ascii="Arial" w:hAnsi="Arial" w:cs="Arial"/>
          <w:color w:val="000000"/>
          <w:sz w:val="20"/>
        </w:rPr>
        <w:br/>
      </w:r>
      <w:r w:rsidRPr="00625CEC">
        <w:rPr>
          <w:rFonts w:ascii="Arial" w:hAnsi="Arial" w:cs="Arial"/>
          <w:color w:val="000000"/>
          <w:sz w:val="20"/>
        </w:rPr>
        <w:t>post-ovulation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methods) and withdrawal were not acceptable methods of contraception</w:t>
      </w:r>
    </w:p>
    <w:p w14:paraId="791822DA" w14:textId="5A4700A9" w:rsidR="009B1551" w:rsidRPr="00625CEC" w:rsidRDefault="009B1551" w:rsidP="00573E5B">
      <w:pPr>
        <w:pStyle w:val="ListParagraph"/>
        <w:numPr>
          <w:ilvl w:val="0"/>
          <w:numId w:val="16"/>
        </w:num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Female sterilization (had surgical bilateral oophorectomy with or without hysterectomy)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or tubal ligation at least 6 weeks before taking study drug. In case of oophorectomy alone,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only when the reproductive status of the woman had been confirmed by follow-up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hormone level assessment</w:t>
      </w:r>
    </w:p>
    <w:p w14:paraId="0632FF72" w14:textId="7A03167B" w:rsidR="009B1551" w:rsidRPr="00625CEC" w:rsidRDefault="009B1551" w:rsidP="00573E5B">
      <w:pPr>
        <w:pStyle w:val="ListParagraph"/>
        <w:numPr>
          <w:ilvl w:val="0"/>
          <w:numId w:val="16"/>
        </w:num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Male sterilization (at least 6 months prior to screening). For female patients on the study,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the vasectomized male partner was to be her sole partner</w:t>
      </w:r>
    </w:p>
    <w:p w14:paraId="24BEC9DB" w14:textId="5453897C" w:rsidR="009B1551" w:rsidRPr="00625CEC" w:rsidRDefault="009B1551" w:rsidP="00573E5B">
      <w:pPr>
        <w:pStyle w:val="ListParagraph"/>
        <w:numPr>
          <w:ilvl w:val="0"/>
          <w:numId w:val="16"/>
        </w:num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Barrier methods of contraception: condom or occlusive cap (diaphragm or cervical/vault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caps) with spermicidal foam/gel/film/cream/vaginal suppository</w:t>
      </w:r>
    </w:p>
    <w:p w14:paraId="3EFC27C5" w14:textId="255AFED4" w:rsidR="009B1551" w:rsidRPr="00625CEC" w:rsidRDefault="009B1551" w:rsidP="00573E5B">
      <w:pPr>
        <w:pStyle w:val="ListParagraph"/>
        <w:numPr>
          <w:ilvl w:val="0"/>
          <w:numId w:val="16"/>
        </w:num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Use of oral, injected</w:t>
      </w:r>
      <w:r w:rsidR="0055783B">
        <w:rPr>
          <w:rFonts w:ascii="Arial" w:hAnsi="Arial" w:cs="Arial"/>
          <w:color w:val="000000"/>
          <w:sz w:val="20"/>
        </w:rPr>
        <w:t>,</w:t>
      </w:r>
      <w:r w:rsidRPr="00625CEC">
        <w:rPr>
          <w:rFonts w:ascii="Arial" w:hAnsi="Arial" w:cs="Arial"/>
          <w:color w:val="000000"/>
          <w:sz w:val="20"/>
        </w:rPr>
        <w:t xml:space="preserve"> or implanted hormonal methods of contraception or other forms of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hormonal contraception that had comparable efficacy (failure rate &lt;1%), for example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hormone vaginal ring or transdermal hormone contraception</w:t>
      </w:r>
    </w:p>
    <w:p w14:paraId="6A8E94BE" w14:textId="73171627" w:rsidR="009B1551" w:rsidRPr="00625CEC" w:rsidRDefault="009B1551" w:rsidP="00573E5B">
      <w:pPr>
        <w:pStyle w:val="ListParagraph"/>
        <w:numPr>
          <w:ilvl w:val="0"/>
          <w:numId w:val="16"/>
        </w:num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Placement of an intrauterine device or intrauterine system</w:t>
      </w:r>
    </w:p>
    <w:p w14:paraId="1C2B86B8" w14:textId="4B0709ED" w:rsidR="009B1551" w:rsidRPr="00625CEC" w:rsidRDefault="009B1551" w:rsidP="00573E5B">
      <w:pPr>
        <w:spacing w:after="160" w:line="360" w:lineRule="auto"/>
        <w:ind w:left="36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 xml:space="preserve">In </w:t>
      </w:r>
      <w:r w:rsidR="0055783B">
        <w:rPr>
          <w:rFonts w:ascii="Arial" w:hAnsi="Arial" w:cs="Arial"/>
          <w:color w:val="000000"/>
          <w:sz w:val="20"/>
        </w:rPr>
        <w:t xml:space="preserve">the </w:t>
      </w:r>
      <w:r w:rsidRPr="00625CEC">
        <w:rPr>
          <w:rFonts w:ascii="Arial" w:hAnsi="Arial" w:cs="Arial"/>
          <w:color w:val="000000"/>
          <w:sz w:val="20"/>
        </w:rPr>
        <w:t>case of oral contraception</w:t>
      </w:r>
      <w:r w:rsidR="0055783B" w:rsidRPr="0055783B">
        <w:rPr>
          <w:rFonts w:ascii="Arial" w:hAnsi="Arial" w:cs="Arial"/>
          <w:color w:val="000000"/>
          <w:sz w:val="20"/>
        </w:rPr>
        <w:t xml:space="preserve"> </w:t>
      </w:r>
      <w:r w:rsidR="0055783B" w:rsidRPr="00625CEC">
        <w:rPr>
          <w:rFonts w:ascii="Arial" w:hAnsi="Arial" w:cs="Arial"/>
          <w:color w:val="000000"/>
          <w:sz w:val="20"/>
        </w:rPr>
        <w:t>use</w:t>
      </w:r>
      <w:r w:rsidRPr="00625CEC">
        <w:rPr>
          <w:rFonts w:ascii="Arial" w:hAnsi="Arial" w:cs="Arial"/>
          <w:color w:val="000000"/>
          <w:sz w:val="20"/>
        </w:rPr>
        <w:t>, women were to be stable</w:t>
      </w:r>
      <w:r w:rsidR="00625CEC" w:rsidRPr="00625CEC">
        <w:rPr>
          <w:rFonts w:ascii="Arial" w:hAnsi="Arial" w:cs="Arial"/>
          <w:color w:val="000000"/>
          <w:sz w:val="20"/>
        </w:rPr>
        <w:t xml:space="preserve"> on the same contraceptive pill </w:t>
      </w:r>
      <w:r w:rsidRPr="00625CEC">
        <w:rPr>
          <w:rFonts w:ascii="Arial" w:hAnsi="Arial" w:cs="Arial"/>
          <w:color w:val="000000"/>
          <w:sz w:val="20"/>
        </w:rPr>
        <w:t>for a minimum of 3 m</w:t>
      </w:r>
      <w:r w:rsidR="00625CEC" w:rsidRPr="00625CEC">
        <w:rPr>
          <w:rFonts w:ascii="Arial" w:hAnsi="Arial" w:cs="Arial"/>
          <w:color w:val="000000"/>
          <w:sz w:val="20"/>
        </w:rPr>
        <w:t xml:space="preserve">onths before taking study drug. </w:t>
      </w:r>
      <w:r w:rsidRPr="00625CEC">
        <w:rPr>
          <w:rFonts w:ascii="Arial" w:hAnsi="Arial" w:cs="Arial"/>
          <w:color w:val="000000"/>
          <w:sz w:val="20"/>
        </w:rPr>
        <w:t>Women were considered post-menopausal and not of childbearing potential if they had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12 months of natural (spontaneous) amenorrhea with an appropriate clinical profile (e.g., age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appropriate, history of vasomotor symptoms) or had surgical bilateral oophorectomy (with or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 xml:space="preserve">without hysterectomy) or tubal ligation at least 6 weeks </w:t>
      </w:r>
      <w:r w:rsidR="0055783B">
        <w:rPr>
          <w:rFonts w:ascii="Arial" w:hAnsi="Arial" w:cs="Arial"/>
          <w:color w:val="000000"/>
          <w:sz w:val="20"/>
        </w:rPr>
        <w:t>previously</w:t>
      </w:r>
      <w:r w:rsidRPr="00625CEC">
        <w:rPr>
          <w:rFonts w:ascii="Arial" w:hAnsi="Arial" w:cs="Arial"/>
          <w:color w:val="000000"/>
          <w:sz w:val="20"/>
        </w:rPr>
        <w:t xml:space="preserve">. In the case </w:t>
      </w:r>
      <w:r w:rsidRPr="00625CEC">
        <w:rPr>
          <w:rFonts w:ascii="Arial" w:hAnsi="Arial" w:cs="Arial"/>
          <w:color w:val="000000"/>
          <w:sz w:val="20"/>
        </w:rPr>
        <w:lastRenderedPageBreak/>
        <w:t>of oophorectomy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alone, only when the reproductive status of the woman had been confirmed by follow</w:t>
      </w:r>
      <w:r w:rsidR="0055783B">
        <w:rPr>
          <w:rFonts w:ascii="Arial" w:hAnsi="Arial" w:cs="Arial"/>
          <w:color w:val="000000"/>
          <w:sz w:val="20"/>
        </w:rPr>
        <w:t>-</w:t>
      </w:r>
      <w:r w:rsidRPr="00625CEC">
        <w:rPr>
          <w:rFonts w:ascii="Arial" w:hAnsi="Arial" w:cs="Arial"/>
          <w:color w:val="000000"/>
          <w:sz w:val="20"/>
        </w:rPr>
        <w:t>up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hormone level assessment was she considered not of childbearing potential</w:t>
      </w:r>
    </w:p>
    <w:p w14:paraId="4CDBF452" w14:textId="77777777" w:rsidR="009B1551" w:rsidRPr="00625CEC" w:rsidRDefault="009B1551" w:rsidP="00573E5B">
      <w:pPr>
        <w:spacing w:after="160" w:line="360" w:lineRule="auto"/>
        <w:rPr>
          <w:rFonts w:ascii="Arial" w:hAnsi="Arial" w:cs="Arial"/>
          <w:i/>
          <w:color w:val="000000"/>
          <w:sz w:val="20"/>
        </w:rPr>
      </w:pPr>
      <w:r w:rsidRPr="00625CEC">
        <w:rPr>
          <w:rFonts w:ascii="Arial" w:hAnsi="Arial" w:cs="Arial"/>
          <w:i/>
          <w:color w:val="000000"/>
          <w:sz w:val="20"/>
        </w:rPr>
        <w:t>Exclusion criteria for systemic medical history and conditions</w:t>
      </w:r>
    </w:p>
    <w:p w14:paraId="4273C3A5" w14:textId="41930259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4. Any type of systemic disease or its treatment, including an</w:t>
      </w:r>
      <w:r w:rsidR="00625CEC" w:rsidRPr="00625CEC">
        <w:rPr>
          <w:rFonts w:ascii="Arial" w:hAnsi="Arial" w:cs="Arial"/>
          <w:color w:val="000000"/>
          <w:sz w:val="20"/>
        </w:rPr>
        <w:t xml:space="preserve">y medical condition (controlled </w:t>
      </w:r>
      <w:r w:rsidRPr="00625CEC">
        <w:rPr>
          <w:rFonts w:ascii="Arial" w:hAnsi="Arial" w:cs="Arial"/>
          <w:color w:val="000000"/>
          <w:sz w:val="20"/>
        </w:rPr>
        <w:t>or uncontrolled) that could be expected to progress, recur, or change to such an extent that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it could bias the assessment of the clinical status of the patient to a significant degree or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put the patient at special risk</w:t>
      </w:r>
    </w:p>
    <w:p w14:paraId="6E255CEB" w14:textId="7777777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5. Stroke or myocardial infarction less than 3 months prior to screening</w:t>
      </w:r>
    </w:p>
    <w:p w14:paraId="53608635" w14:textId="7A68469B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 xml:space="preserve">6. Uncontrolled blood pressure defined as </w:t>
      </w:r>
      <w:r w:rsidR="00F17268">
        <w:rPr>
          <w:rFonts w:ascii="Arial" w:hAnsi="Arial" w:cs="Arial"/>
          <w:color w:val="000000"/>
          <w:sz w:val="20"/>
        </w:rPr>
        <w:t xml:space="preserve">a </w:t>
      </w:r>
      <w:r w:rsidRPr="00625CEC">
        <w:rPr>
          <w:rFonts w:ascii="Arial" w:hAnsi="Arial" w:cs="Arial"/>
          <w:color w:val="000000"/>
          <w:sz w:val="20"/>
        </w:rPr>
        <w:t>systolic value of &gt;160 mm Hg or diastolic value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of &gt;100 mm Hg at screening or baseline</w:t>
      </w:r>
    </w:p>
    <w:p w14:paraId="3BE1BA9B" w14:textId="06946720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7. Known hypersensitivity to ranibizumab or any component of the ranibizumab formulation,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or fluorescein</w:t>
      </w:r>
    </w:p>
    <w:p w14:paraId="5DC0A6AC" w14:textId="77777777" w:rsidR="009B1551" w:rsidRPr="00625CEC" w:rsidRDefault="009B1551" w:rsidP="00573E5B">
      <w:pPr>
        <w:spacing w:after="160" w:line="360" w:lineRule="auto"/>
        <w:rPr>
          <w:rFonts w:ascii="Arial" w:hAnsi="Arial" w:cs="Arial"/>
          <w:i/>
          <w:color w:val="000000"/>
          <w:sz w:val="20"/>
        </w:rPr>
      </w:pPr>
      <w:r w:rsidRPr="00625CEC">
        <w:rPr>
          <w:rFonts w:ascii="Arial" w:hAnsi="Arial" w:cs="Arial"/>
          <w:i/>
          <w:color w:val="000000"/>
          <w:sz w:val="20"/>
        </w:rPr>
        <w:t>Exclusion criteria for ocular medical history and conditions</w:t>
      </w:r>
    </w:p>
    <w:p w14:paraId="42C6F092" w14:textId="7777777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For either eye:</w:t>
      </w:r>
    </w:p>
    <w:p w14:paraId="5D00F894" w14:textId="7C837EEE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8. Any active periocular or ocular infection or inflammation (e.g., blepharitis, conjunctivitis,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keratitis, scleritis, uveitis, endophthalmitis) at the time of screening or baseline</w:t>
      </w:r>
      <w:r w:rsidRPr="00625CEC">
        <w:rPr>
          <w:rFonts w:ascii="Arial" w:hAnsi="Arial" w:cs="Arial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Uncontrolled glaucoma (IOP ≥30 mm Hg on medication or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according to investigator’s judgment) at the time of screening or baseline</w:t>
      </w:r>
    </w:p>
    <w:p w14:paraId="094D3437" w14:textId="7777777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10. Neovascularization of the iris or neovascular glaucoma at the time of screening or baseline</w:t>
      </w:r>
    </w:p>
    <w:p w14:paraId="71D8CB6A" w14:textId="5BA978E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11. Inability to obtain OCT images of sufficient quality to be analyzed</w:t>
      </w:r>
    </w:p>
    <w:p w14:paraId="25008C82" w14:textId="7777777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For the study eye:</w:t>
      </w:r>
    </w:p>
    <w:p w14:paraId="64DA78DB" w14:textId="09E290E4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12. Cataract (if causing significant visual impairment), aphakia, severe vitreous hemorrhage,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rhegmatogenous retinal detachment, proliferative retinopathy or choroidal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neovascularization of any other cause than nAMD (e.g., ocular histoplasmosis, pathologic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myopia) at the time of screening or baseline</w:t>
      </w:r>
    </w:p>
    <w:p w14:paraId="0F75FF1A" w14:textId="3E286413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 xml:space="preserve">13. Irreversible structural damage within 0.5 disc diameter of the center of the macula </w:t>
      </w:r>
      <w:r w:rsidR="00F17268">
        <w:rPr>
          <w:rFonts w:ascii="Arial" w:hAnsi="Arial" w:cs="Arial"/>
          <w:color w:val="000000"/>
          <w:sz w:val="20"/>
        </w:rPr>
        <w:br/>
      </w:r>
      <w:r w:rsidRPr="00625CEC">
        <w:rPr>
          <w:rFonts w:ascii="Arial" w:hAnsi="Arial" w:cs="Arial"/>
          <w:color w:val="000000"/>
          <w:sz w:val="20"/>
        </w:rPr>
        <w:t>(e.g.,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vitreomacular traction, epiretinal membrane, scar, laser burn, macular hole) at the time of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screening or baseline that in the investigator’s opinion could substantially impact visual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function improvement with treatment</w:t>
      </w:r>
    </w:p>
    <w:p w14:paraId="3CC85001" w14:textId="7777777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14. Atrophy or fibrosis involving the center of the fovea</w:t>
      </w:r>
    </w:p>
    <w:p w14:paraId="6BB1FBBF" w14:textId="7777777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lastRenderedPageBreak/>
        <w:t>15. Total area of fibrosis comprising more than 50% of the lesion area</w:t>
      </w:r>
    </w:p>
    <w:p w14:paraId="2613AFDF" w14:textId="77777777" w:rsidR="009B1551" w:rsidRPr="00625CEC" w:rsidRDefault="009B1551" w:rsidP="00573E5B">
      <w:pPr>
        <w:spacing w:after="160" w:line="360" w:lineRule="auto"/>
        <w:rPr>
          <w:rFonts w:ascii="Arial" w:hAnsi="Arial" w:cs="Arial"/>
          <w:i/>
          <w:color w:val="000000"/>
          <w:sz w:val="20"/>
        </w:rPr>
      </w:pPr>
      <w:r w:rsidRPr="00625CEC">
        <w:rPr>
          <w:rFonts w:ascii="Arial" w:hAnsi="Arial" w:cs="Arial"/>
          <w:i/>
          <w:color w:val="000000"/>
          <w:sz w:val="20"/>
        </w:rPr>
        <w:t>Exclusion criteria for prior or current systemic medication</w:t>
      </w:r>
    </w:p>
    <w:p w14:paraId="53CD8521" w14:textId="10CB3404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16. Use of other investigational drugs within 30 days or 5 half-lives from baseline, whichever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was longer</w:t>
      </w:r>
    </w:p>
    <w:p w14:paraId="5AB21BE3" w14:textId="5E9742E9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17. Use of any systemic anti-VEGF drugs within 3 months prior to baseline (e.g.,bevacizumab [Avastin</w:t>
      </w:r>
      <w:r w:rsidRPr="00573E5B">
        <w:rPr>
          <w:rFonts w:ascii="Arial" w:hAnsi="Arial" w:cs="Arial"/>
          <w:color w:val="000000"/>
          <w:sz w:val="20"/>
          <w:vertAlign w:val="superscript"/>
        </w:rPr>
        <w:t>®</w:t>
      </w:r>
      <w:r w:rsidRPr="00625CEC">
        <w:rPr>
          <w:rFonts w:ascii="Arial" w:hAnsi="Arial" w:cs="Arial"/>
          <w:color w:val="000000"/>
          <w:sz w:val="20"/>
        </w:rPr>
        <w:t>])</w:t>
      </w:r>
    </w:p>
    <w:p w14:paraId="7DE4CA86" w14:textId="7777777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18. Use of systemic corticosteroids for at least 30 consecutive days within 3 months prior to</w:t>
      </w:r>
    </w:p>
    <w:p w14:paraId="4D3A6892" w14:textId="7777777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screening</w:t>
      </w:r>
    </w:p>
    <w:p w14:paraId="2388474A" w14:textId="0C7E083D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19. Current or planned use of systemic medications known to be toxic to the lens, retina</w:t>
      </w:r>
      <w:r w:rsidR="00F17268">
        <w:rPr>
          <w:rFonts w:ascii="Arial" w:hAnsi="Arial" w:cs="Arial"/>
          <w:color w:val="000000"/>
          <w:sz w:val="20"/>
        </w:rPr>
        <w:t>,</w:t>
      </w:r>
      <w:r w:rsidRPr="00625CEC">
        <w:rPr>
          <w:rFonts w:ascii="Arial" w:hAnsi="Arial" w:cs="Arial"/>
          <w:color w:val="000000"/>
          <w:sz w:val="20"/>
        </w:rPr>
        <w:t xml:space="preserve"> or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optic nerve, including deferoxamine, chloroquine/hydroxychloroquine (Plaquenil</w:t>
      </w:r>
      <w:r w:rsidRPr="00573E5B">
        <w:rPr>
          <w:rFonts w:ascii="Arial" w:hAnsi="Arial" w:cs="Arial"/>
          <w:color w:val="000000"/>
          <w:sz w:val="20"/>
          <w:vertAlign w:val="superscript"/>
        </w:rPr>
        <w:t>®</w:t>
      </w:r>
      <w:r w:rsidRPr="00625CEC">
        <w:rPr>
          <w:rFonts w:ascii="Arial" w:hAnsi="Arial" w:cs="Arial"/>
          <w:color w:val="000000"/>
          <w:sz w:val="20"/>
        </w:rPr>
        <w:t>),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 xml:space="preserve">tamoxifen, </w:t>
      </w:r>
      <w:r w:rsidR="00625CEC" w:rsidRPr="00625CEC">
        <w:rPr>
          <w:rFonts w:ascii="Arial" w:hAnsi="Arial" w:cs="Arial"/>
          <w:color w:val="000000"/>
          <w:sz w:val="20"/>
        </w:rPr>
        <w:t>p</w:t>
      </w:r>
      <w:r w:rsidRPr="00625CEC">
        <w:rPr>
          <w:rFonts w:ascii="Arial" w:hAnsi="Arial" w:cs="Arial"/>
          <w:color w:val="000000"/>
          <w:sz w:val="20"/>
        </w:rPr>
        <w:t>henothiazines</w:t>
      </w:r>
      <w:r w:rsidR="00F17268">
        <w:rPr>
          <w:rFonts w:ascii="Arial" w:hAnsi="Arial" w:cs="Arial"/>
          <w:color w:val="000000"/>
          <w:sz w:val="20"/>
        </w:rPr>
        <w:t>,</w:t>
      </w:r>
      <w:r w:rsidRPr="00625CEC">
        <w:rPr>
          <w:rFonts w:ascii="Arial" w:hAnsi="Arial" w:cs="Arial"/>
          <w:color w:val="000000"/>
          <w:sz w:val="20"/>
        </w:rPr>
        <w:t xml:space="preserve"> and ethambutol</w:t>
      </w:r>
    </w:p>
    <w:p w14:paraId="3E239BCE" w14:textId="77777777" w:rsidR="009B1551" w:rsidRPr="00625CEC" w:rsidRDefault="009B1551" w:rsidP="00573E5B">
      <w:pPr>
        <w:spacing w:after="160" w:line="360" w:lineRule="auto"/>
        <w:rPr>
          <w:rFonts w:ascii="Arial" w:hAnsi="Arial" w:cs="Arial"/>
          <w:i/>
          <w:color w:val="000000"/>
          <w:sz w:val="20"/>
        </w:rPr>
      </w:pPr>
      <w:r w:rsidRPr="00625CEC">
        <w:rPr>
          <w:rFonts w:ascii="Arial" w:hAnsi="Arial" w:cs="Arial"/>
          <w:i/>
          <w:color w:val="000000"/>
          <w:sz w:val="20"/>
        </w:rPr>
        <w:t>Exclusion criteria for prior or current ocular treatment</w:t>
      </w:r>
    </w:p>
    <w:p w14:paraId="771CF0F8" w14:textId="7777777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For the fellow eye:</w:t>
      </w:r>
    </w:p>
    <w:p w14:paraId="6005F7E9" w14:textId="70A50C7D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20. Treatment with any anti-angiogenic drugs (including any anti-VEGF agents) within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3 months prior to baseline in either eye (e.g., bevacizumab [Avastin</w:t>
      </w:r>
      <w:r w:rsidRPr="00573E5B">
        <w:rPr>
          <w:rFonts w:ascii="Arial" w:hAnsi="Arial" w:cs="Arial"/>
          <w:color w:val="000000"/>
          <w:sz w:val="20"/>
          <w:vertAlign w:val="superscript"/>
        </w:rPr>
        <w:t>®</w:t>
      </w:r>
      <w:r w:rsidRPr="00625CEC">
        <w:rPr>
          <w:rFonts w:ascii="Arial" w:hAnsi="Arial" w:cs="Arial"/>
          <w:color w:val="000000"/>
          <w:sz w:val="20"/>
        </w:rPr>
        <w:t>])</w:t>
      </w:r>
    </w:p>
    <w:p w14:paraId="60047C69" w14:textId="7777777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For the study eye:</w:t>
      </w:r>
    </w:p>
    <w:p w14:paraId="6BB83BB7" w14:textId="669B64EC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21. Any intraocular procedure (including Yttrium-Aluminum-Garnet capsulotomy) within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2 months prior to baseline or anticipated within the next 6 months following baseline</w:t>
      </w:r>
    </w:p>
    <w:p w14:paraId="124EFBD2" w14:textId="6534E83E" w:rsidR="0067606F" w:rsidRDefault="009B1551" w:rsidP="002A325D">
      <w:pPr>
        <w:spacing w:after="160" w:line="360" w:lineRule="auto"/>
        <w:ind w:left="720"/>
        <w:rPr>
          <w:rFonts w:ascii="Arial" w:hAnsi="Arial" w:cs="Arial"/>
          <w:sz w:val="18"/>
        </w:rPr>
      </w:pPr>
      <w:r w:rsidRPr="00625CEC">
        <w:rPr>
          <w:rFonts w:ascii="Arial" w:hAnsi="Arial" w:cs="Arial"/>
          <w:color w:val="000000"/>
          <w:sz w:val="20"/>
        </w:rPr>
        <w:t>22. Topical ocular corticosteroids administered for at least 30 consecutive days within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3 months prior to screening</w:t>
      </w:r>
      <w:bookmarkStart w:id="0" w:name="_GoBack"/>
      <w:bookmarkEnd w:id="0"/>
    </w:p>
    <w:sectPr w:rsidR="00676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AEF7E" w16cid:durableId="1DFFC4AF"/>
  <w16cid:commentId w16cid:paraId="3E3E7690" w16cid:durableId="1DFFC4B0"/>
  <w16cid:commentId w16cid:paraId="3905B5EB" w16cid:durableId="1DFFC4B1"/>
  <w16cid:commentId w16cid:paraId="2EAD5B17" w16cid:durableId="1DFFC4B2"/>
  <w16cid:commentId w16cid:paraId="5289FE07" w16cid:durableId="1DFFC4B3"/>
  <w16cid:commentId w16cid:paraId="40DC0E5C" w16cid:durableId="1DFFC4B4"/>
  <w16cid:commentId w16cid:paraId="00F1B417" w16cid:durableId="1DFFC4B5"/>
  <w16cid:commentId w16cid:paraId="3E1E8822" w16cid:durableId="1DFFC4B6"/>
  <w16cid:commentId w16cid:paraId="498D8213" w16cid:durableId="1DFFC4B7"/>
  <w16cid:commentId w16cid:paraId="4A48645C" w16cid:durableId="1DFFC4B8"/>
  <w16cid:commentId w16cid:paraId="6D0262ED" w16cid:durableId="1DFFC4B9"/>
  <w16cid:commentId w16cid:paraId="1D54E95D" w16cid:durableId="1DFFC4BA"/>
  <w16cid:commentId w16cid:paraId="4488EECD" w16cid:durableId="1DFFC4BB"/>
  <w16cid:commentId w16cid:paraId="18BB8E87" w16cid:durableId="1DFFC4BC"/>
  <w16cid:commentId w16cid:paraId="537A2482" w16cid:durableId="1DFFC4BD"/>
  <w16cid:commentId w16cid:paraId="37238247" w16cid:durableId="1DFFC4BE"/>
  <w16cid:commentId w16cid:paraId="36571177" w16cid:durableId="1DFFC4BF"/>
  <w16cid:commentId w16cid:paraId="5A878FC0" w16cid:durableId="1DFFCF10"/>
  <w16cid:commentId w16cid:paraId="26AA4B99" w16cid:durableId="1DFFC4C0"/>
  <w16cid:commentId w16cid:paraId="60108126" w16cid:durableId="1DFFD14A"/>
  <w16cid:commentId w16cid:paraId="4C681700" w16cid:durableId="1DFFD185"/>
  <w16cid:commentId w16cid:paraId="6E779E77" w16cid:durableId="1DFFC4C1"/>
  <w16cid:commentId w16cid:paraId="5EBCF985" w16cid:durableId="1DFFC4C2"/>
  <w16cid:commentId w16cid:paraId="60555F7F" w16cid:durableId="1DFFC4C3"/>
  <w16cid:commentId w16cid:paraId="67EAFD0A" w16cid:durableId="1DFFC4C4"/>
  <w16cid:commentId w16cid:paraId="0EC3D631" w16cid:durableId="1DFFC4C5"/>
  <w16cid:commentId w16cid:paraId="7EED156E" w16cid:durableId="1DFFC4C6"/>
  <w16cid:commentId w16cid:paraId="434E1048" w16cid:durableId="1DFFC4C7"/>
  <w16cid:commentId w16cid:paraId="08FB2533" w16cid:durableId="1DFFC4C8"/>
  <w16cid:commentId w16cid:paraId="114A65C2" w16cid:durableId="1DFFC4C9"/>
  <w16cid:commentId w16cid:paraId="007191BF" w16cid:durableId="1DFFC4CA"/>
  <w16cid:commentId w16cid:paraId="5460814A" w16cid:durableId="1DFFC4CB"/>
  <w16cid:commentId w16cid:paraId="7FCD7810" w16cid:durableId="1DFFC4CC"/>
  <w16cid:commentId w16cid:paraId="7EAF7157" w16cid:durableId="1DFFC9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C4B28" w14:textId="77777777" w:rsidR="007A1D84" w:rsidRDefault="007A1D84" w:rsidP="009557C9">
      <w:r>
        <w:separator/>
      </w:r>
    </w:p>
  </w:endnote>
  <w:endnote w:type="continuationSeparator" w:id="0">
    <w:p w14:paraId="393DB81E" w14:textId="77777777" w:rsidR="007A1D84" w:rsidRDefault="007A1D84" w:rsidP="009557C9">
      <w:r>
        <w:continuationSeparator/>
      </w:r>
    </w:p>
  </w:endnote>
  <w:endnote w:type="continuationNotice" w:id="1">
    <w:p w14:paraId="4A165F66" w14:textId="77777777" w:rsidR="007A1D84" w:rsidRDefault="007A1D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6EEC2" w14:textId="77777777" w:rsidR="007A1D84" w:rsidRDefault="007A1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810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64EB4" w14:textId="122993B0" w:rsidR="007A1D84" w:rsidRDefault="007A1D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2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8613F3" w14:textId="77777777" w:rsidR="007A1D84" w:rsidRDefault="007A1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3272" w14:textId="77777777" w:rsidR="007A1D84" w:rsidRDefault="007A1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E8280" w14:textId="77777777" w:rsidR="007A1D84" w:rsidRDefault="007A1D84" w:rsidP="009557C9">
      <w:r>
        <w:separator/>
      </w:r>
    </w:p>
  </w:footnote>
  <w:footnote w:type="continuationSeparator" w:id="0">
    <w:p w14:paraId="1204FED6" w14:textId="77777777" w:rsidR="007A1D84" w:rsidRDefault="007A1D84" w:rsidP="009557C9">
      <w:r>
        <w:continuationSeparator/>
      </w:r>
    </w:p>
  </w:footnote>
  <w:footnote w:type="continuationNotice" w:id="1">
    <w:p w14:paraId="75AC64A9" w14:textId="77777777" w:rsidR="007A1D84" w:rsidRDefault="007A1D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3245" w14:textId="77777777" w:rsidR="007A1D84" w:rsidRDefault="007A1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C149" w14:textId="77777777" w:rsidR="007A1D84" w:rsidRDefault="007A1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3A2CF" w14:textId="77777777" w:rsidR="007A1D84" w:rsidRDefault="007A1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BC7"/>
    <w:multiLevelType w:val="hybridMultilevel"/>
    <w:tmpl w:val="0A7EF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085A"/>
    <w:multiLevelType w:val="hybridMultilevel"/>
    <w:tmpl w:val="EE4214B6"/>
    <w:lvl w:ilvl="0" w:tplc="365CCAAE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8E7"/>
    <w:multiLevelType w:val="hybridMultilevel"/>
    <w:tmpl w:val="AD96D6E0"/>
    <w:lvl w:ilvl="0" w:tplc="1660BD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2E1"/>
    <w:multiLevelType w:val="hybridMultilevel"/>
    <w:tmpl w:val="4592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02899"/>
    <w:multiLevelType w:val="hybridMultilevel"/>
    <w:tmpl w:val="78F0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652D"/>
    <w:multiLevelType w:val="hybridMultilevel"/>
    <w:tmpl w:val="60808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B58F9"/>
    <w:multiLevelType w:val="hybridMultilevel"/>
    <w:tmpl w:val="FF96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86DEE"/>
    <w:multiLevelType w:val="hybridMultilevel"/>
    <w:tmpl w:val="09A8ED32"/>
    <w:lvl w:ilvl="0" w:tplc="17BE318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3468"/>
    <w:multiLevelType w:val="hybridMultilevel"/>
    <w:tmpl w:val="6C50B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7E1AF4"/>
    <w:multiLevelType w:val="hybridMultilevel"/>
    <w:tmpl w:val="780CC19C"/>
    <w:lvl w:ilvl="0" w:tplc="860E3F3E">
      <w:start w:val="5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B7D15"/>
    <w:multiLevelType w:val="hybridMultilevel"/>
    <w:tmpl w:val="D3C6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22B"/>
    <w:multiLevelType w:val="hybridMultilevel"/>
    <w:tmpl w:val="610C7682"/>
    <w:lvl w:ilvl="0" w:tplc="7D0CC176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C2081"/>
    <w:multiLevelType w:val="hybridMultilevel"/>
    <w:tmpl w:val="E0C8FFC6"/>
    <w:lvl w:ilvl="0" w:tplc="1660C2B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50C08"/>
    <w:multiLevelType w:val="hybridMultilevel"/>
    <w:tmpl w:val="6DF8319A"/>
    <w:lvl w:ilvl="0" w:tplc="E294EFA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6563C"/>
    <w:multiLevelType w:val="hybridMultilevel"/>
    <w:tmpl w:val="E284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85604"/>
    <w:multiLevelType w:val="hybridMultilevel"/>
    <w:tmpl w:val="33081A6E"/>
    <w:lvl w:ilvl="0" w:tplc="41DAB110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8299F"/>
    <w:multiLevelType w:val="hybridMultilevel"/>
    <w:tmpl w:val="1E060B58"/>
    <w:lvl w:ilvl="0" w:tplc="606EEE22">
      <w:start w:val="5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821A1"/>
    <w:multiLevelType w:val="hybridMultilevel"/>
    <w:tmpl w:val="A26227B8"/>
    <w:lvl w:ilvl="0" w:tplc="08644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46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C7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8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0D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AB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C3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6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22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EC96CBC"/>
    <w:multiLevelType w:val="hybridMultilevel"/>
    <w:tmpl w:val="48F0A9BE"/>
    <w:lvl w:ilvl="0" w:tplc="CC78A8B2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72F79"/>
    <w:multiLevelType w:val="hybridMultilevel"/>
    <w:tmpl w:val="D9148706"/>
    <w:lvl w:ilvl="0" w:tplc="96001408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B3493"/>
    <w:multiLevelType w:val="hybridMultilevel"/>
    <w:tmpl w:val="ED3EF79E"/>
    <w:lvl w:ilvl="0" w:tplc="57F49E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8220A"/>
    <w:multiLevelType w:val="hybridMultilevel"/>
    <w:tmpl w:val="4580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11C43"/>
    <w:multiLevelType w:val="hybridMultilevel"/>
    <w:tmpl w:val="124EB7AA"/>
    <w:lvl w:ilvl="0" w:tplc="CCDCA0BE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F7F49"/>
    <w:multiLevelType w:val="hybridMultilevel"/>
    <w:tmpl w:val="032C16AA"/>
    <w:lvl w:ilvl="0" w:tplc="2056DD28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82F84"/>
    <w:multiLevelType w:val="hybridMultilevel"/>
    <w:tmpl w:val="37565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35EA9"/>
    <w:multiLevelType w:val="hybridMultilevel"/>
    <w:tmpl w:val="B84E0F82"/>
    <w:lvl w:ilvl="0" w:tplc="354AA79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8"/>
  </w:num>
  <w:num w:numId="5">
    <w:abstractNumId w:val="24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7"/>
  </w:num>
  <w:num w:numId="16">
    <w:abstractNumId w:val="5"/>
  </w:num>
  <w:num w:numId="17">
    <w:abstractNumId w:val="16"/>
  </w:num>
  <w:num w:numId="18">
    <w:abstractNumId w:val="9"/>
  </w:num>
  <w:num w:numId="19">
    <w:abstractNumId w:val="6"/>
  </w:num>
  <w:num w:numId="20">
    <w:abstractNumId w:val="19"/>
  </w:num>
  <w:num w:numId="21">
    <w:abstractNumId w:val="20"/>
  </w:num>
  <w:num w:numId="22">
    <w:abstractNumId w:val="11"/>
  </w:num>
  <w:num w:numId="23">
    <w:abstractNumId w:val="25"/>
  </w:num>
  <w:num w:numId="24">
    <w:abstractNumId w:val="1"/>
  </w:num>
  <w:num w:numId="25">
    <w:abstractNumId w:val="15"/>
  </w:num>
  <w:num w:numId="26">
    <w:abstractNumId w:val="18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etina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e2td09mtep5xedsstvve2y5wxre22tzrs9&quot;&gt;OCTAVE&lt;record-ids&gt;&lt;item&gt;1&lt;/item&gt;&lt;item&gt;2&lt;/item&gt;&lt;item&gt;3&lt;/item&gt;&lt;item&gt;7&lt;/item&gt;&lt;item&gt;8&lt;/item&gt;&lt;item&gt;10&lt;/item&gt;&lt;item&gt;12&lt;/item&gt;&lt;item&gt;13&lt;/item&gt;&lt;item&gt;14&lt;/item&gt;&lt;item&gt;15&lt;/item&gt;&lt;item&gt;17&lt;/item&gt;&lt;item&gt;18&lt;/item&gt;&lt;item&gt;19&lt;/item&gt;&lt;item&gt;20&lt;/item&gt;&lt;item&gt;21&lt;/item&gt;&lt;item&gt;22&lt;/item&gt;&lt;item&gt;23&lt;/item&gt;&lt;item&gt;24&lt;/item&gt;&lt;item&gt;25&lt;/item&gt;&lt;item&gt;27&lt;/item&gt;&lt;item&gt;28&lt;/item&gt;&lt;item&gt;29&lt;/item&gt;&lt;item&gt;30&lt;/item&gt;&lt;item&gt;31&lt;/item&gt;&lt;item&gt;32&lt;/item&gt;&lt;item&gt;37&lt;/item&gt;&lt;item&gt;38&lt;/item&gt;&lt;item&gt;39&lt;/item&gt;&lt;/record-ids&gt;&lt;/item&gt;&lt;/Libraries&gt;"/>
  </w:docVars>
  <w:rsids>
    <w:rsidRoot w:val="00EC4D43"/>
    <w:rsid w:val="00000378"/>
    <w:rsid w:val="00003ACF"/>
    <w:rsid w:val="00004103"/>
    <w:rsid w:val="0000628C"/>
    <w:rsid w:val="00010019"/>
    <w:rsid w:val="00010A9B"/>
    <w:rsid w:val="00011207"/>
    <w:rsid w:val="0001319D"/>
    <w:rsid w:val="000159B9"/>
    <w:rsid w:val="00021231"/>
    <w:rsid w:val="00024CD0"/>
    <w:rsid w:val="00025CCB"/>
    <w:rsid w:val="00030FC3"/>
    <w:rsid w:val="000314F9"/>
    <w:rsid w:val="0003197E"/>
    <w:rsid w:val="000324FD"/>
    <w:rsid w:val="00033F25"/>
    <w:rsid w:val="00034B16"/>
    <w:rsid w:val="00041148"/>
    <w:rsid w:val="00041EDA"/>
    <w:rsid w:val="00044599"/>
    <w:rsid w:val="00052963"/>
    <w:rsid w:val="00053216"/>
    <w:rsid w:val="00054ACD"/>
    <w:rsid w:val="00055CB3"/>
    <w:rsid w:val="000603FB"/>
    <w:rsid w:val="000611A4"/>
    <w:rsid w:val="00070419"/>
    <w:rsid w:val="000704C4"/>
    <w:rsid w:val="00071BDB"/>
    <w:rsid w:val="00073971"/>
    <w:rsid w:val="00076463"/>
    <w:rsid w:val="00076C4D"/>
    <w:rsid w:val="00076D4A"/>
    <w:rsid w:val="000805EB"/>
    <w:rsid w:val="000828CE"/>
    <w:rsid w:val="00082B78"/>
    <w:rsid w:val="0009184B"/>
    <w:rsid w:val="00092521"/>
    <w:rsid w:val="00092799"/>
    <w:rsid w:val="00092B8C"/>
    <w:rsid w:val="0009342E"/>
    <w:rsid w:val="000939D3"/>
    <w:rsid w:val="00093A0C"/>
    <w:rsid w:val="00094461"/>
    <w:rsid w:val="000958E8"/>
    <w:rsid w:val="000A1C1F"/>
    <w:rsid w:val="000A2E43"/>
    <w:rsid w:val="000A33B7"/>
    <w:rsid w:val="000B1550"/>
    <w:rsid w:val="000B1A34"/>
    <w:rsid w:val="000B3F31"/>
    <w:rsid w:val="000B663B"/>
    <w:rsid w:val="000B6FB3"/>
    <w:rsid w:val="000B7CB5"/>
    <w:rsid w:val="000C1BE2"/>
    <w:rsid w:val="000C24B8"/>
    <w:rsid w:val="000C293F"/>
    <w:rsid w:val="000C4B9D"/>
    <w:rsid w:val="000C4E44"/>
    <w:rsid w:val="000C676F"/>
    <w:rsid w:val="000C7716"/>
    <w:rsid w:val="000C79F5"/>
    <w:rsid w:val="000D33F9"/>
    <w:rsid w:val="000D3414"/>
    <w:rsid w:val="000D5A99"/>
    <w:rsid w:val="000D677A"/>
    <w:rsid w:val="000D6A34"/>
    <w:rsid w:val="000E177C"/>
    <w:rsid w:val="000E31AD"/>
    <w:rsid w:val="000E355A"/>
    <w:rsid w:val="000E7605"/>
    <w:rsid w:val="000E795E"/>
    <w:rsid w:val="000E7CB1"/>
    <w:rsid w:val="000F069D"/>
    <w:rsid w:val="000F1E3C"/>
    <w:rsid w:val="000F6FBD"/>
    <w:rsid w:val="00102F48"/>
    <w:rsid w:val="00103C15"/>
    <w:rsid w:val="00112C1D"/>
    <w:rsid w:val="0011436C"/>
    <w:rsid w:val="0011588D"/>
    <w:rsid w:val="00121823"/>
    <w:rsid w:val="0012189D"/>
    <w:rsid w:val="00122BE9"/>
    <w:rsid w:val="001239A7"/>
    <w:rsid w:val="00124C49"/>
    <w:rsid w:val="001265BA"/>
    <w:rsid w:val="001276E6"/>
    <w:rsid w:val="00130024"/>
    <w:rsid w:val="0013270C"/>
    <w:rsid w:val="00132B58"/>
    <w:rsid w:val="00133D82"/>
    <w:rsid w:val="001341FA"/>
    <w:rsid w:val="00134B82"/>
    <w:rsid w:val="00135ADC"/>
    <w:rsid w:val="0013600D"/>
    <w:rsid w:val="00140D0B"/>
    <w:rsid w:val="00141762"/>
    <w:rsid w:val="0014343A"/>
    <w:rsid w:val="00143CD9"/>
    <w:rsid w:val="00146816"/>
    <w:rsid w:val="00150A8C"/>
    <w:rsid w:val="00151056"/>
    <w:rsid w:val="0015109E"/>
    <w:rsid w:val="0015295F"/>
    <w:rsid w:val="0016141D"/>
    <w:rsid w:val="00164D31"/>
    <w:rsid w:val="00171532"/>
    <w:rsid w:val="00171D3D"/>
    <w:rsid w:val="00171DAA"/>
    <w:rsid w:val="00173FB7"/>
    <w:rsid w:val="00174CA7"/>
    <w:rsid w:val="0017583F"/>
    <w:rsid w:val="00176287"/>
    <w:rsid w:val="00176D66"/>
    <w:rsid w:val="00183555"/>
    <w:rsid w:val="001840FC"/>
    <w:rsid w:val="00184B1E"/>
    <w:rsid w:val="001867EA"/>
    <w:rsid w:val="00191646"/>
    <w:rsid w:val="00191E21"/>
    <w:rsid w:val="00194206"/>
    <w:rsid w:val="001943E0"/>
    <w:rsid w:val="00194E0E"/>
    <w:rsid w:val="001979DA"/>
    <w:rsid w:val="001A6B17"/>
    <w:rsid w:val="001B13F5"/>
    <w:rsid w:val="001B2E5F"/>
    <w:rsid w:val="001C04F7"/>
    <w:rsid w:val="001C283F"/>
    <w:rsid w:val="001C38A9"/>
    <w:rsid w:val="001C5739"/>
    <w:rsid w:val="001C7BA2"/>
    <w:rsid w:val="001D0056"/>
    <w:rsid w:val="001D2026"/>
    <w:rsid w:val="001E0A68"/>
    <w:rsid w:val="001E0E9A"/>
    <w:rsid w:val="001E3545"/>
    <w:rsid w:val="001E658E"/>
    <w:rsid w:val="001E6A5A"/>
    <w:rsid w:val="001E6AA8"/>
    <w:rsid w:val="001F0CFD"/>
    <w:rsid w:val="001F33EF"/>
    <w:rsid w:val="001F37DD"/>
    <w:rsid w:val="001F4382"/>
    <w:rsid w:val="001F48DF"/>
    <w:rsid w:val="001F4AEA"/>
    <w:rsid w:val="001F7EA7"/>
    <w:rsid w:val="002004E3"/>
    <w:rsid w:val="00202FAB"/>
    <w:rsid w:val="00204A60"/>
    <w:rsid w:val="00207BB6"/>
    <w:rsid w:val="002100B5"/>
    <w:rsid w:val="00210864"/>
    <w:rsid w:val="00210936"/>
    <w:rsid w:val="00213578"/>
    <w:rsid w:val="00215DFD"/>
    <w:rsid w:val="00217469"/>
    <w:rsid w:val="00220197"/>
    <w:rsid w:val="00224E67"/>
    <w:rsid w:val="002266A2"/>
    <w:rsid w:val="00227750"/>
    <w:rsid w:val="00227E24"/>
    <w:rsid w:val="00230CEA"/>
    <w:rsid w:val="00233A12"/>
    <w:rsid w:val="00234245"/>
    <w:rsid w:val="00237B12"/>
    <w:rsid w:val="0024075F"/>
    <w:rsid w:val="0025093E"/>
    <w:rsid w:val="002510FB"/>
    <w:rsid w:val="002519A8"/>
    <w:rsid w:val="00253298"/>
    <w:rsid w:val="002545D1"/>
    <w:rsid w:val="00255B6E"/>
    <w:rsid w:val="00256B74"/>
    <w:rsid w:val="00260CF4"/>
    <w:rsid w:val="002622A4"/>
    <w:rsid w:val="00264895"/>
    <w:rsid w:val="0026496A"/>
    <w:rsid w:val="002658FC"/>
    <w:rsid w:val="002664BD"/>
    <w:rsid w:val="00271E55"/>
    <w:rsid w:val="0027205B"/>
    <w:rsid w:val="0027267D"/>
    <w:rsid w:val="002734EE"/>
    <w:rsid w:val="002741F0"/>
    <w:rsid w:val="00282429"/>
    <w:rsid w:val="0028387E"/>
    <w:rsid w:val="00284BE2"/>
    <w:rsid w:val="00287F78"/>
    <w:rsid w:val="00290460"/>
    <w:rsid w:val="00294C23"/>
    <w:rsid w:val="00295302"/>
    <w:rsid w:val="002962B6"/>
    <w:rsid w:val="00296E20"/>
    <w:rsid w:val="00297656"/>
    <w:rsid w:val="002A0F88"/>
    <w:rsid w:val="002A2AD6"/>
    <w:rsid w:val="002A325D"/>
    <w:rsid w:val="002A3483"/>
    <w:rsid w:val="002A40D3"/>
    <w:rsid w:val="002A476C"/>
    <w:rsid w:val="002A77DA"/>
    <w:rsid w:val="002A7F45"/>
    <w:rsid w:val="002A7FE0"/>
    <w:rsid w:val="002B0E70"/>
    <w:rsid w:val="002B30ED"/>
    <w:rsid w:val="002B4F28"/>
    <w:rsid w:val="002C009F"/>
    <w:rsid w:val="002C06F7"/>
    <w:rsid w:val="002C0902"/>
    <w:rsid w:val="002C11EA"/>
    <w:rsid w:val="002C5DE9"/>
    <w:rsid w:val="002C6B96"/>
    <w:rsid w:val="002C70C7"/>
    <w:rsid w:val="002C783E"/>
    <w:rsid w:val="002D3358"/>
    <w:rsid w:val="002E1301"/>
    <w:rsid w:val="002E2587"/>
    <w:rsid w:val="002E273F"/>
    <w:rsid w:val="002E2F35"/>
    <w:rsid w:val="002E62B0"/>
    <w:rsid w:val="002E7673"/>
    <w:rsid w:val="002F0F80"/>
    <w:rsid w:val="002F244A"/>
    <w:rsid w:val="002F403F"/>
    <w:rsid w:val="002F5345"/>
    <w:rsid w:val="002F69F5"/>
    <w:rsid w:val="002F764B"/>
    <w:rsid w:val="002F7DD6"/>
    <w:rsid w:val="003034A7"/>
    <w:rsid w:val="00304B25"/>
    <w:rsid w:val="00305A02"/>
    <w:rsid w:val="00305A79"/>
    <w:rsid w:val="00306CF1"/>
    <w:rsid w:val="00307039"/>
    <w:rsid w:val="003074FF"/>
    <w:rsid w:val="0031189C"/>
    <w:rsid w:val="00311A0F"/>
    <w:rsid w:val="00312A77"/>
    <w:rsid w:val="00312B3F"/>
    <w:rsid w:val="00312EBD"/>
    <w:rsid w:val="00313964"/>
    <w:rsid w:val="00314463"/>
    <w:rsid w:val="003146C8"/>
    <w:rsid w:val="003171B8"/>
    <w:rsid w:val="0032123C"/>
    <w:rsid w:val="00323162"/>
    <w:rsid w:val="0032482B"/>
    <w:rsid w:val="00325DEE"/>
    <w:rsid w:val="00326733"/>
    <w:rsid w:val="00327402"/>
    <w:rsid w:val="00330A01"/>
    <w:rsid w:val="00333632"/>
    <w:rsid w:val="003338E1"/>
    <w:rsid w:val="00337117"/>
    <w:rsid w:val="00347899"/>
    <w:rsid w:val="0035045E"/>
    <w:rsid w:val="003530C1"/>
    <w:rsid w:val="003549A6"/>
    <w:rsid w:val="00354C23"/>
    <w:rsid w:val="003606D8"/>
    <w:rsid w:val="003624BE"/>
    <w:rsid w:val="00363189"/>
    <w:rsid w:val="00363660"/>
    <w:rsid w:val="0036440C"/>
    <w:rsid w:val="00364F58"/>
    <w:rsid w:val="003674C2"/>
    <w:rsid w:val="00367B89"/>
    <w:rsid w:val="00370415"/>
    <w:rsid w:val="00370B97"/>
    <w:rsid w:val="003724C7"/>
    <w:rsid w:val="0037422D"/>
    <w:rsid w:val="00375449"/>
    <w:rsid w:val="00376E39"/>
    <w:rsid w:val="00384267"/>
    <w:rsid w:val="00386388"/>
    <w:rsid w:val="00386D7A"/>
    <w:rsid w:val="00387077"/>
    <w:rsid w:val="0039146A"/>
    <w:rsid w:val="0039153E"/>
    <w:rsid w:val="0039358F"/>
    <w:rsid w:val="00393E48"/>
    <w:rsid w:val="003940CF"/>
    <w:rsid w:val="0039527C"/>
    <w:rsid w:val="00395663"/>
    <w:rsid w:val="00396A07"/>
    <w:rsid w:val="003A02A8"/>
    <w:rsid w:val="003A121F"/>
    <w:rsid w:val="003A16C6"/>
    <w:rsid w:val="003A1CEC"/>
    <w:rsid w:val="003A2BDA"/>
    <w:rsid w:val="003A36B6"/>
    <w:rsid w:val="003A461E"/>
    <w:rsid w:val="003A5B7D"/>
    <w:rsid w:val="003A60E8"/>
    <w:rsid w:val="003A750E"/>
    <w:rsid w:val="003B26D4"/>
    <w:rsid w:val="003B34CB"/>
    <w:rsid w:val="003C3241"/>
    <w:rsid w:val="003D178F"/>
    <w:rsid w:val="003D1D91"/>
    <w:rsid w:val="003D2492"/>
    <w:rsid w:val="003D4E6C"/>
    <w:rsid w:val="003D5CEE"/>
    <w:rsid w:val="003D6805"/>
    <w:rsid w:val="003E2924"/>
    <w:rsid w:val="003E2E95"/>
    <w:rsid w:val="003E373F"/>
    <w:rsid w:val="003E41D0"/>
    <w:rsid w:val="003F138C"/>
    <w:rsid w:val="003F1AC6"/>
    <w:rsid w:val="003F31F6"/>
    <w:rsid w:val="003F5CFD"/>
    <w:rsid w:val="003F6843"/>
    <w:rsid w:val="003F6AD1"/>
    <w:rsid w:val="00400CAB"/>
    <w:rsid w:val="00402FEB"/>
    <w:rsid w:val="0040408B"/>
    <w:rsid w:val="0040455A"/>
    <w:rsid w:val="004119F3"/>
    <w:rsid w:val="004127C4"/>
    <w:rsid w:val="00413513"/>
    <w:rsid w:val="0041548B"/>
    <w:rsid w:val="004154A1"/>
    <w:rsid w:val="004155EC"/>
    <w:rsid w:val="00415B17"/>
    <w:rsid w:val="00420226"/>
    <w:rsid w:val="004229A2"/>
    <w:rsid w:val="00422FA1"/>
    <w:rsid w:val="004232D3"/>
    <w:rsid w:val="00425906"/>
    <w:rsid w:val="00437F86"/>
    <w:rsid w:val="0044075B"/>
    <w:rsid w:val="004409A8"/>
    <w:rsid w:val="0044107D"/>
    <w:rsid w:val="004415EE"/>
    <w:rsid w:val="00444662"/>
    <w:rsid w:val="004458FF"/>
    <w:rsid w:val="00446E4E"/>
    <w:rsid w:val="004470AA"/>
    <w:rsid w:val="004474E4"/>
    <w:rsid w:val="00450037"/>
    <w:rsid w:val="00450298"/>
    <w:rsid w:val="004523B6"/>
    <w:rsid w:val="004524C7"/>
    <w:rsid w:val="00454B02"/>
    <w:rsid w:val="004552F0"/>
    <w:rsid w:val="00456CD6"/>
    <w:rsid w:val="004615FF"/>
    <w:rsid w:val="0046173B"/>
    <w:rsid w:val="00464F97"/>
    <w:rsid w:val="00465A4A"/>
    <w:rsid w:val="0047141D"/>
    <w:rsid w:val="0047176B"/>
    <w:rsid w:val="00472B32"/>
    <w:rsid w:val="004737AF"/>
    <w:rsid w:val="00475C4D"/>
    <w:rsid w:val="00481675"/>
    <w:rsid w:val="004823D8"/>
    <w:rsid w:val="00492AB2"/>
    <w:rsid w:val="004950D8"/>
    <w:rsid w:val="00495B33"/>
    <w:rsid w:val="00497005"/>
    <w:rsid w:val="0049718C"/>
    <w:rsid w:val="004A1009"/>
    <w:rsid w:val="004A142F"/>
    <w:rsid w:val="004A76B6"/>
    <w:rsid w:val="004B0539"/>
    <w:rsid w:val="004B300E"/>
    <w:rsid w:val="004B467A"/>
    <w:rsid w:val="004B65B3"/>
    <w:rsid w:val="004B7E0A"/>
    <w:rsid w:val="004C1C14"/>
    <w:rsid w:val="004C34E6"/>
    <w:rsid w:val="004C4AF0"/>
    <w:rsid w:val="004C773A"/>
    <w:rsid w:val="004D2105"/>
    <w:rsid w:val="004D6212"/>
    <w:rsid w:val="004D622E"/>
    <w:rsid w:val="004D7559"/>
    <w:rsid w:val="004E043A"/>
    <w:rsid w:val="004E07B9"/>
    <w:rsid w:val="004E12B4"/>
    <w:rsid w:val="004E195D"/>
    <w:rsid w:val="004E1AFE"/>
    <w:rsid w:val="004E1DDC"/>
    <w:rsid w:val="004E39A2"/>
    <w:rsid w:val="004E683E"/>
    <w:rsid w:val="004E6D36"/>
    <w:rsid w:val="004E6E21"/>
    <w:rsid w:val="004F316D"/>
    <w:rsid w:val="004F451B"/>
    <w:rsid w:val="004F4A91"/>
    <w:rsid w:val="004F4DA6"/>
    <w:rsid w:val="004F74A8"/>
    <w:rsid w:val="004F7925"/>
    <w:rsid w:val="005008FF"/>
    <w:rsid w:val="0050296F"/>
    <w:rsid w:val="00512F91"/>
    <w:rsid w:val="00513D68"/>
    <w:rsid w:val="00513F2C"/>
    <w:rsid w:val="00527122"/>
    <w:rsid w:val="00527BB9"/>
    <w:rsid w:val="0053081A"/>
    <w:rsid w:val="0053363E"/>
    <w:rsid w:val="00535BAE"/>
    <w:rsid w:val="00535FF7"/>
    <w:rsid w:val="00536C5F"/>
    <w:rsid w:val="00537799"/>
    <w:rsid w:val="00537DC4"/>
    <w:rsid w:val="00543790"/>
    <w:rsid w:val="0055107A"/>
    <w:rsid w:val="0055211F"/>
    <w:rsid w:val="00555789"/>
    <w:rsid w:val="0055675E"/>
    <w:rsid w:val="00557314"/>
    <w:rsid w:val="0055783B"/>
    <w:rsid w:val="00561D39"/>
    <w:rsid w:val="00562312"/>
    <w:rsid w:val="00562BF0"/>
    <w:rsid w:val="00563299"/>
    <w:rsid w:val="00563550"/>
    <w:rsid w:val="00564BEF"/>
    <w:rsid w:val="00566697"/>
    <w:rsid w:val="00566906"/>
    <w:rsid w:val="00567599"/>
    <w:rsid w:val="00572625"/>
    <w:rsid w:val="00573E5B"/>
    <w:rsid w:val="005750D9"/>
    <w:rsid w:val="00576552"/>
    <w:rsid w:val="00576D40"/>
    <w:rsid w:val="00577B75"/>
    <w:rsid w:val="005810BB"/>
    <w:rsid w:val="0058201E"/>
    <w:rsid w:val="0058276A"/>
    <w:rsid w:val="0058349A"/>
    <w:rsid w:val="00584FD0"/>
    <w:rsid w:val="00585EEF"/>
    <w:rsid w:val="00587A2E"/>
    <w:rsid w:val="00591595"/>
    <w:rsid w:val="0059161A"/>
    <w:rsid w:val="00592586"/>
    <w:rsid w:val="00593336"/>
    <w:rsid w:val="00594C07"/>
    <w:rsid w:val="0059511F"/>
    <w:rsid w:val="00597397"/>
    <w:rsid w:val="005A3387"/>
    <w:rsid w:val="005A36AA"/>
    <w:rsid w:val="005A37C3"/>
    <w:rsid w:val="005A3F7C"/>
    <w:rsid w:val="005A49D8"/>
    <w:rsid w:val="005A56B2"/>
    <w:rsid w:val="005A5B4B"/>
    <w:rsid w:val="005A5C2A"/>
    <w:rsid w:val="005A6865"/>
    <w:rsid w:val="005B4FF6"/>
    <w:rsid w:val="005B74A1"/>
    <w:rsid w:val="005C022F"/>
    <w:rsid w:val="005C0D2E"/>
    <w:rsid w:val="005C2013"/>
    <w:rsid w:val="005C313B"/>
    <w:rsid w:val="005C5D6A"/>
    <w:rsid w:val="005D30DF"/>
    <w:rsid w:val="005D325F"/>
    <w:rsid w:val="005D7E68"/>
    <w:rsid w:val="005E03B5"/>
    <w:rsid w:val="005E11F1"/>
    <w:rsid w:val="005E24AA"/>
    <w:rsid w:val="005E362F"/>
    <w:rsid w:val="005E6ECF"/>
    <w:rsid w:val="005F1479"/>
    <w:rsid w:val="005F160B"/>
    <w:rsid w:val="005F5C7A"/>
    <w:rsid w:val="005F60B4"/>
    <w:rsid w:val="005F60F7"/>
    <w:rsid w:val="005F7B2B"/>
    <w:rsid w:val="005F7E0A"/>
    <w:rsid w:val="00600030"/>
    <w:rsid w:val="00601AC2"/>
    <w:rsid w:val="00613BBE"/>
    <w:rsid w:val="006157BB"/>
    <w:rsid w:val="00616B1C"/>
    <w:rsid w:val="006203A5"/>
    <w:rsid w:val="00623932"/>
    <w:rsid w:val="00625CEC"/>
    <w:rsid w:val="00625DC2"/>
    <w:rsid w:val="006262FD"/>
    <w:rsid w:val="00627C1B"/>
    <w:rsid w:val="0063102A"/>
    <w:rsid w:val="0063152D"/>
    <w:rsid w:val="0063269C"/>
    <w:rsid w:val="0063273E"/>
    <w:rsid w:val="006340A6"/>
    <w:rsid w:val="00635E53"/>
    <w:rsid w:val="006379E8"/>
    <w:rsid w:val="00641F63"/>
    <w:rsid w:val="006446EC"/>
    <w:rsid w:val="006452BB"/>
    <w:rsid w:val="00646E2B"/>
    <w:rsid w:val="00646F91"/>
    <w:rsid w:val="00647066"/>
    <w:rsid w:val="006474BF"/>
    <w:rsid w:val="006479E4"/>
    <w:rsid w:val="0065148C"/>
    <w:rsid w:val="006527D3"/>
    <w:rsid w:val="00652EB9"/>
    <w:rsid w:val="0065326E"/>
    <w:rsid w:val="00653A18"/>
    <w:rsid w:val="00655042"/>
    <w:rsid w:val="00655492"/>
    <w:rsid w:val="00665F5B"/>
    <w:rsid w:val="00666ADD"/>
    <w:rsid w:val="00667160"/>
    <w:rsid w:val="006724A7"/>
    <w:rsid w:val="00674485"/>
    <w:rsid w:val="00674D83"/>
    <w:rsid w:val="00675366"/>
    <w:rsid w:val="0067606F"/>
    <w:rsid w:val="006764CF"/>
    <w:rsid w:val="00677EB3"/>
    <w:rsid w:val="00681E8B"/>
    <w:rsid w:val="00682204"/>
    <w:rsid w:val="006830DF"/>
    <w:rsid w:val="00683164"/>
    <w:rsid w:val="00683F80"/>
    <w:rsid w:val="00684307"/>
    <w:rsid w:val="00685394"/>
    <w:rsid w:val="00685FFA"/>
    <w:rsid w:val="006861F6"/>
    <w:rsid w:val="006876AD"/>
    <w:rsid w:val="00690E7D"/>
    <w:rsid w:val="00692362"/>
    <w:rsid w:val="0069274F"/>
    <w:rsid w:val="006950C0"/>
    <w:rsid w:val="006961CF"/>
    <w:rsid w:val="00696E9D"/>
    <w:rsid w:val="00697521"/>
    <w:rsid w:val="006A198E"/>
    <w:rsid w:val="006A2CCB"/>
    <w:rsid w:val="006A3D4B"/>
    <w:rsid w:val="006A476C"/>
    <w:rsid w:val="006A5AFF"/>
    <w:rsid w:val="006A6E38"/>
    <w:rsid w:val="006A72C8"/>
    <w:rsid w:val="006A7ECC"/>
    <w:rsid w:val="006B0333"/>
    <w:rsid w:val="006B55D8"/>
    <w:rsid w:val="006B626B"/>
    <w:rsid w:val="006B7D07"/>
    <w:rsid w:val="006C001A"/>
    <w:rsid w:val="006C40BD"/>
    <w:rsid w:val="006C4273"/>
    <w:rsid w:val="006D3EB3"/>
    <w:rsid w:val="006D414D"/>
    <w:rsid w:val="006D4D55"/>
    <w:rsid w:val="006D651D"/>
    <w:rsid w:val="006D7EC1"/>
    <w:rsid w:val="006E47DD"/>
    <w:rsid w:val="006E4937"/>
    <w:rsid w:val="006E5FA7"/>
    <w:rsid w:val="006E71BE"/>
    <w:rsid w:val="006E726F"/>
    <w:rsid w:val="006F07B6"/>
    <w:rsid w:val="006F2674"/>
    <w:rsid w:val="006F26B2"/>
    <w:rsid w:val="006F34BE"/>
    <w:rsid w:val="006F55D1"/>
    <w:rsid w:val="006F5EA7"/>
    <w:rsid w:val="006F6801"/>
    <w:rsid w:val="0070063D"/>
    <w:rsid w:val="0070186E"/>
    <w:rsid w:val="00704DAE"/>
    <w:rsid w:val="00705D46"/>
    <w:rsid w:val="00705F2C"/>
    <w:rsid w:val="007065A0"/>
    <w:rsid w:val="007068C5"/>
    <w:rsid w:val="007077F5"/>
    <w:rsid w:val="00707E0E"/>
    <w:rsid w:val="00710990"/>
    <w:rsid w:val="00712B8A"/>
    <w:rsid w:val="007130F2"/>
    <w:rsid w:val="0071423A"/>
    <w:rsid w:val="00714332"/>
    <w:rsid w:val="007176D4"/>
    <w:rsid w:val="00717BA0"/>
    <w:rsid w:val="00720F12"/>
    <w:rsid w:val="00721F67"/>
    <w:rsid w:val="00725CE4"/>
    <w:rsid w:val="00727E5D"/>
    <w:rsid w:val="0073015D"/>
    <w:rsid w:val="00732BF7"/>
    <w:rsid w:val="00732E12"/>
    <w:rsid w:val="007341BE"/>
    <w:rsid w:val="00734B08"/>
    <w:rsid w:val="00734C29"/>
    <w:rsid w:val="0073679C"/>
    <w:rsid w:val="00736CCD"/>
    <w:rsid w:val="007416B1"/>
    <w:rsid w:val="00742826"/>
    <w:rsid w:val="007431C5"/>
    <w:rsid w:val="0074367F"/>
    <w:rsid w:val="007441CA"/>
    <w:rsid w:val="007442CC"/>
    <w:rsid w:val="00744BE9"/>
    <w:rsid w:val="007455C7"/>
    <w:rsid w:val="00752005"/>
    <w:rsid w:val="00760D2B"/>
    <w:rsid w:val="00762148"/>
    <w:rsid w:val="00763D36"/>
    <w:rsid w:val="00763E22"/>
    <w:rsid w:val="00770AC8"/>
    <w:rsid w:val="00774B9B"/>
    <w:rsid w:val="00774F7C"/>
    <w:rsid w:val="007752FB"/>
    <w:rsid w:val="00776A2B"/>
    <w:rsid w:val="00776D8D"/>
    <w:rsid w:val="007771BF"/>
    <w:rsid w:val="00777532"/>
    <w:rsid w:val="0078013A"/>
    <w:rsid w:val="00780189"/>
    <w:rsid w:val="007813B7"/>
    <w:rsid w:val="00781A8B"/>
    <w:rsid w:val="0078201A"/>
    <w:rsid w:val="00785606"/>
    <w:rsid w:val="0078729B"/>
    <w:rsid w:val="00793596"/>
    <w:rsid w:val="00795803"/>
    <w:rsid w:val="00796F3A"/>
    <w:rsid w:val="00797F8C"/>
    <w:rsid w:val="007A0536"/>
    <w:rsid w:val="007A1D84"/>
    <w:rsid w:val="007A2B3E"/>
    <w:rsid w:val="007B12B3"/>
    <w:rsid w:val="007B30F3"/>
    <w:rsid w:val="007B314F"/>
    <w:rsid w:val="007B3CC1"/>
    <w:rsid w:val="007B6482"/>
    <w:rsid w:val="007B7300"/>
    <w:rsid w:val="007B79E7"/>
    <w:rsid w:val="007C1402"/>
    <w:rsid w:val="007C301C"/>
    <w:rsid w:val="007C3FC4"/>
    <w:rsid w:val="007C5AC5"/>
    <w:rsid w:val="007C5B35"/>
    <w:rsid w:val="007C745D"/>
    <w:rsid w:val="007D08C3"/>
    <w:rsid w:val="007D2114"/>
    <w:rsid w:val="007D2871"/>
    <w:rsid w:val="007D3626"/>
    <w:rsid w:val="007D5F09"/>
    <w:rsid w:val="007E06CE"/>
    <w:rsid w:val="007E2A9B"/>
    <w:rsid w:val="007E35C0"/>
    <w:rsid w:val="007E3D5E"/>
    <w:rsid w:val="007E639A"/>
    <w:rsid w:val="007E7745"/>
    <w:rsid w:val="007F1588"/>
    <w:rsid w:val="007F2B55"/>
    <w:rsid w:val="007F34F5"/>
    <w:rsid w:val="007F748D"/>
    <w:rsid w:val="007F7C3C"/>
    <w:rsid w:val="00800B33"/>
    <w:rsid w:val="00800DC4"/>
    <w:rsid w:val="00802C09"/>
    <w:rsid w:val="00802D1E"/>
    <w:rsid w:val="00804006"/>
    <w:rsid w:val="00806D47"/>
    <w:rsid w:val="0081365A"/>
    <w:rsid w:val="00813AD9"/>
    <w:rsid w:val="00813BE2"/>
    <w:rsid w:val="0081594C"/>
    <w:rsid w:val="00821105"/>
    <w:rsid w:val="00823601"/>
    <w:rsid w:val="008237F8"/>
    <w:rsid w:val="00824E58"/>
    <w:rsid w:val="008272A8"/>
    <w:rsid w:val="00827574"/>
    <w:rsid w:val="00830590"/>
    <w:rsid w:val="00830AF8"/>
    <w:rsid w:val="00832CFC"/>
    <w:rsid w:val="00833343"/>
    <w:rsid w:val="00836DB1"/>
    <w:rsid w:val="00836DE2"/>
    <w:rsid w:val="00837E0C"/>
    <w:rsid w:val="00840198"/>
    <w:rsid w:val="00841A91"/>
    <w:rsid w:val="00846358"/>
    <w:rsid w:val="008467B1"/>
    <w:rsid w:val="00853BDD"/>
    <w:rsid w:val="00853C36"/>
    <w:rsid w:val="0085516E"/>
    <w:rsid w:val="00855366"/>
    <w:rsid w:val="00855B45"/>
    <w:rsid w:val="0085659F"/>
    <w:rsid w:val="00856B69"/>
    <w:rsid w:val="00860648"/>
    <w:rsid w:val="00861066"/>
    <w:rsid w:val="00862557"/>
    <w:rsid w:val="00864FED"/>
    <w:rsid w:val="0086603C"/>
    <w:rsid w:val="00867605"/>
    <w:rsid w:val="008706F6"/>
    <w:rsid w:val="008722B2"/>
    <w:rsid w:val="00874A0F"/>
    <w:rsid w:val="00876271"/>
    <w:rsid w:val="00877E4A"/>
    <w:rsid w:val="008823E7"/>
    <w:rsid w:val="00882FCD"/>
    <w:rsid w:val="0088465F"/>
    <w:rsid w:val="00885CEB"/>
    <w:rsid w:val="0088768B"/>
    <w:rsid w:val="0089056D"/>
    <w:rsid w:val="00890652"/>
    <w:rsid w:val="00892650"/>
    <w:rsid w:val="00895E62"/>
    <w:rsid w:val="00896EBC"/>
    <w:rsid w:val="008974A6"/>
    <w:rsid w:val="008A4920"/>
    <w:rsid w:val="008A5545"/>
    <w:rsid w:val="008A6206"/>
    <w:rsid w:val="008B329E"/>
    <w:rsid w:val="008B4AC4"/>
    <w:rsid w:val="008C0BC1"/>
    <w:rsid w:val="008C1F75"/>
    <w:rsid w:val="008C20E3"/>
    <w:rsid w:val="008C263F"/>
    <w:rsid w:val="008C4960"/>
    <w:rsid w:val="008C49BA"/>
    <w:rsid w:val="008C5018"/>
    <w:rsid w:val="008C5A3E"/>
    <w:rsid w:val="008C5DB8"/>
    <w:rsid w:val="008C7103"/>
    <w:rsid w:val="008C7543"/>
    <w:rsid w:val="008D10E7"/>
    <w:rsid w:val="008D3BDA"/>
    <w:rsid w:val="008D3E7B"/>
    <w:rsid w:val="008D4364"/>
    <w:rsid w:val="008D459E"/>
    <w:rsid w:val="008D5264"/>
    <w:rsid w:val="008D6AA6"/>
    <w:rsid w:val="008D7427"/>
    <w:rsid w:val="008E4360"/>
    <w:rsid w:val="008F255D"/>
    <w:rsid w:val="008F7993"/>
    <w:rsid w:val="008F7AA3"/>
    <w:rsid w:val="009014AF"/>
    <w:rsid w:val="0090165D"/>
    <w:rsid w:val="00902AB1"/>
    <w:rsid w:val="00906052"/>
    <w:rsid w:val="00906724"/>
    <w:rsid w:val="00906A1F"/>
    <w:rsid w:val="0091280F"/>
    <w:rsid w:val="00921BB2"/>
    <w:rsid w:val="00922512"/>
    <w:rsid w:val="00924406"/>
    <w:rsid w:val="00924FC5"/>
    <w:rsid w:val="009275AD"/>
    <w:rsid w:val="0093400D"/>
    <w:rsid w:val="009354CA"/>
    <w:rsid w:val="009410D7"/>
    <w:rsid w:val="00945547"/>
    <w:rsid w:val="00945C06"/>
    <w:rsid w:val="0094698C"/>
    <w:rsid w:val="00947841"/>
    <w:rsid w:val="00947E18"/>
    <w:rsid w:val="00951BCB"/>
    <w:rsid w:val="00951E17"/>
    <w:rsid w:val="00952A85"/>
    <w:rsid w:val="00953085"/>
    <w:rsid w:val="00953C72"/>
    <w:rsid w:val="00954855"/>
    <w:rsid w:val="00954C25"/>
    <w:rsid w:val="00955191"/>
    <w:rsid w:val="009557C9"/>
    <w:rsid w:val="00960B4D"/>
    <w:rsid w:val="00962B72"/>
    <w:rsid w:val="00964682"/>
    <w:rsid w:val="00965073"/>
    <w:rsid w:val="00965D6F"/>
    <w:rsid w:val="009701CB"/>
    <w:rsid w:val="0097215A"/>
    <w:rsid w:val="0097412B"/>
    <w:rsid w:val="00976BA5"/>
    <w:rsid w:val="00976E57"/>
    <w:rsid w:val="0098117C"/>
    <w:rsid w:val="00981C18"/>
    <w:rsid w:val="00981D26"/>
    <w:rsid w:val="009826ED"/>
    <w:rsid w:val="00983B10"/>
    <w:rsid w:val="00984C8B"/>
    <w:rsid w:val="009857A7"/>
    <w:rsid w:val="00990604"/>
    <w:rsid w:val="009917A6"/>
    <w:rsid w:val="00991D02"/>
    <w:rsid w:val="009921D1"/>
    <w:rsid w:val="00996ECF"/>
    <w:rsid w:val="00997AAF"/>
    <w:rsid w:val="00997D42"/>
    <w:rsid w:val="009A4C08"/>
    <w:rsid w:val="009A60AE"/>
    <w:rsid w:val="009A6E1D"/>
    <w:rsid w:val="009B1551"/>
    <w:rsid w:val="009B22D5"/>
    <w:rsid w:val="009B255F"/>
    <w:rsid w:val="009B4EE1"/>
    <w:rsid w:val="009B5B99"/>
    <w:rsid w:val="009C2FC1"/>
    <w:rsid w:val="009D23DA"/>
    <w:rsid w:val="009D45E5"/>
    <w:rsid w:val="009D5FB5"/>
    <w:rsid w:val="009E0F92"/>
    <w:rsid w:val="009E33E6"/>
    <w:rsid w:val="009E33ED"/>
    <w:rsid w:val="009E3633"/>
    <w:rsid w:val="009E6857"/>
    <w:rsid w:val="009F050D"/>
    <w:rsid w:val="009F0F8E"/>
    <w:rsid w:val="009F0FAA"/>
    <w:rsid w:val="009F4FEF"/>
    <w:rsid w:val="009F5CDF"/>
    <w:rsid w:val="009F6B53"/>
    <w:rsid w:val="00A00455"/>
    <w:rsid w:val="00A00533"/>
    <w:rsid w:val="00A01AE1"/>
    <w:rsid w:val="00A03C7C"/>
    <w:rsid w:val="00A04125"/>
    <w:rsid w:val="00A06084"/>
    <w:rsid w:val="00A0736A"/>
    <w:rsid w:val="00A10551"/>
    <w:rsid w:val="00A12372"/>
    <w:rsid w:val="00A12FB6"/>
    <w:rsid w:val="00A155E2"/>
    <w:rsid w:val="00A156B6"/>
    <w:rsid w:val="00A15BB9"/>
    <w:rsid w:val="00A15C97"/>
    <w:rsid w:val="00A178F1"/>
    <w:rsid w:val="00A17C50"/>
    <w:rsid w:val="00A20F82"/>
    <w:rsid w:val="00A2241B"/>
    <w:rsid w:val="00A224C6"/>
    <w:rsid w:val="00A2370E"/>
    <w:rsid w:val="00A249F2"/>
    <w:rsid w:val="00A27CEC"/>
    <w:rsid w:val="00A30B82"/>
    <w:rsid w:val="00A31F0A"/>
    <w:rsid w:val="00A326F7"/>
    <w:rsid w:val="00A33A41"/>
    <w:rsid w:val="00A3533D"/>
    <w:rsid w:val="00A400E8"/>
    <w:rsid w:val="00A4265F"/>
    <w:rsid w:val="00A428EC"/>
    <w:rsid w:val="00A43003"/>
    <w:rsid w:val="00A4578F"/>
    <w:rsid w:val="00A45859"/>
    <w:rsid w:val="00A464D1"/>
    <w:rsid w:val="00A46996"/>
    <w:rsid w:val="00A505A8"/>
    <w:rsid w:val="00A50DA4"/>
    <w:rsid w:val="00A54241"/>
    <w:rsid w:val="00A54BC5"/>
    <w:rsid w:val="00A61CB0"/>
    <w:rsid w:val="00A63FCE"/>
    <w:rsid w:val="00A67323"/>
    <w:rsid w:val="00A677F5"/>
    <w:rsid w:val="00A71EAD"/>
    <w:rsid w:val="00A748EA"/>
    <w:rsid w:val="00A77E1B"/>
    <w:rsid w:val="00A80607"/>
    <w:rsid w:val="00A8419B"/>
    <w:rsid w:val="00A866BF"/>
    <w:rsid w:val="00A87466"/>
    <w:rsid w:val="00A87A52"/>
    <w:rsid w:val="00A90EDF"/>
    <w:rsid w:val="00A9229E"/>
    <w:rsid w:val="00A94595"/>
    <w:rsid w:val="00A95059"/>
    <w:rsid w:val="00A97FC3"/>
    <w:rsid w:val="00AA16CB"/>
    <w:rsid w:val="00AA2271"/>
    <w:rsid w:val="00AA56C0"/>
    <w:rsid w:val="00AA5D21"/>
    <w:rsid w:val="00AA616B"/>
    <w:rsid w:val="00AA6663"/>
    <w:rsid w:val="00AA7D7D"/>
    <w:rsid w:val="00AA7DAA"/>
    <w:rsid w:val="00AB1A0C"/>
    <w:rsid w:val="00AB3579"/>
    <w:rsid w:val="00AB6198"/>
    <w:rsid w:val="00AB6412"/>
    <w:rsid w:val="00AB79BB"/>
    <w:rsid w:val="00AC3248"/>
    <w:rsid w:val="00AC4281"/>
    <w:rsid w:val="00AD0D08"/>
    <w:rsid w:val="00AD13E4"/>
    <w:rsid w:val="00AD2241"/>
    <w:rsid w:val="00AD26DA"/>
    <w:rsid w:val="00AD486E"/>
    <w:rsid w:val="00AD711A"/>
    <w:rsid w:val="00AD7540"/>
    <w:rsid w:val="00AD77F0"/>
    <w:rsid w:val="00AE2E3B"/>
    <w:rsid w:val="00AE793B"/>
    <w:rsid w:val="00AF1B96"/>
    <w:rsid w:val="00AF3149"/>
    <w:rsid w:val="00AF4BF4"/>
    <w:rsid w:val="00AF4CC5"/>
    <w:rsid w:val="00AF6DCB"/>
    <w:rsid w:val="00B00A8B"/>
    <w:rsid w:val="00B00FA3"/>
    <w:rsid w:val="00B0173E"/>
    <w:rsid w:val="00B03308"/>
    <w:rsid w:val="00B038DF"/>
    <w:rsid w:val="00B041ED"/>
    <w:rsid w:val="00B046D4"/>
    <w:rsid w:val="00B05A5C"/>
    <w:rsid w:val="00B070B4"/>
    <w:rsid w:val="00B07B53"/>
    <w:rsid w:val="00B07E19"/>
    <w:rsid w:val="00B101C1"/>
    <w:rsid w:val="00B11D81"/>
    <w:rsid w:val="00B12C62"/>
    <w:rsid w:val="00B14313"/>
    <w:rsid w:val="00B14E51"/>
    <w:rsid w:val="00B223F5"/>
    <w:rsid w:val="00B22E13"/>
    <w:rsid w:val="00B2306C"/>
    <w:rsid w:val="00B234F0"/>
    <w:rsid w:val="00B2550B"/>
    <w:rsid w:val="00B301D0"/>
    <w:rsid w:val="00B30768"/>
    <w:rsid w:val="00B317CE"/>
    <w:rsid w:val="00B323A4"/>
    <w:rsid w:val="00B3597D"/>
    <w:rsid w:val="00B41B22"/>
    <w:rsid w:val="00B457F7"/>
    <w:rsid w:val="00B4586A"/>
    <w:rsid w:val="00B56AB5"/>
    <w:rsid w:val="00B602A3"/>
    <w:rsid w:val="00B60D9F"/>
    <w:rsid w:val="00B61FDB"/>
    <w:rsid w:val="00B63B2A"/>
    <w:rsid w:val="00B65BA6"/>
    <w:rsid w:val="00B6647B"/>
    <w:rsid w:val="00B7083A"/>
    <w:rsid w:val="00B70CA6"/>
    <w:rsid w:val="00B74311"/>
    <w:rsid w:val="00B74934"/>
    <w:rsid w:val="00B75300"/>
    <w:rsid w:val="00B75BD2"/>
    <w:rsid w:val="00B7704E"/>
    <w:rsid w:val="00B82684"/>
    <w:rsid w:val="00B82E71"/>
    <w:rsid w:val="00B8470E"/>
    <w:rsid w:val="00B87383"/>
    <w:rsid w:val="00B92562"/>
    <w:rsid w:val="00B92626"/>
    <w:rsid w:val="00B92FCF"/>
    <w:rsid w:val="00B940DB"/>
    <w:rsid w:val="00BA001E"/>
    <w:rsid w:val="00BA489B"/>
    <w:rsid w:val="00BA54D4"/>
    <w:rsid w:val="00BA744F"/>
    <w:rsid w:val="00BB101F"/>
    <w:rsid w:val="00BB2FC3"/>
    <w:rsid w:val="00BB3136"/>
    <w:rsid w:val="00BC0555"/>
    <w:rsid w:val="00BC09BB"/>
    <w:rsid w:val="00BC4568"/>
    <w:rsid w:val="00BC5E71"/>
    <w:rsid w:val="00BC741A"/>
    <w:rsid w:val="00BD2E55"/>
    <w:rsid w:val="00BD39EA"/>
    <w:rsid w:val="00BD6008"/>
    <w:rsid w:val="00BE4A7C"/>
    <w:rsid w:val="00BE7D14"/>
    <w:rsid w:val="00BF12D3"/>
    <w:rsid w:val="00BF2FEF"/>
    <w:rsid w:val="00BF3539"/>
    <w:rsid w:val="00BF466A"/>
    <w:rsid w:val="00BF5351"/>
    <w:rsid w:val="00BF7E17"/>
    <w:rsid w:val="00C01A5E"/>
    <w:rsid w:val="00C03808"/>
    <w:rsid w:val="00C0435C"/>
    <w:rsid w:val="00C048D7"/>
    <w:rsid w:val="00C04C51"/>
    <w:rsid w:val="00C04C67"/>
    <w:rsid w:val="00C112DA"/>
    <w:rsid w:val="00C11F75"/>
    <w:rsid w:val="00C12AE5"/>
    <w:rsid w:val="00C13483"/>
    <w:rsid w:val="00C1482E"/>
    <w:rsid w:val="00C17523"/>
    <w:rsid w:val="00C21F57"/>
    <w:rsid w:val="00C22DBD"/>
    <w:rsid w:val="00C22F10"/>
    <w:rsid w:val="00C239C2"/>
    <w:rsid w:val="00C24B25"/>
    <w:rsid w:val="00C24C61"/>
    <w:rsid w:val="00C25CB4"/>
    <w:rsid w:val="00C313A4"/>
    <w:rsid w:val="00C322ED"/>
    <w:rsid w:val="00C331BF"/>
    <w:rsid w:val="00C3766D"/>
    <w:rsid w:val="00C4086A"/>
    <w:rsid w:val="00C41E08"/>
    <w:rsid w:val="00C421E7"/>
    <w:rsid w:val="00C42A7F"/>
    <w:rsid w:val="00C43936"/>
    <w:rsid w:val="00C516F9"/>
    <w:rsid w:val="00C51F4D"/>
    <w:rsid w:val="00C53D7F"/>
    <w:rsid w:val="00C54A5A"/>
    <w:rsid w:val="00C564E6"/>
    <w:rsid w:val="00C5785E"/>
    <w:rsid w:val="00C6114B"/>
    <w:rsid w:val="00C61D41"/>
    <w:rsid w:val="00C64960"/>
    <w:rsid w:val="00C64FAE"/>
    <w:rsid w:val="00C6696E"/>
    <w:rsid w:val="00C7118F"/>
    <w:rsid w:val="00C71767"/>
    <w:rsid w:val="00C71F8F"/>
    <w:rsid w:val="00C7550C"/>
    <w:rsid w:val="00C75627"/>
    <w:rsid w:val="00C76FCF"/>
    <w:rsid w:val="00C774CC"/>
    <w:rsid w:val="00C802E3"/>
    <w:rsid w:val="00C8248F"/>
    <w:rsid w:val="00C84216"/>
    <w:rsid w:val="00C8604A"/>
    <w:rsid w:val="00C901E5"/>
    <w:rsid w:val="00C907B0"/>
    <w:rsid w:val="00C9149F"/>
    <w:rsid w:val="00C91FCB"/>
    <w:rsid w:val="00C93228"/>
    <w:rsid w:val="00C94D81"/>
    <w:rsid w:val="00C956A1"/>
    <w:rsid w:val="00C95B98"/>
    <w:rsid w:val="00CA263A"/>
    <w:rsid w:val="00CA45F3"/>
    <w:rsid w:val="00CA5CC6"/>
    <w:rsid w:val="00CA6486"/>
    <w:rsid w:val="00CA65E9"/>
    <w:rsid w:val="00CB0FAB"/>
    <w:rsid w:val="00CB326F"/>
    <w:rsid w:val="00CB35C0"/>
    <w:rsid w:val="00CB767C"/>
    <w:rsid w:val="00CC200B"/>
    <w:rsid w:val="00CC2921"/>
    <w:rsid w:val="00CC335C"/>
    <w:rsid w:val="00CD02D0"/>
    <w:rsid w:val="00CD1779"/>
    <w:rsid w:val="00CD33B6"/>
    <w:rsid w:val="00CD7799"/>
    <w:rsid w:val="00CE0D4D"/>
    <w:rsid w:val="00CE1109"/>
    <w:rsid w:val="00CE3A7E"/>
    <w:rsid w:val="00CE3B2C"/>
    <w:rsid w:val="00CE4AD6"/>
    <w:rsid w:val="00CE51B2"/>
    <w:rsid w:val="00CE5C8C"/>
    <w:rsid w:val="00CE69C6"/>
    <w:rsid w:val="00CF0BC1"/>
    <w:rsid w:val="00CF0C79"/>
    <w:rsid w:val="00CF48FC"/>
    <w:rsid w:val="00CF4A67"/>
    <w:rsid w:val="00CF615D"/>
    <w:rsid w:val="00CF70E5"/>
    <w:rsid w:val="00D02D60"/>
    <w:rsid w:val="00D043B5"/>
    <w:rsid w:val="00D04DE1"/>
    <w:rsid w:val="00D06553"/>
    <w:rsid w:val="00D12423"/>
    <w:rsid w:val="00D13AEE"/>
    <w:rsid w:val="00D16663"/>
    <w:rsid w:val="00D20D09"/>
    <w:rsid w:val="00D24B06"/>
    <w:rsid w:val="00D25A21"/>
    <w:rsid w:val="00D25BE0"/>
    <w:rsid w:val="00D26DB4"/>
    <w:rsid w:val="00D27E39"/>
    <w:rsid w:val="00D31813"/>
    <w:rsid w:val="00D3429A"/>
    <w:rsid w:val="00D34403"/>
    <w:rsid w:val="00D3573C"/>
    <w:rsid w:val="00D36C35"/>
    <w:rsid w:val="00D40509"/>
    <w:rsid w:val="00D414F3"/>
    <w:rsid w:val="00D43038"/>
    <w:rsid w:val="00D43B86"/>
    <w:rsid w:val="00D43F12"/>
    <w:rsid w:val="00D4450F"/>
    <w:rsid w:val="00D4579C"/>
    <w:rsid w:val="00D47617"/>
    <w:rsid w:val="00D51E1F"/>
    <w:rsid w:val="00D5257D"/>
    <w:rsid w:val="00D55767"/>
    <w:rsid w:val="00D55C13"/>
    <w:rsid w:val="00D55D1C"/>
    <w:rsid w:val="00D5616B"/>
    <w:rsid w:val="00D60B9D"/>
    <w:rsid w:val="00D60E1C"/>
    <w:rsid w:val="00D71892"/>
    <w:rsid w:val="00D739ED"/>
    <w:rsid w:val="00D74C35"/>
    <w:rsid w:val="00D75CC9"/>
    <w:rsid w:val="00D76C57"/>
    <w:rsid w:val="00D8089F"/>
    <w:rsid w:val="00D81D80"/>
    <w:rsid w:val="00D8266D"/>
    <w:rsid w:val="00D82C9A"/>
    <w:rsid w:val="00D8501E"/>
    <w:rsid w:val="00D865CD"/>
    <w:rsid w:val="00D911A1"/>
    <w:rsid w:val="00D93973"/>
    <w:rsid w:val="00D94931"/>
    <w:rsid w:val="00D96F20"/>
    <w:rsid w:val="00D97B04"/>
    <w:rsid w:val="00D97FFD"/>
    <w:rsid w:val="00DA0341"/>
    <w:rsid w:val="00DA15C9"/>
    <w:rsid w:val="00DA1BF4"/>
    <w:rsid w:val="00DA1C77"/>
    <w:rsid w:val="00DA7618"/>
    <w:rsid w:val="00DA7EAB"/>
    <w:rsid w:val="00DB08CF"/>
    <w:rsid w:val="00DB0E7F"/>
    <w:rsid w:val="00DB2FFD"/>
    <w:rsid w:val="00DB63E5"/>
    <w:rsid w:val="00DB7CAF"/>
    <w:rsid w:val="00DC06B3"/>
    <w:rsid w:val="00DC10ED"/>
    <w:rsid w:val="00DC2985"/>
    <w:rsid w:val="00DC49E8"/>
    <w:rsid w:val="00DD1126"/>
    <w:rsid w:val="00DD1AEB"/>
    <w:rsid w:val="00DD39C8"/>
    <w:rsid w:val="00DE04B5"/>
    <w:rsid w:val="00DE2792"/>
    <w:rsid w:val="00DE2FDB"/>
    <w:rsid w:val="00DE3271"/>
    <w:rsid w:val="00DE3C03"/>
    <w:rsid w:val="00DE553B"/>
    <w:rsid w:val="00DF1C76"/>
    <w:rsid w:val="00DF34F3"/>
    <w:rsid w:val="00DF37F9"/>
    <w:rsid w:val="00DF3C9D"/>
    <w:rsid w:val="00DF79F5"/>
    <w:rsid w:val="00E00263"/>
    <w:rsid w:val="00E045EE"/>
    <w:rsid w:val="00E07E6D"/>
    <w:rsid w:val="00E1423E"/>
    <w:rsid w:val="00E168F9"/>
    <w:rsid w:val="00E20ABF"/>
    <w:rsid w:val="00E21309"/>
    <w:rsid w:val="00E232FD"/>
    <w:rsid w:val="00E2631F"/>
    <w:rsid w:val="00E26A9C"/>
    <w:rsid w:val="00E27FD0"/>
    <w:rsid w:val="00E31301"/>
    <w:rsid w:val="00E3227A"/>
    <w:rsid w:val="00E3436A"/>
    <w:rsid w:val="00E34A63"/>
    <w:rsid w:val="00E34BF2"/>
    <w:rsid w:val="00E35B81"/>
    <w:rsid w:val="00E36D75"/>
    <w:rsid w:val="00E40393"/>
    <w:rsid w:val="00E40825"/>
    <w:rsid w:val="00E42899"/>
    <w:rsid w:val="00E431A4"/>
    <w:rsid w:val="00E46AB1"/>
    <w:rsid w:val="00E46D00"/>
    <w:rsid w:val="00E475A9"/>
    <w:rsid w:val="00E47FF9"/>
    <w:rsid w:val="00E52213"/>
    <w:rsid w:val="00E54B07"/>
    <w:rsid w:val="00E550A2"/>
    <w:rsid w:val="00E55754"/>
    <w:rsid w:val="00E60D5A"/>
    <w:rsid w:val="00E60E4A"/>
    <w:rsid w:val="00E61D0D"/>
    <w:rsid w:val="00E661FC"/>
    <w:rsid w:val="00E666C2"/>
    <w:rsid w:val="00E70730"/>
    <w:rsid w:val="00E7109F"/>
    <w:rsid w:val="00E75732"/>
    <w:rsid w:val="00E762B6"/>
    <w:rsid w:val="00E7680B"/>
    <w:rsid w:val="00E81C1B"/>
    <w:rsid w:val="00E82D45"/>
    <w:rsid w:val="00E842B2"/>
    <w:rsid w:val="00E85939"/>
    <w:rsid w:val="00E869A1"/>
    <w:rsid w:val="00E903AE"/>
    <w:rsid w:val="00E92C39"/>
    <w:rsid w:val="00E933D9"/>
    <w:rsid w:val="00E95527"/>
    <w:rsid w:val="00E978CD"/>
    <w:rsid w:val="00E97BFD"/>
    <w:rsid w:val="00E97D43"/>
    <w:rsid w:val="00EA104F"/>
    <w:rsid w:val="00EA1633"/>
    <w:rsid w:val="00EA216B"/>
    <w:rsid w:val="00EA2CAB"/>
    <w:rsid w:val="00EA3B30"/>
    <w:rsid w:val="00EA447B"/>
    <w:rsid w:val="00EA5FED"/>
    <w:rsid w:val="00EA65CA"/>
    <w:rsid w:val="00EB129A"/>
    <w:rsid w:val="00EB4494"/>
    <w:rsid w:val="00EB5616"/>
    <w:rsid w:val="00EC1E81"/>
    <w:rsid w:val="00EC25ED"/>
    <w:rsid w:val="00EC3382"/>
    <w:rsid w:val="00EC35B7"/>
    <w:rsid w:val="00EC43F4"/>
    <w:rsid w:val="00EC4D43"/>
    <w:rsid w:val="00ED008B"/>
    <w:rsid w:val="00ED4B38"/>
    <w:rsid w:val="00ED4C41"/>
    <w:rsid w:val="00ED730C"/>
    <w:rsid w:val="00ED7377"/>
    <w:rsid w:val="00EE1DCE"/>
    <w:rsid w:val="00EE31D7"/>
    <w:rsid w:val="00EE3429"/>
    <w:rsid w:val="00EE4A84"/>
    <w:rsid w:val="00EF127F"/>
    <w:rsid w:val="00EF3324"/>
    <w:rsid w:val="00EF4906"/>
    <w:rsid w:val="00F00C9C"/>
    <w:rsid w:val="00F01352"/>
    <w:rsid w:val="00F019F1"/>
    <w:rsid w:val="00F020B0"/>
    <w:rsid w:val="00F02A9B"/>
    <w:rsid w:val="00F0453C"/>
    <w:rsid w:val="00F04B29"/>
    <w:rsid w:val="00F04F7D"/>
    <w:rsid w:val="00F05CFA"/>
    <w:rsid w:val="00F10D9F"/>
    <w:rsid w:val="00F11D9C"/>
    <w:rsid w:val="00F142F3"/>
    <w:rsid w:val="00F15311"/>
    <w:rsid w:val="00F17268"/>
    <w:rsid w:val="00F21532"/>
    <w:rsid w:val="00F23912"/>
    <w:rsid w:val="00F23BFE"/>
    <w:rsid w:val="00F23F15"/>
    <w:rsid w:val="00F26530"/>
    <w:rsid w:val="00F30FC9"/>
    <w:rsid w:val="00F319B6"/>
    <w:rsid w:val="00F33D7B"/>
    <w:rsid w:val="00F36F7D"/>
    <w:rsid w:val="00F44E71"/>
    <w:rsid w:val="00F45358"/>
    <w:rsid w:val="00F47212"/>
    <w:rsid w:val="00F50684"/>
    <w:rsid w:val="00F50C3C"/>
    <w:rsid w:val="00F52801"/>
    <w:rsid w:val="00F53AF3"/>
    <w:rsid w:val="00F6011B"/>
    <w:rsid w:val="00F60A54"/>
    <w:rsid w:val="00F60BFC"/>
    <w:rsid w:val="00F62448"/>
    <w:rsid w:val="00F651A4"/>
    <w:rsid w:val="00F66A68"/>
    <w:rsid w:val="00F66BBF"/>
    <w:rsid w:val="00F712E4"/>
    <w:rsid w:val="00F71395"/>
    <w:rsid w:val="00F71D21"/>
    <w:rsid w:val="00F7207E"/>
    <w:rsid w:val="00F80E76"/>
    <w:rsid w:val="00F830BC"/>
    <w:rsid w:val="00F865C2"/>
    <w:rsid w:val="00F9078D"/>
    <w:rsid w:val="00F90CD1"/>
    <w:rsid w:val="00F91073"/>
    <w:rsid w:val="00F91D67"/>
    <w:rsid w:val="00F960D2"/>
    <w:rsid w:val="00FA0F52"/>
    <w:rsid w:val="00FA1BE3"/>
    <w:rsid w:val="00FA2244"/>
    <w:rsid w:val="00FA3000"/>
    <w:rsid w:val="00FA5083"/>
    <w:rsid w:val="00FA7C50"/>
    <w:rsid w:val="00FB2C9F"/>
    <w:rsid w:val="00FB2D55"/>
    <w:rsid w:val="00FB2E0A"/>
    <w:rsid w:val="00FB3054"/>
    <w:rsid w:val="00FB79D4"/>
    <w:rsid w:val="00FC5222"/>
    <w:rsid w:val="00FC6B26"/>
    <w:rsid w:val="00FC6B9E"/>
    <w:rsid w:val="00FD05ED"/>
    <w:rsid w:val="00FD1EF2"/>
    <w:rsid w:val="00FD246D"/>
    <w:rsid w:val="00FD36B6"/>
    <w:rsid w:val="00FD7EC2"/>
    <w:rsid w:val="00FE1D82"/>
    <w:rsid w:val="00FE29C3"/>
    <w:rsid w:val="00FE7BF6"/>
    <w:rsid w:val="00FF1BD3"/>
    <w:rsid w:val="00FF2ABA"/>
    <w:rsid w:val="00FF2FD0"/>
    <w:rsid w:val="00FF37A6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E6A7F1"/>
  <w15:docId w15:val="{56B35292-F12A-4F2B-B68F-C006353F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C97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2">
    <w:name w:val="highlight2"/>
    <w:basedOn w:val="DefaultParagraphFont"/>
    <w:rsid w:val="00DE04B5"/>
  </w:style>
  <w:style w:type="paragraph" w:styleId="ListParagraph">
    <w:name w:val="List Paragraph"/>
    <w:basedOn w:val="Normal"/>
    <w:uiPriority w:val="34"/>
    <w:qFormat/>
    <w:rsid w:val="009557C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55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7C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5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C9"/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nhideWhenUsed/>
    <w:rsid w:val="002953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5C97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5C9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302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97"/>
    <w:rPr>
      <w:rFonts w:ascii="Arial" w:hAnsi="Arial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97"/>
    <w:rPr>
      <w:rFonts w:cs="Segoe UI"/>
      <w:sz w:val="18"/>
      <w:szCs w:val="18"/>
    </w:rPr>
  </w:style>
  <w:style w:type="paragraph" w:styleId="Revision">
    <w:name w:val="Revision"/>
    <w:hidden/>
    <w:uiPriority w:val="99"/>
    <w:semiHidden/>
    <w:rsid w:val="00833343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4B1E"/>
    <w:rPr>
      <w:color w:val="0563C1" w:themeColor="hyperlink"/>
      <w:u w:val="single"/>
    </w:rPr>
  </w:style>
  <w:style w:type="table" w:customStyle="1" w:styleId="GridTable5Dark-Accent51">
    <w:name w:val="Grid Table 5 Dark - Accent 51"/>
    <w:basedOn w:val="TableNormal"/>
    <w:uiPriority w:val="50"/>
    <w:rsid w:val="00C914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-Accent31">
    <w:name w:val="Grid Table 4 - Accent 31"/>
    <w:basedOn w:val="TableNormal"/>
    <w:uiPriority w:val="49"/>
    <w:rsid w:val="00C914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-Accent52">
    <w:name w:val="Grid Table 5 Dark - Accent 52"/>
    <w:basedOn w:val="TableNormal"/>
    <w:uiPriority w:val="50"/>
    <w:rsid w:val="005308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-Accent32">
    <w:name w:val="Grid Table 4 - Accent 32"/>
    <w:basedOn w:val="TableNormal"/>
    <w:uiPriority w:val="49"/>
    <w:rsid w:val="0053081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D8501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rsid w:val="00134B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32">
    <w:name w:val="List Table 6 Colorful - Accent 32"/>
    <w:basedOn w:val="TableNormal"/>
    <w:uiPriority w:val="51"/>
    <w:rsid w:val="005D30D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0D3414"/>
    <w:rPr>
      <w:b/>
      <w:bCs/>
    </w:rPr>
  </w:style>
  <w:style w:type="character" w:styleId="Emphasis">
    <w:name w:val="Emphasis"/>
    <w:basedOn w:val="DefaultParagraphFont"/>
    <w:uiPriority w:val="20"/>
    <w:qFormat/>
    <w:rsid w:val="000D3414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67606F"/>
    <w:pPr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606F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67606F"/>
    <w:pPr>
      <w:spacing w:line="36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7606F"/>
    <w:rPr>
      <w:noProof/>
      <w:sz w:val="22"/>
      <w:szCs w:val="22"/>
    </w:rPr>
  </w:style>
  <w:style w:type="table" w:styleId="TableGrid">
    <w:name w:val="Table Grid"/>
    <w:basedOn w:val="TableNormal"/>
    <w:uiPriority w:val="39"/>
    <w:rsid w:val="00DC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B63E5"/>
    <w:pPr>
      <w:spacing w:line="1182" w:lineRule="atLeast"/>
      <w:ind w:firstLine="38"/>
      <w:jc w:val="center"/>
    </w:pPr>
    <w:rPr>
      <w:rFonts w:ascii="Gill Sans Light" w:hAnsi="Gill Sans Light" w:cs="Gill Sans Light"/>
      <w:color w:val="515151"/>
      <w:sz w:val="75"/>
      <w:szCs w:val="75"/>
      <w:lang w:val="it-IT" w:eastAsia="it-IT"/>
    </w:rPr>
  </w:style>
  <w:style w:type="character" w:customStyle="1" w:styleId="s2">
    <w:name w:val="s2"/>
    <w:basedOn w:val="DefaultParagraphFont"/>
    <w:rsid w:val="00DB63E5"/>
    <w:rPr>
      <w:rFonts w:ascii="Gill Sans Light" w:hAnsi="Gill Sans Light" w:cs="Gill Sans Light" w:hint="default"/>
      <w:sz w:val="50"/>
      <w:szCs w:val="50"/>
    </w:rPr>
  </w:style>
  <w:style w:type="character" w:customStyle="1" w:styleId="s1">
    <w:name w:val="s1"/>
    <w:basedOn w:val="DefaultParagraphFont"/>
    <w:rsid w:val="00DB63E5"/>
  </w:style>
  <w:style w:type="character" w:customStyle="1" w:styleId="apple-converted-space">
    <w:name w:val="apple-converted-space"/>
    <w:basedOn w:val="DefaultParagraphFont"/>
    <w:rsid w:val="00DB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2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1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3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2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928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105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271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363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1E639-6CAC-4873-930F-3DAAAAB2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Staurenghi</dc:creator>
  <cp:lastModifiedBy>Venkatraman, Lakshmi</cp:lastModifiedBy>
  <cp:revision>7</cp:revision>
  <cp:lastPrinted>2017-12-04T11:09:00Z</cp:lastPrinted>
  <dcterms:created xsi:type="dcterms:W3CDTF">2018-05-16T07:36:00Z</dcterms:created>
  <dcterms:modified xsi:type="dcterms:W3CDTF">2018-05-16T10:00:00Z</dcterms:modified>
</cp:coreProperties>
</file>