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ADFE2" w14:textId="517F2D8D" w:rsidR="00805D62" w:rsidRPr="00F62CA4" w:rsidRDefault="00C12B93" w:rsidP="003634C4">
      <w:pPr>
        <w:spacing w:line="480" w:lineRule="auto"/>
        <w:jc w:val="both"/>
        <w:rPr>
          <w:rFonts w:ascii="Times New Roman" w:hAnsi="Times New Roman" w:cs="Times New Roman"/>
          <w:b/>
          <w:color w:val="000000" w:themeColor="text1"/>
        </w:rPr>
      </w:pPr>
      <w:r w:rsidRPr="00F62CA4">
        <w:rPr>
          <w:rFonts w:ascii="Times New Roman" w:hAnsi="Times New Roman" w:cs="Times New Roman" w:hint="eastAsia"/>
          <w:b/>
          <w:color w:val="000000" w:themeColor="text1"/>
        </w:rPr>
        <w:t>Supplementary materials and methods</w:t>
      </w:r>
    </w:p>
    <w:p w14:paraId="4F4FF036" w14:textId="7577A71C" w:rsidR="00E86F3A" w:rsidRPr="00F62CA4" w:rsidRDefault="00E86F3A" w:rsidP="003634C4">
      <w:pPr>
        <w:spacing w:line="480" w:lineRule="auto"/>
        <w:jc w:val="both"/>
        <w:rPr>
          <w:rFonts w:ascii="Times New Roman" w:hAnsi="Times New Roman" w:cs="Times New Roman"/>
          <w:bCs/>
          <w:color w:val="000000" w:themeColor="text1"/>
        </w:rPr>
      </w:pPr>
    </w:p>
    <w:p w14:paraId="34BAECF4" w14:textId="756736C5" w:rsidR="00B2226D" w:rsidRPr="00F62CA4" w:rsidRDefault="00B2226D" w:rsidP="003634C4">
      <w:pPr>
        <w:spacing w:line="480" w:lineRule="auto"/>
        <w:jc w:val="both"/>
        <w:rPr>
          <w:rFonts w:ascii="Times New Roman" w:hAnsi="Times New Roman" w:cs="Times New Roman"/>
          <w:i/>
          <w:iCs/>
          <w:color w:val="000000" w:themeColor="text1"/>
        </w:rPr>
      </w:pPr>
      <w:r w:rsidRPr="00F62CA4">
        <w:rPr>
          <w:rFonts w:ascii="Times New Roman" w:hAnsi="Times New Roman" w:cs="Times New Roman"/>
          <w:i/>
          <w:iCs/>
          <w:color w:val="000000" w:themeColor="text1"/>
        </w:rPr>
        <w:t>Phospholipids</w:t>
      </w:r>
    </w:p>
    <w:p w14:paraId="13AD27D1" w14:textId="77777777" w:rsidR="00F266E3" w:rsidRPr="00F62CA4" w:rsidRDefault="00F266E3" w:rsidP="003634C4">
      <w:pPr>
        <w:spacing w:line="480" w:lineRule="auto"/>
        <w:jc w:val="both"/>
        <w:rPr>
          <w:rFonts w:ascii="Times New Roman" w:hAnsi="Times New Roman" w:cs="Times New Roman"/>
          <w:color w:val="000000" w:themeColor="text1"/>
        </w:rPr>
      </w:pPr>
    </w:p>
    <w:p w14:paraId="307C2A47" w14:textId="72A5F633" w:rsidR="00B2226D" w:rsidRPr="00F62CA4" w:rsidRDefault="00B2226D" w:rsidP="003634C4">
      <w:pPr>
        <w:spacing w:line="480" w:lineRule="auto"/>
        <w:jc w:val="both"/>
        <w:rPr>
          <w:rFonts w:ascii="Times New Roman" w:hAnsi="Times New Roman" w:cs="Times New Roman"/>
          <w:color w:val="000000" w:themeColor="text1"/>
        </w:rPr>
      </w:pPr>
      <w:r w:rsidRPr="00F62CA4">
        <w:rPr>
          <w:rFonts w:ascii="Times New Roman" w:hAnsi="Times New Roman" w:cs="Times New Roman"/>
          <w:color w:val="000000" w:themeColor="text1"/>
        </w:rPr>
        <w:t xml:space="preserve">Phospholipid kit </w:t>
      </w:r>
      <w:r w:rsidR="00923384" w:rsidRPr="00F62CA4">
        <w:rPr>
          <w:rFonts w:ascii="Times New Roman" w:hAnsi="Times New Roman" w:cs="Times New Roman"/>
          <w:color w:val="000000" w:themeColor="text1"/>
        </w:rPr>
        <w:t xml:space="preserve">(Olbracht Serdary Research Laboratories) </w:t>
      </w:r>
      <w:r w:rsidR="00A21205" w:rsidRPr="00F62CA4">
        <w:rPr>
          <w:rFonts w:ascii="Times New Roman" w:hAnsi="Times New Roman" w:cs="Times New Roman"/>
          <w:color w:val="000000" w:themeColor="text1"/>
        </w:rPr>
        <w:t>contains</w:t>
      </w:r>
      <w:r w:rsidRPr="00F62CA4">
        <w:rPr>
          <w:rFonts w:ascii="Times New Roman" w:hAnsi="Times New Roman" w:cs="Times New Roman"/>
          <w:color w:val="000000" w:themeColor="text1"/>
        </w:rPr>
        <w:t xml:space="preserve"> bovine liver lysophosphatidylcholine (LPC) containing primary C18:0, egg yolk LPE containing primary C16:0 and C18:0, soybean phosphatidylinositol (PI) containing primary C16:0 and C18:2, bovine heart sphingomyelin (SM) containing primary C16:0, C18:0, and C18:1, porcine brain phosphatidylserine (PS) containing primary C18:0 and C18:1, bovine liver phosphatidylcholine (PC) containing primary C18:0 and C18:1, egg yolk phosphatidylethanolamine (PE) containing primary C16:0, C18:0, C18:1, and C18:2, bovine heart cardiolipin (CL) containing primary C18:2, phosphatidic acid (PA) from egg yolk PC containing primary C16:0 and C18:1 , and porcine brain cerebrosides (CB) containing primary C22:0 and C24:0</w:t>
      </w:r>
      <w:r w:rsidR="00923384" w:rsidRPr="00F62CA4">
        <w:rPr>
          <w:rFonts w:ascii="Times New Roman" w:hAnsi="Times New Roman" w:cs="Times New Roman"/>
          <w:color w:val="000000" w:themeColor="text1"/>
        </w:rPr>
        <w:t>.</w:t>
      </w:r>
    </w:p>
    <w:p w14:paraId="7F9E13D5" w14:textId="77777777" w:rsidR="00B2226D" w:rsidRPr="00F62CA4" w:rsidRDefault="00B2226D" w:rsidP="003634C4">
      <w:pPr>
        <w:spacing w:line="480" w:lineRule="auto"/>
        <w:jc w:val="both"/>
        <w:rPr>
          <w:rFonts w:ascii="Times New Roman" w:hAnsi="Times New Roman" w:cs="Times New Roman"/>
          <w:bCs/>
          <w:color w:val="000000" w:themeColor="text1"/>
        </w:rPr>
      </w:pPr>
    </w:p>
    <w:p w14:paraId="20FB75CF" w14:textId="23AF76D4" w:rsidR="00805D62" w:rsidRPr="00F62CA4" w:rsidRDefault="00805D62" w:rsidP="003634C4">
      <w:pPr>
        <w:spacing w:line="480" w:lineRule="auto"/>
        <w:jc w:val="both"/>
        <w:rPr>
          <w:rFonts w:ascii="Times New Roman" w:hAnsi="Times New Roman" w:cs="Times New Roman"/>
          <w:bCs/>
          <w:i/>
          <w:iCs/>
          <w:color w:val="000000" w:themeColor="text1"/>
        </w:rPr>
      </w:pPr>
      <w:r w:rsidRPr="00F62CA4">
        <w:rPr>
          <w:rFonts w:ascii="Times New Roman" w:hAnsi="Times New Roman" w:cs="Times New Roman" w:hint="eastAsia"/>
          <w:bCs/>
          <w:i/>
          <w:iCs/>
          <w:color w:val="000000" w:themeColor="text1"/>
        </w:rPr>
        <w:t>A</w:t>
      </w:r>
      <w:r w:rsidRPr="00F62CA4">
        <w:rPr>
          <w:rFonts w:ascii="Times New Roman" w:hAnsi="Times New Roman" w:cs="Times New Roman"/>
          <w:bCs/>
          <w:i/>
          <w:iCs/>
          <w:color w:val="000000" w:themeColor="text1"/>
        </w:rPr>
        <w:t>ntibodies</w:t>
      </w:r>
    </w:p>
    <w:p w14:paraId="6ADB5286" w14:textId="6DD0C311" w:rsidR="00790229" w:rsidRPr="00F62CA4" w:rsidRDefault="00F65106" w:rsidP="003634C4">
      <w:pPr>
        <w:spacing w:line="480" w:lineRule="auto"/>
        <w:jc w:val="both"/>
        <w:rPr>
          <w:rFonts w:ascii="Times New Roman" w:hAnsi="Times New Roman" w:cs="Times New Roman"/>
          <w:color w:val="000000" w:themeColor="text1"/>
        </w:rPr>
      </w:pPr>
      <w:r w:rsidRPr="00F62CA4">
        <w:rPr>
          <w:rFonts w:ascii="Times New Roman" w:hAnsi="Times New Roman"/>
          <w:color w:val="000000" w:themeColor="text1"/>
        </w:rPr>
        <w:t>The following commercially available antibodies were used:</w:t>
      </w:r>
      <w:r w:rsidR="006966F5" w:rsidRPr="00F62CA4">
        <w:rPr>
          <w:rFonts w:ascii="Times New Roman" w:hAnsi="Times New Roman"/>
          <w:color w:val="000000" w:themeColor="text1"/>
        </w:rPr>
        <w:t xml:space="preserve"> </w:t>
      </w:r>
      <w:r w:rsidR="006966F5" w:rsidRPr="00F62CA4">
        <w:rPr>
          <w:rFonts w:ascii="Times New Roman" w:hAnsi="Times New Roman" w:cs="Times New Roman"/>
          <w:color w:val="000000" w:themeColor="text1"/>
        </w:rPr>
        <w:t>rabbit anti-MAP2</w:t>
      </w:r>
      <w:r w:rsidR="002A756F" w:rsidRPr="00F62CA4">
        <w:rPr>
          <w:rFonts w:ascii="Times New Roman" w:hAnsi="Times New Roman" w:cs="Times New Roman" w:hint="eastAsia"/>
          <w:color w:val="000000" w:themeColor="text1"/>
          <w:lang w:eastAsia="ja-JP"/>
        </w:rPr>
        <w:t xml:space="preserve"> </w:t>
      </w:r>
      <w:r w:rsidR="006966F5" w:rsidRPr="00F62CA4">
        <w:rPr>
          <w:rFonts w:ascii="Times New Roman" w:hAnsi="Times New Roman" w:cs="Times New Roman"/>
          <w:color w:val="000000" w:themeColor="text1"/>
        </w:rPr>
        <w:t>(1:1000; Sigma-Aldrich), goat anti-</w:t>
      </w:r>
      <w:r w:rsidR="002A756F" w:rsidRPr="00F62CA4">
        <w:rPr>
          <w:rFonts w:ascii="Times New Roman" w:hAnsi="Times New Roman" w:cs="Times New Roman"/>
          <w:color w:val="000000" w:themeColor="text1"/>
        </w:rPr>
        <w:t>tau</w:t>
      </w:r>
      <w:r w:rsidR="006966F5" w:rsidRPr="00F62CA4">
        <w:rPr>
          <w:rFonts w:ascii="Times New Roman" w:hAnsi="Times New Roman" w:cs="Times New Roman"/>
          <w:color w:val="000000" w:themeColor="text1"/>
        </w:rPr>
        <w:t xml:space="preserve"> (1:1000; Santa Cruz Biotechnology),</w:t>
      </w:r>
      <w:r w:rsidR="00395C5D" w:rsidRPr="00F62CA4">
        <w:rPr>
          <w:rFonts w:ascii="Times New Roman" w:hAnsi="Times New Roman" w:cs="Times New Roman"/>
          <w:color w:val="000000" w:themeColor="text1"/>
        </w:rPr>
        <w:t xml:space="preserve"> </w:t>
      </w:r>
      <w:r w:rsidR="006966F5" w:rsidRPr="00F62CA4">
        <w:rPr>
          <w:rFonts w:ascii="Times New Roman" w:hAnsi="Times New Roman" w:cs="Times New Roman"/>
          <w:color w:val="000000" w:themeColor="text1"/>
        </w:rPr>
        <w:t>mouse anti-</w:t>
      </w:r>
      <w:r w:rsidR="006A01F2" w:rsidRPr="00F62CA4">
        <w:rPr>
          <w:rFonts w:ascii="Times New Roman" w:hAnsi="Times New Roman" w:cs="Times New Roman"/>
          <w:color w:val="000000" w:themeColor="text1"/>
        </w:rPr>
        <w:t>NeuN</w:t>
      </w:r>
      <w:r w:rsidR="006966F5" w:rsidRPr="00F62CA4">
        <w:rPr>
          <w:rFonts w:ascii="Times New Roman" w:hAnsi="Times New Roman" w:cs="Times New Roman"/>
          <w:color w:val="000000" w:themeColor="text1"/>
        </w:rPr>
        <w:t xml:space="preserve"> (1:500; Merk Millipore) antibodies, donkey Alexa Fluor 488-conjugated anti-goat IgG (1:500; Thermo Fisher Scientific), donkey Alexa Fluor 555-conjugated anti-rabbit IgG (1:500; Thermo Fisher Scientific)</w:t>
      </w:r>
      <w:r w:rsidR="000438F6" w:rsidRPr="00F62CA4">
        <w:rPr>
          <w:rFonts w:ascii="Times New Roman" w:hAnsi="Times New Roman" w:cs="Times New Roman"/>
          <w:color w:val="000000" w:themeColor="text1"/>
        </w:rPr>
        <w:t xml:space="preserve">, </w:t>
      </w:r>
      <w:r w:rsidR="00AC6910" w:rsidRPr="00F62CA4">
        <w:rPr>
          <w:rFonts w:ascii="Times New Roman" w:hAnsi="Times New Roman" w:cs="Times New Roman"/>
          <w:color w:val="000000" w:themeColor="text1"/>
        </w:rPr>
        <w:t>mouse anti-Tuj1 (neuron-specific class III β-tubulin, 1:5000; BioLegend)</w:t>
      </w:r>
      <w:r w:rsidR="000438F6" w:rsidRPr="00F62CA4">
        <w:rPr>
          <w:rFonts w:ascii="Times New Roman" w:hAnsi="Times New Roman" w:cs="Times New Roman" w:hint="eastAsia"/>
          <w:color w:val="000000" w:themeColor="text1"/>
        </w:rPr>
        <w:t>,</w:t>
      </w:r>
      <w:r w:rsidR="000438F6" w:rsidRPr="00F62CA4">
        <w:rPr>
          <w:rFonts w:ascii="Times New Roman" w:hAnsi="Times New Roman" w:cs="Times New Roman"/>
          <w:color w:val="000000" w:themeColor="text1"/>
        </w:rPr>
        <w:t xml:space="preserve"> </w:t>
      </w:r>
      <w:r w:rsidR="00AC6910" w:rsidRPr="00F62CA4">
        <w:rPr>
          <w:rFonts w:ascii="Times New Roman" w:hAnsi="Times New Roman" w:cs="Times New Roman"/>
          <w:color w:val="000000" w:themeColor="text1"/>
        </w:rPr>
        <w:t>donkey Alexa Fluor 488-conjugated anti-mouse IgG (1:500; Thermo Fisher Scientific)</w:t>
      </w:r>
      <w:r w:rsidR="000438F6" w:rsidRPr="00F62CA4">
        <w:rPr>
          <w:rFonts w:ascii="Times New Roman" w:hAnsi="Times New Roman" w:cs="Times New Roman"/>
          <w:color w:val="000000" w:themeColor="text1"/>
        </w:rPr>
        <w:t xml:space="preserve">, </w:t>
      </w:r>
      <w:r w:rsidR="00790229" w:rsidRPr="00F62CA4">
        <w:rPr>
          <w:rFonts w:ascii="Times New Roman" w:hAnsi="Times New Roman" w:cs="Times New Roman"/>
          <w:color w:val="000000" w:themeColor="text1"/>
        </w:rPr>
        <w:t>mouse anti-phospho-</w:t>
      </w:r>
      <w:r w:rsidR="00CA7CF0" w:rsidRPr="00F62CA4">
        <w:rPr>
          <w:rFonts w:ascii="Times New Roman" w:hAnsi="Times New Roman" w:cs="Times New Roman"/>
          <w:color w:val="000000" w:themeColor="text1"/>
        </w:rPr>
        <w:t xml:space="preserve">p44/42 </w:t>
      </w:r>
      <w:r w:rsidR="00790229" w:rsidRPr="00F62CA4">
        <w:rPr>
          <w:rFonts w:ascii="Times New Roman" w:hAnsi="Times New Roman" w:cs="Times New Roman"/>
          <w:color w:val="000000" w:themeColor="text1"/>
        </w:rPr>
        <w:t>MAPK/ERK1/2 (Thr202/Tyr204) (E10, 1:2000; Cell Signaling Technology)</w:t>
      </w:r>
      <w:r w:rsidR="000438F6" w:rsidRPr="00F62CA4">
        <w:rPr>
          <w:rFonts w:ascii="Times New Roman" w:hAnsi="Times New Roman" w:cs="Times New Roman" w:hint="eastAsia"/>
          <w:color w:val="000000" w:themeColor="text1"/>
        </w:rPr>
        <w:t>,</w:t>
      </w:r>
      <w:r w:rsidR="000438F6" w:rsidRPr="00F62CA4">
        <w:rPr>
          <w:rFonts w:ascii="Times New Roman" w:hAnsi="Times New Roman" w:cs="Times New Roman"/>
          <w:color w:val="000000" w:themeColor="text1"/>
        </w:rPr>
        <w:t xml:space="preserve"> and </w:t>
      </w:r>
      <w:r w:rsidR="00790229" w:rsidRPr="00F62CA4">
        <w:rPr>
          <w:rFonts w:ascii="Times New Roman" w:hAnsi="Times New Roman" w:cs="Times New Roman"/>
          <w:color w:val="000000" w:themeColor="text1"/>
        </w:rPr>
        <w:t>rabbit anti</w:t>
      </w:r>
      <w:r w:rsidR="00485AC3" w:rsidRPr="00F62CA4">
        <w:rPr>
          <w:rFonts w:ascii="Times New Roman" w:hAnsi="Times New Roman" w:cs="Times New Roman"/>
          <w:color w:val="000000" w:themeColor="text1"/>
        </w:rPr>
        <w:t>-</w:t>
      </w:r>
      <w:r w:rsidR="00790229" w:rsidRPr="00F62CA4">
        <w:rPr>
          <w:rFonts w:ascii="Times New Roman" w:hAnsi="Times New Roman" w:cs="Times New Roman"/>
          <w:color w:val="000000" w:themeColor="text1"/>
        </w:rPr>
        <w:t>p44/42 MAPK</w:t>
      </w:r>
      <w:r w:rsidR="00BC5C11" w:rsidRPr="00F62CA4">
        <w:rPr>
          <w:rFonts w:ascii="Times New Roman" w:hAnsi="Times New Roman" w:cs="Times New Roman"/>
          <w:color w:val="000000" w:themeColor="text1"/>
        </w:rPr>
        <w:t xml:space="preserve"> (</w:t>
      </w:r>
      <w:r w:rsidR="00763297" w:rsidRPr="00F62CA4">
        <w:rPr>
          <w:rFonts w:ascii="Times New Roman" w:hAnsi="Times New Roman" w:cs="Times New Roman"/>
          <w:color w:val="000000" w:themeColor="text1"/>
        </w:rPr>
        <w:t xml:space="preserve">ERK </w:t>
      </w:r>
      <w:r w:rsidR="00BC5C11" w:rsidRPr="00F62CA4">
        <w:rPr>
          <w:rFonts w:ascii="Times New Roman" w:hAnsi="Times New Roman" w:cs="Times New Roman"/>
          <w:color w:val="000000" w:themeColor="text1"/>
        </w:rPr>
        <w:t>1/2)</w:t>
      </w:r>
      <w:r w:rsidR="00790229" w:rsidRPr="00F62CA4">
        <w:rPr>
          <w:rFonts w:ascii="Times New Roman" w:hAnsi="Times New Roman" w:cs="Times New Roman"/>
          <w:color w:val="000000" w:themeColor="text1"/>
        </w:rPr>
        <w:t xml:space="preserve"> antibod</w:t>
      </w:r>
      <w:r w:rsidR="001B3AEA" w:rsidRPr="00F62CA4">
        <w:rPr>
          <w:rFonts w:ascii="Times New Roman" w:hAnsi="Times New Roman" w:cs="Times New Roman"/>
          <w:color w:val="000000" w:themeColor="text1"/>
        </w:rPr>
        <w:t>ies</w:t>
      </w:r>
      <w:r w:rsidR="00790229" w:rsidRPr="00F62CA4">
        <w:rPr>
          <w:rFonts w:ascii="Times New Roman" w:hAnsi="Times New Roman" w:cs="Times New Roman"/>
          <w:color w:val="000000" w:themeColor="text1"/>
        </w:rPr>
        <w:t xml:space="preserve"> (1:1000; Cell Signaling Technology)</w:t>
      </w:r>
      <w:r w:rsidR="00B25CAB" w:rsidRPr="00F62CA4">
        <w:rPr>
          <w:rFonts w:ascii="Times New Roman" w:hAnsi="Times New Roman" w:cs="Times New Roman"/>
          <w:color w:val="000000" w:themeColor="text1"/>
        </w:rPr>
        <w:t>.</w:t>
      </w:r>
    </w:p>
    <w:p w14:paraId="345023C3" w14:textId="24DC6028" w:rsidR="00790229" w:rsidRPr="00F62CA4" w:rsidRDefault="00790229" w:rsidP="003634C4">
      <w:pPr>
        <w:spacing w:line="480" w:lineRule="auto"/>
        <w:jc w:val="both"/>
        <w:rPr>
          <w:rFonts w:ascii="Times New Roman" w:hAnsi="Times New Roman" w:cs="Times New Roman"/>
          <w:bCs/>
          <w:color w:val="000000" w:themeColor="text1"/>
        </w:rPr>
      </w:pPr>
    </w:p>
    <w:p w14:paraId="3561A112" w14:textId="20D0A317" w:rsidR="00101D41" w:rsidRPr="00F62CA4" w:rsidRDefault="001C45E8" w:rsidP="003634C4">
      <w:pPr>
        <w:spacing w:line="480" w:lineRule="auto"/>
        <w:jc w:val="both"/>
        <w:rPr>
          <w:rFonts w:ascii="Times New Roman" w:hAnsi="Times New Roman" w:cs="Times New Roman"/>
          <w:bCs/>
          <w:i/>
          <w:iCs/>
          <w:color w:val="000000" w:themeColor="text1"/>
        </w:rPr>
      </w:pPr>
      <w:r w:rsidRPr="00F62CA4">
        <w:rPr>
          <w:rFonts w:ascii="Times New Roman" w:hAnsi="Times New Roman" w:cs="Times New Roman"/>
          <w:bCs/>
          <w:i/>
          <w:iCs/>
          <w:color w:val="000000" w:themeColor="text1"/>
        </w:rPr>
        <w:t>Immunocytochemical analysis</w:t>
      </w:r>
    </w:p>
    <w:p w14:paraId="6FA0A985" w14:textId="16B56EC2" w:rsidR="00B86830" w:rsidRPr="00F62CA4" w:rsidRDefault="003634C4" w:rsidP="003634C4">
      <w:pPr>
        <w:spacing w:line="480" w:lineRule="auto"/>
        <w:jc w:val="both"/>
        <w:rPr>
          <w:rFonts w:ascii="Times New Roman" w:hAnsi="Times New Roman" w:cs="Times New Roman"/>
          <w:color w:val="000000" w:themeColor="text1"/>
        </w:rPr>
      </w:pPr>
      <w:r w:rsidRPr="00F62CA4">
        <w:rPr>
          <w:rFonts w:ascii="Times New Roman" w:hAnsi="Times New Roman" w:cs="Times New Roman"/>
          <w:color w:val="000000" w:themeColor="text1"/>
        </w:rPr>
        <w:t xml:space="preserve">At DIV3, phospholipid was applied to the medium at concentration of 0.1, 1, or 10 μM. </w:t>
      </w:r>
      <w:r w:rsidR="000D20FF" w:rsidRPr="00F62CA4">
        <w:rPr>
          <w:rFonts w:ascii="Times New Roman" w:hAnsi="Times New Roman" w:cs="Times New Roman"/>
          <w:color w:val="000000" w:themeColor="text1"/>
        </w:rPr>
        <w:t>Phospholipid</w:t>
      </w:r>
      <w:r w:rsidR="00E424C4" w:rsidRPr="00F62CA4">
        <w:rPr>
          <w:rFonts w:ascii="Times New Roman" w:hAnsi="Times New Roman" w:cs="Times New Roman" w:hint="eastAsia"/>
          <w:color w:val="000000" w:themeColor="text1"/>
          <w:lang w:eastAsia="ja-JP"/>
        </w:rPr>
        <w:t>s</w:t>
      </w:r>
      <w:r w:rsidR="000D20FF" w:rsidRPr="00F62CA4">
        <w:rPr>
          <w:rFonts w:ascii="Times New Roman" w:hAnsi="Times New Roman" w:cs="Times New Roman"/>
          <w:color w:val="000000" w:themeColor="text1"/>
        </w:rPr>
        <w:t xml:space="preserve"> were applied to the medium at DIV3. </w:t>
      </w:r>
      <w:r w:rsidR="0011446A" w:rsidRPr="00F62CA4">
        <w:rPr>
          <w:rFonts w:ascii="Times New Roman" w:hAnsi="Times New Roman" w:cs="Times New Roman"/>
          <w:color w:val="000000" w:themeColor="text1"/>
        </w:rPr>
        <w:t xml:space="preserve">The cultures were fixed </w:t>
      </w:r>
      <w:r w:rsidR="00FB368D" w:rsidRPr="00F62CA4">
        <w:rPr>
          <w:rFonts w:ascii="Times New Roman" w:hAnsi="Times New Roman" w:cs="Times New Roman"/>
          <w:color w:val="000000" w:themeColor="text1"/>
        </w:rPr>
        <w:t xml:space="preserve">with 4% paraformaldehyde/4% sucrose </w:t>
      </w:r>
      <w:r w:rsidR="0011446A" w:rsidRPr="00F62CA4">
        <w:rPr>
          <w:rFonts w:ascii="Times New Roman" w:hAnsi="Times New Roman" w:cs="Times New Roman"/>
          <w:color w:val="000000" w:themeColor="text1"/>
        </w:rPr>
        <w:t>at DIV14</w:t>
      </w:r>
      <w:r w:rsidR="00474EB5" w:rsidRPr="00F62CA4">
        <w:rPr>
          <w:rFonts w:ascii="Times New Roman" w:hAnsi="Times New Roman" w:cs="Times New Roman"/>
          <w:color w:val="000000" w:themeColor="text1"/>
        </w:rPr>
        <w:t>. The fixed cells were incubated with PBS buffer containing 0.25% Triton X-100 for 5 min and</w:t>
      </w:r>
      <w:r w:rsidR="0011446A" w:rsidRPr="00F62CA4">
        <w:rPr>
          <w:rFonts w:ascii="Times New Roman" w:hAnsi="Times New Roman" w:cs="Times New Roman"/>
          <w:color w:val="000000" w:themeColor="text1"/>
        </w:rPr>
        <w:t xml:space="preserve"> immunostained with rabbit anti-MAP2, goat anti-tau, and mouse anti-</w:t>
      </w:r>
      <w:r w:rsidR="00DD3D45" w:rsidRPr="00F62CA4">
        <w:rPr>
          <w:rFonts w:ascii="Times New Roman" w:hAnsi="Times New Roman" w:cs="Times New Roman"/>
          <w:color w:val="000000" w:themeColor="text1"/>
        </w:rPr>
        <w:t>NeuN</w:t>
      </w:r>
      <w:r w:rsidR="0011446A" w:rsidRPr="00F62CA4">
        <w:rPr>
          <w:rFonts w:ascii="Times New Roman" w:hAnsi="Times New Roman" w:cs="Times New Roman"/>
          <w:color w:val="000000" w:themeColor="text1"/>
        </w:rPr>
        <w:t xml:space="preserve"> antibodies, followed by incubation with species specific</w:t>
      </w:r>
      <w:r w:rsidR="0011446A" w:rsidRPr="00F62CA4">
        <w:rPr>
          <w:rFonts w:ascii="Times New Roman" w:hAnsi="Times New Roman" w:cs="Times New Roman" w:hint="eastAsia"/>
          <w:color w:val="000000" w:themeColor="text1"/>
        </w:rPr>
        <w:t xml:space="preserve"> </w:t>
      </w:r>
      <w:r w:rsidR="0011446A" w:rsidRPr="00F62CA4">
        <w:rPr>
          <w:rFonts w:ascii="Times New Roman" w:hAnsi="Times New Roman" w:cs="Times New Roman"/>
          <w:color w:val="000000" w:themeColor="text1"/>
        </w:rPr>
        <w:t>Alexa Fluor 488-, 555-, and 647-conjigated antibodies</w:t>
      </w:r>
      <w:r w:rsidR="00E26211" w:rsidRPr="00F62CA4">
        <w:rPr>
          <w:rFonts w:ascii="Times New Roman" w:hAnsi="Times New Roman" w:cs="Times New Roman"/>
          <w:color w:val="000000" w:themeColor="text1"/>
        </w:rPr>
        <w:t>.</w:t>
      </w:r>
      <w:r w:rsidR="009175B1" w:rsidRPr="00F62CA4">
        <w:rPr>
          <w:rFonts w:ascii="Times New Roman" w:hAnsi="Times New Roman" w:cs="Times New Roman"/>
          <w:color w:val="000000" w:themeColor="text1"/>
        </w:rPr>
        <w:t xml:space="preserve"> </w:t>
      </w:r>
      <w:r w:rsidRPr="00F62CA4">
        <w:rPr>
          <w:rFonts w:ascii="Times New Roman" w:hAnsi="Times New Roman" w:cs="Times New Roman"/>
          <w:color w:val="000000" w:themeColor="text1"/>
        </w:rPr>
        <w:t xml:space="preserve">For analysis of the time course of neurite outgrowth, 1 μM 16:0 LPE (Avanti) or 18:0 LPE (Avanti) was applied to the culture medium at DIV0. </w:t>
      </w:r>
      <w:r w:rsidR="00BB657B" w:rsidRPr="00F62CA4">
        <w:rPr>
          <w:rFonts w:ascii="Times New Roman" w:hAnsi="Times New Roman" w:cs="Times New Roman"/>
          <w:color w:val="000000" w:themeColor="text1"/>
        </w:rPr>
        <w:t>The cultures were fixed at DIV0, 1,</w:t>
      </w:r>
      <w:r w:rsidR="00132387" w:rsidRPr="00F62CA4">
        <w:rPr>
          <w:rFonts w:ascii="Times New Roman" w:hAnsi="Times New Roman" w:cs="Times New Roman"/>
          <w:color w:val="000000" w:themeColor="text1"/>
        </w:rPr>
        <w:t xml:space="preserve"> or</w:t>
      </w:r>
      <w:r w:rsidR="008A4242" w:rsidRPr="00F62CA4">
        <w:rPr>
          <w:rFonts w:ascii="Times New Roman" w:hAnsi="Times New Roman" w:cs="Times New Roman"/>
          <w:color w:val="000000" w:themeColor="text1"/>
        </w:rPr>
        <w:t xml:space="preserve"> </w:t>
      </w:r>
      <w:r w:rsidR="00BB657B" w:rsidRPr="00F62CA4">
        <w:rPr>
          <w:rFonts w:ascii="Times New Roman" w:hAnsi="Times New Roman" w:cs="Times New Roman"/>
          <w:color w:val="000000" w:themeColor="text1"/>
        </w:rPr>
        <w:t xml:space="preserve">3. </w:t>
      </w:r>
      <w:r w:rsidR="001F7403" w:rsidRPr="00F62CA4">
        <w:rPr>
          <w:rFonts w:ascii="Times New Roman" w:hAnsi="Times New Roman" w:cs="Times New Roman"/>
          <w:color w:val="000000" w:themeColor="text1"/>
        </w:rPr>
        <w:t>The fixed cells were</w:t>
      </w:r>
      <w:r w:rsidR="007C0B79" w:rsidRPr="00F62CA4">
        <w:rPr>
          <w:rFonts w:ascii="Times New Roman" w:hAnsi="Times New Roman" w:cs="Times New Roman"/>
          <w:color w:val="000000" w:themeColor="text1"/>
        </w:rPr>
        <w:t xml:space="preserve"> </w:t>
      </w:r>
      <w:r w:rsidR="001F7403" w:rsidRPr="00F62CA4">
        <w:rPr>
          <w:rFonts w:ascii="Times New Roman" w:hAnsi="Times New Roman" w:cs="Times New Roman"/>
          <w:color w:val="000000" w:themeColor="text1"/>
        </w:rPr>
        <w:t>immunostained with mouse anti-Tuj1 antibody, followed by incubation with donkey Alexa Fluor 488-conjugated anti-mouse IgG antibody.</w:t>
      </w:r>
      <w:r w:rsidR="00D444ED" w:rsidRPr="00F62CA4">
        <w:rPr>
          <w:rFonts w:ascii="Times New Roman" w:hAnsi="Times New Roman" w:cs="Times New Roman"/>
          <w:color w:val="000000" w:themeColor="text1"/>
        </w:rPr>
        <w:t xml:space="preserve"> </w:t>
      </w:r>
      <w:r w:rsidR="00E868DC" w:rsidRPr="00F62CA4">
        <w:rPr>
          <w:rFonts w:ascii="Times New Roman" w:hAnsi="Times New Roman" w:cs="Times New Roman"/>
          <w:color w:val="000000" w:themeColor="text1"/>
        </w:rPr>
        <w:t xml:space="preserve">For inhibitor experiments, </w:t>
      </w:r>
      <w:r w:rsidR="005E6E6C" w:rsidRPr="00F62CA4">
        <w:rPr>
          <w:rFonts w:ascii="Times New Roman" w:hAnsi="Times New Roman" w:cs="Times New Roman"/>
          <w:color w:val="000000" w:themeColor="text1"/>
        </w:rPr>
        <w:t>the cultures were treated with inhibitors in the presence or absence of 1 μM 16:0 LPE or 18:0 LPE</w:t>
      </w:r>
      <w:r w:rsidR="00404D03" w:rsidRPr="00F62CA4">
        <w:rPr>
          <w:rFonts w:ascii="Times New Roman" w:hAnsi="Times New Roman" w:cs="Times New Roman"/>
          <w:color w:val="000000" w:themeColor="text1"/>
        </w:rPr>
        <w:t xml:space="preserve"> </w:t>
      </w:r>
      <w:r w:rsidR="00170316" w:rsidRPr="00F62CA4">
        <w:rPr>
          <w:rFonts w:ascii="Times New Roman" w:hAnsi="Times New Roman" w:cs="Times New Roman"/>
          <w:color w:val="000000" w:themeColor="text1"/>
        </w:rPr>
        <w:t>at DIV0</w:t>
      </w:r>
      <w:r w:rsidR="002465DE" w:rsidRPr="00F62CA4">
        <w:rPr>
          <w:rFonts w:ascii="Times New Roman" w:hAnsi="Times New Roman" w:cs="Times New Roman"/>
          <w:color w:val="000000" w:themeColor="text1"/>
        </w:rPr>
        <w:t xml:space="preserve"> </w:t>
      </w:r>
      <w:r w:rsidR="00170316" w:rsidRPr="00F62CA4">
        <w:rPr>
          <w:rFonts w:ascii="Times New Roman" w:hAnsi="Times New Roman" w:cs="Times New Roman"/>
          <w:color w:val="000000" w:themeColor="text1"/>
        </w:rPr>
        <w:t xml:space="preserve">and </w:t>
      </w:r>
      <w:r w:rsidR="00EE15C0" w:rsidRPr="00F62CA4">
        <w:rPr>
          <w:rFonts w:ascii="Times New Roman" w:hAnsi="Times New Roman" w:cs="Times New Roman"/>
          <w:color w:val="000000" w:themeColor="text1"/>
        </w:rPr>
        <w:t>fixed at DIV3.</w:t>
      </w:r>
      <w:r w:rsidR="00161448" w:rsidRPr="00F62CA4">
        <w:rPr>
          <w:rFonts w:ascii="Times New Roman" w:hAnsi="Times New Roman" w:cs="Times New Roman"/>
          <w:color w:val="000000" w:themeColor="text1"/>
        </w:rPr>
        <w:t xml:space="preserve"> The fixed cells were immnostained with anti-Tuj1 antibody as described above.</w:t>
      </w:r>
      <w:r w:rsidR="00352251" w:rsidRPr="00F62CA4">
        <w:rPr>
          <w:rFonts w:ascii="Times New Roman" w:hAnsi="Times New Roman" w:cs="Times New Roman"/>
          <w:color w:val="000000" w:themeColor="text1"/>
        </w:rPr>
        <w:t xml:space="preserve"> </w:t>
      </w:r>
      <w:r w:rsidR="00664694" w:rsidRPr="00F62CA4">
        <w:rPr>
          <w:rFonts w:ascii="Times New Roman" w:hAnsi="Times New Roman" w:cs="Times New Roman"/>
          <w:color w:val="000000" w:themeColor="text1"/>
        </w:rPr>
        <w:t>The inhibitors used</w:t>
      </w:r>
      <w:r w:rsidR="009B700D" w:rsidRPr="00F62CA4">
        <w:rPr>
          <w:rFonts w:ascii="Times New Roman" w:hAnsi="Times New Roman" w:cs="Times New Roman"/>
          <w:color w:val="000000" w:themeColor="text1"/>
        </w:rPr>
        <w:t xml:space="preserve"> </w:t>
      </w:r>
      <w:r w:rsidR="00664694" w:rsidRPr="00F62CA4">
        <w:rPr>
          <w:rFonts w:ascii="Times New Roman" w:hAnsi="Times New Roman" w:cs="Times New Roman"/>
          <w:color w:val="000000" w:themeColor="text1"/>
        </w:rPr>
        <w:t>were as followed</w:t>
      </w:r>
      <w:r w:rsidR="00D20EBC" w:rsidRPr="00F62CA4">
        <w:rPr>
          <w:rFonts w:ascii="Times New Roman" w:hAnsi="Times New Roman" w:cs="Times New Roman"/>
          <w:color w:val="000000" w:themeColor="text1"/>
        </w:rPr>
        <w:t>:</w:t>
      </w:r>
      <w:r w:rsidR="00664694" w:rsidRPr="00F62CA4">
        <w:rPr>
          <w:rFonts w:ascii="Times New Roman" w:hAnsi="Times New Roman" w:cs="Times New Roman"/>
          <w:color w:val="000000" w:themeColor="text1"/>
        </w:rPr>
        <w:t xml:space="preserve"> </w:t>
      </w:r>
      <w:r w:rsidR="00E868DC" w:rsidRPr="00F62CA4">
        <w:rPr>
          <w:rFonts w:ascii="Times New Roman" w:hAnsi="Times New Roman" w:cs="Times New Roman"/>
          <w:color w:val="000000" w:themeColor="text1"/>
        </w:rPr>
        <w:t>Gi/</w:t>
      </w:r>
      <w:r w:rsidR="00E424C4" w:rsidRPr="00F62CA4">
        <w:rPr>
          <w:rFonts w:ascii="Times New Roman" w:hAnsi="Times New Roman" w:cs="Times New Roman"/>
          <w:color w:val="000000" w:themeColor="text1"/>
        </w:rPr>
        <w:t>G</w:t>
      </w:r>
      <w:r w:rsidR="00E868DC" w:rsidRPr="00F62CA4">
        <w:rPr>
          <w:rFonts w:ascii="Times New Roman" w:hAnsi="Times New Roman" w:cs="Times New Roman"/>
          <w:color w:val="000000" w:themeColor="text1"/>
        </w:rPr>
        <w:t xml:space="preserve">o inhibitor PTX (10 ng/ml; Wako Pure Chemical Industries), Gq/11 inhibitor YM-254890 (0.5 μM; Wako Pure Chemical Industrie), </w:t>
      </w:r>
      <w:r w:rsidR="00E868DC" w:rsidRPr="00F62CA4">
        <w:rPr>
          <w:rFonts w:ascii="Times New Roman" w:hAnsi="Times New Roman" w:cs="Times New Roman" w:hint="eastAsia"/>
          <w:color w:val="000000" w:themeColor="text1"/>
        </w:rPr>
        <w:t>P</w:t>
      </w:r>
      <w:r w:rsidR="00E868DC" w:rsidRPr="00F62CA4">
        <w:rPr>
          <w:rFonts w:ascii="Times New Roman" w:hAnsi="Times New Roman" w:cs="Times New Roman"/>
          <w:color w:val="000000" w:themeColor="text1"/>
        </w:rPr>
        <w:t xml:space="preserve">LC inhibitor U73122 (0.5 μM; CAYMAN CHEMICAL), MEK/ERK inhibitor U0126 (5 μM; CAYMAN CHEMICAL), PKC inhibitor Sotrastaurin (10 μM; CAYMAN CHEMICAL), </w:t>
      </w:r>
      <w:r w:rsidR="00D91E44" w:rsidRPr="00F62CA4">
        <w:rPr>
          <w:rFonts w:ascii="Times New Roman" w:hAnsi="Times New Roman" w:cs="Times New Roman"/>
          <w:color w:val="000000" w:themeColor="text1"/>
        </w:rPr>
        <w:t>and</w:t>
      </w:r>
      <w:r w:rsidR="00E868DC" w:rsidRPr="00F62CA4">
        <w:rPr>
          <w:rFonts w:ascii="Times New Roman" w:hAnsi="Times New Roman" w:cs="Times New Roman"/>
          <w:color w:val="000000" w:themeColor="text1"/>
        </w:rPr>
        <w:t xml:space="preserve"> PKC inhibitor Go6983 (1 μM; CAYMAN CHEMICAL)</w:t>
      </w:r>
      <w:r w:rsidR="00D91E44" w:rsidRPr="00F62CA4">
        <w:rPr>
          <w:rFonts w:ascii="Times New Roman" w:hAnsi="Times New Roman" w:cs="Times New Roman"/>
          <w:color w:val="000000" w:themeColor="text1"/>
        </w:rPr>
        <w:t>.</w:t>
      </w:r>
    </w:p>
    <w:p w14:paraId="5702CE77" w14:textId="52F3DCB4" w:rsidR="00101D41" w:rsidRPr="00F62CA4" w:rsidRDefault="00101D41" w:rsidP="003634C4">
      <w:pPr>
        <w:spacing w:line="480" w:lineRule="auto"/>
        <w:jc w:val="both"/>
        <w:rPr>
          <w:rFonts w:ascii="Times New Roman" w:hAnsi="Times New Roman" w:cs="Times New Roman"/>
          <w:bCs/>
          <w:color w:val="000000" w:themeColor="text1"/>
        </w:rPr>
      </w:pPr>
    </w:p>
    <w:p w14:paraId="73BF4DEB" w14:textId="4FB63314" w:rsidR="00725D32" w:rsidRPr="00F62CA4" w:rsidRDefault="00725D32" w:rsidP="003634C4">
      <w:pPr>
        <w:spacing w:line="480" w:lineRule="auto"/>
        <w:jc w:val="both"/>
        <w:rPr>
          <w:rFonts w:ascii="Times New Roman" w:hAnsi="Times New Roman" w:cs="Times New Roman"/>
          <w:i/>
          <w:iCs/>
          <w:color w:val="000000" w:themeColor="text1"/>
        </w:rPr>
      </w:pPr>
      <w:r w:rsidRPr="00F62CA4">
        <w:rPr>
          <w:rFonts w:ascii="Times New Roman" w:hAnsi="Times New Roman" w:cs="Times New Roman"/>
          <w:i/>
          <w:iCs/>
          <w:color w:val="000000" w:themeColor="text1"/>
        </w:rPr>
        <w:t>Image acquisition and quantification</w:t>
      </w:r>
    </w:p>
    <w:p w14:paraId="1BD258B0" w14:textId="77777777" w:rsidR="0002151E" w:rsidRPr="00F62CA4" w:rsidRDefault="0002151E" w:rsidP="003634C4">
      <w:pPr>
        <w:spacing w:line="480" w:lineRule="auto"/>
        <w:jc w:val="both"/>
        <w:rPr>
          <w:rFonts w:ascii="Times New Roman" w:hAnsi="Times New Roman" w:cs="Times New Roman"/>
          <w:b/>
          <w:bCs/>
          <w:color w:val="000000" w:themeColor="text1"/>
        </w:rPr>
      </w:pPr>
    </w:p>
    <w:p w14:paraId="2D5C79B7" w14:textId="280DB632" w:rsidR="0002151E" w:rsidRPr="00F62CA4" w:rsidRDefault="0002151E" w:rsidP="003634C4">
      <w:pPr>
        <w:spacing w:line="480" w:lineRule="auto"/>
        <w:jc w:val="both"/>
        <w:rPr>
          <w:rFonts w:ascii="Times New Roman" w:hAnsi="Times New Roman" w:cs="Times New Roman"/>
          <w:noProof/>
          <w:color w:val="000000" w:themeColor="text1"/>
        </w:rPr>
      </w:pPr>
      <w:r w:rsidRPr="00F62CA4">
        <w:rPr>
          <w:rFonts w:ascii="Times New Roman" w:hAnsi="Times New Roman" w:cs="Times New Roman"/>
          <w:color w:val="000000" w:themeColor="text1"/>
        </w:rPr>
        <w:t xml:space="preserve">Images of culture experiments were taken with a confocal laser-scanning microscope (TCS SP8; Leica Microsystems) using HC PL APO CS2 20×/0.75 NA multiple immersion lens (Leica </w:t>
      </w:r>
      <w:r w:rsidRPr="00F62CA4">
        <w:rPr>
          <w:rFonts w:ascii="Times New Roman" w:hAnsi="Times New Roman" w:cs="Times New Roman"/>
          <w:color w:val="000000" w:themeColor="text1"/>
        </w:rPr>
        <w:lastRenderedPageBreak/>
        <w:t xml:space="preserve">Microsystems) or HC PL APO CS 10×/0.40 NA multiple immersion lens (Leica Microsystems) </w:t>
      </w:r>
      <w:r w:rsidRPr="00F62CA4">
        <w:rPr>
          <w:rFonts w:ascii="Times New Roman" w:hAnsi="Times New Roman" w:cs="Times New Roman" w:hint="eastAsia"/>
          <w:color w:val="000000" w:themeColor="text1"/>
        </w:rPr>
        <w:t>u</w:t>
      </w:r>
      <w:r w:rsidRPr="00F62CA4">
        <w:rPr>
          <w:rFonts w:ascii="Times New Roman" w:hAnsi="Times New Roman" w:cs="Times New Roman"/>
          <w:color w:val="000000" w:themeColor="text1"/>
        </w:rPr>
        <w:t>nder constant conditions in terms of laser power, pinhole size, gain, z-steps, and zoom setting throughout the experiments.</w:t>
      </w:r>
      <w:r w:rsidRPr="00F62CA4">
        <w:rPr>
          <w:rFonts w:ascii="Times New Roman" w:hAnsi="Times New Roman" w:cs="Times New Roman" w:hint="eastAsia"/>
          <w:color w:val="000000" w:themeColor="text1"/>
        </w:rPr>
        <w:t xml:space="preserve"> </w:t>
      </w:r>
      <w:r w:rsidRPr="00F62CA4">
        <w:rPr>
          <w:rFonts w:ascii="Times New Roman" w:hAnsi="Times New Roman" w:cs="Times New Roman"/>
          <w:color w:val="000000" w:themeColor="text1"/>
        </w:rPr>
        <w:t>All quantitative measurements were performed with ImageJ 1.52a software</w:t>
      </w:r>
      <w:r w:rsidRPr="00F62CA4">
        <w:rPr>
          <w:rFonts w:ascii="Times New Roman" w:hAnsi="Times New Roman" w:cs="Times New Roman"/>
          <w:noProof/>
          <w:color w:val="000000" w:themeColor="text1"/>
        </w:rPr>
        <w:t>. For the quantification of MAP2 and tau staining areas, z-series of optical sections were projected by the brightest point method. MAP2 and tau staining areas were defined as area in which staining signal intensites were 2 and 3 times stronger than those of background signals on the same field, respectively.</w:t>
      </w:r>
      <w:r w:rsidRPr="00F62CA4">
        <w:rPr>
          <w:rFonts w:ascii="Times New Roman" w:hAnsi="Times New Roman" w:cs="Times New Roman" w:hint="eastAsia"/>
          <w:noProof/>
          <w:color w:val="000000" w:themeColor="text1"/>
        </w:rPr>
        <w:t xml:space="preserve"> </w:t>
      </w:r>
      <w:r w:rsidRPr="00F62CA4">
        <w:rPr>
          <w:rFonts w:ascii="Times New Roman" w:hAnsi="Times New Roman" w:cs="Times New Roman"/>
          <w:color w:val="000000" w:themeColor="text1"/>
        </w:rPr>
        <w:t xml:space="preserve">For analysis of the time course of neurite outgrowth, </w:t>
      </w:r>
      <w:r w:rsidRPr="00F62CA4">
        <w:rPr>
          <w:rFonts w:ascii="Times New Roman" w:hAnsi="Times New Roman" w:cs="Times New Roman"/>
          <w:noProof/>
          <w:color w:val="000000" w:themeColor="text1"/>
        </w:rPr>
        <w:t xml:space="preserve">z-series of optical sections were projected by the brightest point method. Neurite of cortical neurons was identifed by </w:t>
      </w:r>
      <w:r w:rsidRPr="00F62CA4">
        <w:rPr>
          <w:rFonts w:ascii="Times New Roman" w:hAnsi="Times New Roman" w:cs="Times New Roman"/>
          <w:color w:val="000000" w:themeColor="text1"/>
        </w:rPr>
        <w:t xml:space="preserve">Tuj1 signals, </w:t>
      </w:r>
      <w:r w:rsidRPr="00F62CA4">
        <w:rPr>
          <w:rFonts w:ascii="Times New Roman" w:hAnsi="Times New Roman" w:cs="Times New Roman"/>
          <w:noProof/>
          <w:color w:val="000000" w:themeColor="text1"/>
        </w:rPr>
        <w:t xml:space="preserve">and the length of the longest neurite, </w:t>
      </w:r>
      <w:r w:rsidRPr="00F62CA4">
        <w:rPr>
          <w:rFonts w:ascii="Times New Roman" w:hAnsi="Times New Roman" w:cs="Times New Roman"/>
          <w:color w:val="000000" w:themeColor="text1"/>
        </w:rPr>
        <w:t>the number of neurites emerging from the soma, and the numbers of branches per longest neurite were measured.</w:t>
      </w:r>
    </w:p>
    <w:p w14:paraId="34E89D0C" w14:textId="6526FCC4" w:rsidR="00725D32" w:rsidRPr="00F62CA4" w:rsidRDefault="00725D32" w:rsidP="003634C4">
      <w:pPr>
        <w:spacing w:line="480" w:lineRule="auto"/>
        <w:jc w:val="both"/>
        <w:rPr>
          <w:rFonts w:ascii="Times New Roman" w:hAnsi="Times New Roman" w:cs="Times New Roman"/>
          <w:bCs/>
          <w:color w:val="000000" w:themeColor="text1"/>
        </w:rPr>
      </w:pPr>
    </w:p>
    <w:p w14:paraId="7896A53B" w14:textId="77777777" w:rsidR="00115E63" w:rsidRPr="00F62CA4" w:rsidRDefault="00115E63" w:rsidP="003634C4">
      <w:pPr>
        <w:autoSpaceDE w:val="0"/>
        <w:autoSpaceDN w:val="0"/>
        <w:spacing w:line="480" w:lineRule="auto"/>
        <w:jc w:val="both"/>
        <w:rPr>
          <w:rFonts w:ascii="Times New Roman" w:hAnsi="Times New Roman" w:cs="Times New Roman"/>
          <w:bCs/>
          <w:i/>
          <w:iCs/>
          <w:color w:val="000000" w:themeColor="text1"/>
        </w:rPr>
      </w:pPr>
      <w:r w:rsidRPr="00F62CA4">
        <w:rPr>
          <w:rFonts w:ascii="Times New Roman" w:hAnsi="Times New Roman" w:cs="Times New Roman"/>
          <w:bCs/>
          <w:i/>
          <w:iCs/>
          <w:color w:val="000000" w:themeColor="text1"/>
        </w:rPr>
        <w:t>Western blot analysis</w:t>
      </w:r>
    </w:p>
    <w:p w14:paraId="464DB78D" w14:textId="77777777" w:rsidR="00115E63" w:rsidRPr="00F62CA4" w:rsidRDefault="00115E63" w:rsidP="003634C4">
      <w:pPr>
        <w:autoSpaceDE w:val="0"/>
        <w:autoSpaceDN w:val="0"/>
        <w:spacing w:line="480" w:lineRule="auto"/>
        <w:jc w:val="both"/>
        <w:rPr>
          <w:rFonts w:ascii="Times New Roman" w:hAnsi="Times New Roman" w:cs="Times New Roman"/>
          <w:b/>
          <w:color w:val="000000" w:themeColor="text1"/>
        </w:rPr>
      </w:pPr>
    </w:p>
    <w:p w14:paraId="2E878473" w14:textId="32AFF1D9" w:rsidR="00115E63" w:rsidRPr="00F62CA4" w:rsidRDefault="00115E63" w:rsidP="003634C4">
      <w:pPr>
        <w:autoSpaceDE w:val="0"/>
        <w:autoSpaceDN w:val="0"/>
        <w:spacing w:line="480" w:lineRule="auto"/>
        <w:jc w:val="both"/>
        <w:rPr>
          <w:rFonts w:ascii="Times New Roman" w:hAnsi="Times New Roman" w:cs="Times New Roman"/>
          <w:color w:val="000000" w:themeColor="text1"/>
        </w:rPr>
      </w:pPr>
      <w:r w:rsidRPr="00F62CA4">
        <w:rPr>
          <w:rFonts w:ascii="Times New Roman" w:hAnsi="Times New Roman" w:cs="Times New Roman"/>
          <w:color w:val="000000" w:themeColor="text1"/>
        </w:rPr>
        <w:t>Primary cortical neuron cultures were prepared as described above and plated on the 24-well dish at a density of 5.0 × 10</w:t>
      </w:r>
      <w:r w:rsidRPr="00F62CA4">
        <w:rPr>
          <w:rFonts w:ascii="Times New Roman" w:hAnsi="Times New Roman" w:cs="Times New Roman"/>
          <w:color w:val="000000" w:themeColor="text1"/>
          <w:vertAlign w:val="superscript"/>
        </w:rPr>
        <w:t>5</w:t>
      </w:r>
      <w:r w:rsidRPr="00F62CA4">
        <w:rPr>
          <w:rFonts w:ascii="Times" w:hAnsi="Times" w:cs="Times"/>
          <w:color w:val="000000" w:themeColor="text1"/>
        </w:rPr>
        <w:t xml:space="preserve"> </w:t>
      </w:r>
      <w:r w:rsidRPr="00F62CA4">
        <w:rPr>
          <w:rFonts w:ascii="Times New Roman" w:hAnsi="Times New Roman" w:cs="Times New Roman"/>
          <w:color w:val="000000" w:themeColor="text1"/>
        </w:rPr>
        <w:t xml:space="preserve">cells /well. One to 100 μM 16:0 LPE or 18:0 LPE was applied to the culture medium at DIV7. </w:t>
      </w:r>
      <w:r w:rsidR="003B52C6" w:rsidRPr="00F62CA4">
        <w:rPr>
          <w:rFonts w:ascii="Times New Roman" w:hAnsi="Times New Roman" w:cs="Times New Roman"/>
          <w:color w:val="000000" w:themeColor="text1"/>
        </w:rPr>
        <w:t xml:space="preserve">For inhibitor experiment, </w:t>
      </w:r>
      <w:r w:rsidR="00814584" w:rsidRPr="00F62CA4">
        <w:rPr>
          <w:rFonts w:ascii="Times New Roman" w:hAnsi="Times New Roman" w:cs="Times New Roman"/>
          <w:color w:val="000000" w:themeColor="text1"/>
        </w:rPr>
        <w:t>t</w:t>
      </w:r>
      <w:r w:rsidR="005B475B" w:rsidRPr="00F62CA4">
        <w:rPr>
          <w:rFonts w:ascii="Times New Roman" w:hAnsi="Times New Roman" w:cs="Times New Roman"/>
          <w:color w:val="000000" w:themeColor="text1"/>
        </w:rPr>
        <w:t>he cultures were incubated with 100 μM 16:0 LPE or 18:0 LPE, with or without 5 μM U0126</w:t>
      </w:r>
      <w:r w:rsidR="00CC4B3E" w:rsidRPr="00F62CA4">
        <w:rPr>
          <w:rFonts w:ascii="Times New Roman" w:hAnsi="Times New Roman" w:cs="Times New Roman"/>
          <w:color w:val="000000" w:themeColor="text1"/>
        </w:rPr>
        <w:t>.</w:t>
      </w:r>
      <w:r w:rsidR="00993FAE" w:rsidRPr="00F62CA4">
        <w:rPr>
          <w:rFonts w:ascii="Times New Roman" w:hAnsi="Times New Roman" w:cs="Times New Roman"/>
          <w:color w:val="000000" w:themeColor="text1"/>
        </w:rPr>
        <w:t xml:space="preserve"> </w:t>
      </w:r>
      <w:r w:rsidRPr="00F62CA4">
        <w:rPr>
          <w:rFonts w:ascii="Times New Roman" w:hAnsi="Times New Roman" w:cs="Times New Roman"/>
          <w:color w:val="000000" w:themeColor="text1"/>
        </w:rPr>
        <w:t>After 10 min incubation, the cultures were solubilized with SDS sample buffer containing 2% SDS, 50 mM-Tris-HCI, pH6.8, 10% glycerol, 100 mM dithiothreitol, phosphatase inhibitor cocktail (Nakarai Tesque), and 0.025% Bromophenol Blue, followed by boiling at 95℃ for 10 min. For inhibition of MAPK, 5 μM</w:t>
      </w:r>
      <w:r w:rsidRPr="00F62CA4">
        <w:rPr>
          <w:rFonts w:ascii="Times New Roman" w:hAnsi="Times New Roman" w:cs="Times New Roman" w:hint="eastAsia"/>
          <w:color w:val="000000" w:themeColor="text1"/>
        </w:rPr>
        <w:t xml:space="preserve"> </w:t>
      </w:r>
      <w:r w:rsidRPr="00F62CA4">
        <w:rPr>
          <w:rFonts w:ascii="Times New Roman" w:hAnsi="Times New Roman" w:cs="Times New Roman"/>
          <w:color w:val="000000" w:themeColor="text1"/>
        </w:rPr>
        <w:t>MEK/ERK inhibitor U0126 was applied to the cell culture medium 30 min before treatment with LPE</w:t>
      </w:r>
      <w:r w:rsidR="00347FF0" w:rsidRPr="00F62CA4">
        <w:rPr>
          <w:rFonts w:ascii="Times New Roman" w:hAnsi="Times New Roman" w:cs="Times New Roman"/>
          <w:color w:val="000000" w:themeColor="text1"/>
        </w:rPr>
        <w:t>s</w:t>
      </w:r>
      <w:r w:rsidRPr="00F62CA4">
        <w:rPr>
          <w:rFonts w:ascii="Times New Roman" w:hAnsi="Times New Roman" w:cs="Times New Roman"/>
          <w:color w:val="000000" w:themeColor="text1"/>
        </w:rPr>
        <w:t>.</w:t>
      </w:r>
      <w:r w:rsidRPr="00F62CA4">
        <w:rPr>
          <w:rFonts w:ascii="Times New Roman" w:hAnsi="Times New Roman" w:cs="Times New Roman" w:hint="eastAsia"/>
          <w:color w:val="000000" w:themeColor="text1"/>
        </w:rPr>
        <w:t xml:space="preserve"> </w:t>
      </w:r>
      <w:r w:rsidRPr="00F62CA4">
        <w:rPr>
          <w:rFonts w:ascii="Times New Roman" w:hAnsi="Times New Roman" w:cs="Times New Roman"/>
          <w:color w:val="000000" w:themeColor="text1"/>
        </w:rPr>
        <w:t xml:space="preserve">The cell lysates were separated by SDS-polyacrylamide gel </w:t>
      </w:r>
      <w:r w:rsidRPr="00F62CA4">
        <w:rPr>
          <w:rFonts w:ascii="Times New Roman" w:eastAsia="HelveticaNeue-Medium" w:hAnsi="Times New Roman" w:cs="Times New Roman"/>
          <w:color w:val="000000" w:themeColor="text1"/>
        </w:rPr>
        <w:t>electrophoresis</w:t>
      </w:r>
      <w:r w:rsidRPr="00F62CA4">
        <w:rPr>
          <w:rFonts w:ascii="Times New Roman" w:hAnsi="Times New Roman" w:cs="Times New Roman"/>
          <w:color w:val="000000" w:themeColor="text1"/>
        </w:rPr>
        <w:t xml:space="preserve"> and transferred to PVDF membrane. After blocking with PVDF Blocking Reagent for Can Get Signal (TOYOBO), the membranes were incubated with mouse anti-phospho-MAPK/ERK1/2 </w:t>
      </w:r>
      <w:r w:rsidRPr="00F62CA4">
        <w:rPr>
          <w:rFonts w:ascii="Times New Roman" w:hAnsi="Times New Roman" w:cs="Times New Roman"/>
          <w:color w:val="000000" w:themeColor="text1"/>
        </w:rPr>
        <w:lastRenderedPageBreak/>
        <w:t>(Thr202/Tyr204) antibody, followed by incubation with horseradish-peroxidase-conjugated secondary antibody. After stripping, the membranes were probed with rabbit anti p44/42 MAPK antibody, followed by incubation with horseradish-peroxidase-conjugated secondary antibody. Can Get Signal Immunoreaction Enhancer Solution (TOYOBO) was used for dilution of antibodies. The proteins were visualized by ECL Select Western Blotting Detection System (GE Healthcare) and detected by Las-4000 mini</w:t>
      </w:r>
      <w:r w:rsidRPr="00F62CA4">
        <w:rPr>
          <w:color w:val="000000" w:themeColor="text1"/>
        </w:rPr>
        <w:t xml:space="preserve"> </w:t>
      </w:r>
      <w:r w:rsidRPr="00F62CA4">
        <w:rPr>
          <w:rFonts w:ascii="Times New Roman" w:hAnsi="Times New Roman" w:cs="Times New Roman"/>
          <w:color w:val="000000" w:themeColor="text1"/>
        </w:rPr>
        <w:t xml:space="preserve">luminescent imaging analyzer (GE Healthcare). The quantification analysis was performed using </w:t>
      </w:r>
      <w:r w:rsidRPr="00F62CA4">
        <w:rPr>
          <w:rFonts w:ascii="Times New Roman" w:hAnsi="Times New Roman" w:cs="Times New Roman"/>
          <w:bCs/>
          <w:color w:val="000000" w:themeColor="text1"/>
        </w:rPr>
        <w:t>ImageQuant</w:t>
      </w:r>
      <w:r w:rsidRPr="00F62CA4">
        <w:rPr>
          <w:rFonts w:ascii="Times New Roman" w:hAnsi="Times New Roman" w:cs="Times New Roman"/>
          <w:color w:val="000000" w:themeColor="text1"/>
        </w:rPr>
        <w:t xml:space="preserve"> </w:t>
      </w:r>
      <w:r w:rsidRPr="00F62CA4">
        <w:rPr>
          <w:rFonts w:ascii="Times New Roman" w:hAnsi="Times New Roman" w:cs="Times New Roman"/>
          <w:bCs/>
          <w:color w:val="000000" w:themeColor="text1"/>
        </w:rPr>
        <w:t>TL</w:t>
      </w:r>
      <w:r w:rsidRPr="00F62CA4">
        <w:rPr>
          <w:rFonts w:ascii="Times New Roman" w:hAnsi="Times New Roman" w:cs="Times New Roman"/>
          <w:color w:val="000000" w:themeColor="text1"/>
        </w:rPr>
        <w:t xml:space="preserve"> image analysis software (GE Healthcare)</w:t>
      </w:r>
      <w:r w:rsidRPr="00F62CA4">
        <w:rPr>
          <w:rFonts w:ascii="Times New Roman" w:hAnsi="Times New Roman" w:cs="Times New Roman"/>
          <w:bCs/>
          <w:color w:val="000000" w:themeColor="text1"/>
        </w:rPr>
        <w:t>.</w:t>
      </w:r>
      <w:r w:rsidR="007F5600" w:rsidRPr="00F62CA4">
        <w:rPr>
          <w:rFonts w:ascii="Times New Roman" w:hAnsi="Times New Roman" w:cs="Times New Roman"/>
          <w:bCs/>
          <w:color w:val="000000" w:themeColor="text1"/>
        </w:rPr>
        <w:t xml:space="preserve"> Intensities of phosphorylated ERK1/2 signals were normalized with those of ERK1/2 signals.</w:t>
      </w:r>
    </w:p>
    <w:p w14:paraId="23BBD993" w14:textId="77777777" w:rsidR="00115E63" w:rsidRPr="00F62CA4" w:rsidRDefault="00115E63" w:rsidP="003634C4">
      <w:pPr>
        <w:spacing w:line="480" w:lineRule="auto"/>
        <w:jc w:val="both"/>
        <w:rPr>
          <w:rFonts w:ascii="Times New Roman" w:hAnsi="Times New Roman" w:cs="Times New Roman"/>
          <w:bCs/>
          <w:color w:val="000000" w:themeColor="text1"/>
        </w:rPr>
      </w:pPr>
    </w:p>
    <w:sectPr w:rsidR="00115E63" w:rsidRPr="00F62CA4" w:rsidSect="00ED30E0">
      <w:footerReference w:type="even" r:id="rId6"/>
      <w:footerReference w:type="default" r:id="rId7"/>
      <w:pgSz w:w="11900" w:h="16840"/>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E692" w14:textId="77777777" w:rsidR="00163D01" w:rsidRDefault="00163D01" w:rsidP="00925529">
      <w:pPr>
        <w:spacing w:after="0"/>
      </w:pPr>
      <w:r>
        <w:separator/>
      </w:r>
    </w:p>
  </w:endnote>
  <w:endnote w:type="continuationSeparator" w:id="0">
    <w:p w14:paraId="29FFB993" w14:textId="77777777" w:rsidR="00163D01" w:rsidRDefault="00163D01" w:rsidP="00925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Neue-Medium">
    <w:altName w:val="游ゴシック"/>
    <w:panose1 w:val="020B0604020202020204"/>
    <w:charset w:val="00"/>
    <w:family w:val="swiss"/>
    <w:pitch w:val="variable"/>
    <w:sig w:usb0="A00002FF" w:usb1="5000205B" w:usb2="00000002" w:usb3="00000000" w:csb0="0000009B"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200852198"/>
      <w:docPartObj>
        <w:docPartGallery w:val="Page Numbers (Bottom of Page)"/>
        <w:docPartUnique/>
      </w:docPartObj>
    </w:sdtPr>
    <w:sdtEndPr>
      <w:rPr>
        <w:rStyle w:val="a7"/>
      </w:rPr>
    </w:sdtEndPr>
    <w:sdtContent>
      <w:p w14:paraId="00BF8BB2" w14:textId="046CC7B9" w:rsidR="00925529" w:rsidRDefault="00925529" w:rsidP="00ED30E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9515891" w14:textId="77777777" w:rsidR="00925529" w:rsidRDefault="009255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365138129"/>
      <w:docPartObj>
        <w:docPartGallery w:val="Page Numbers (Bottom of Page)"/>
        <w:docPartUnique/>
      </w:docPartObj>
    </w:sdtPr>
    <w:sdtEndPr>
      <w:rPr>
        <w:rStyle w:val="a7"/>
      </w:rPr>
    </w:sdtEndPr>
    <w:sdtContent>
      <w:p w14:paraId="2877B98A" w14:textId="0DEEAD02" w:rsidR="00925529" w:rsidRDefault="00925529" w:rsidP="00ED30E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FFEAE76" w14:textId="77777777" w:rsidR="00925529" w:rsidRDefault="00925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7B60A" w14:textId="77777777" w:rsidR="00163D01" w:rsidRDefault="00163D01" w:rsidP="00925529">
      <w:pPr>
        <w:spacing w:after="0"/>
      </w:pPr>
      <w:r>
        <w:separator/>
      </w:r>
    </w:p>
  </w:footnote>
  <w:footnote w:type="continuationSeparator" w:id="0">
    <w:p w14:paraId="5E0BCC00" w14:textId="77777777" w:rsidR="00163D01" w:rsidRDefault="00163D01" w:rsidP="009255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0D"/>
    <w:rsid w:val="0001310A"/>
    <w:rsid w:val="0002151E"/>
    <w:rsid w:val="000438F6"/>
    <w:rsid w:val="000848FE"/>
    <w:rsid w:val="0009676A"/>
    <w:rsid w:val="000B1935"/>
    <w:rsid w:val="000D20FF"/>
    <w:rsid w:val="000D313C"/>
    <w:rsid w:val="00101D41"/>
    <w:rsid w:val="0010668F"/>
    <w:rsid w:val="0011446A"/>
    <w:rsid w:val="00115E63"/>
    <w:rsid w:val="00127235"/>
    <w:rsid w:val="0013209E"/>
    <w:rsid w:val="00132387"/>
    <w:rsid w:val="00135A62"/>
    <w:rsid w:val="001372C3"/>
    <w:rsid w:val="00146D31"/>
    <w:rsid w:val="00161448"/>
    <w:rsid w:val="00163D01"/>
    <w:rsid w:val="00170316"/>
    <w:rsid w:val="00177EAD"/>
    <w:rsid w:val="00181CE0"/>
    <w:rsid w:val="001B0472"/>
    <w:rsid w:val="001B3AEA"/>
    <w:rsid w:val="001C45E8"/>
    <w:rsid w:val="001E626C"/>
    <w:rsid w:val="001F7403"/>
    <w:rsid w:val="002007C7"/>
    <w:rsid w:val="00230CBC"/>
    <w:rsid w:val="002361B6"/>
    <w:rsid w:val="00237CF1"/>
    <w:rsid w:val="002465DE"/>
    <w:rsid w:val="0025259C"/>
    <w:rsid w:val="00256AE1"/>
    <w:rsid w:val="002579EE"/>
    <w:rsid w:val="00257F64"/>
    <w:rsid w:val="00262BD4"/>
    <w:rsid w:val="00266290"/>
    <w:rsid w:val="00280D99"/>
    <w:rsid w:val="002A756F"/>
    <w:rsid w:val="002C0131"/>
    <w:rsid w:val="002E2157"/>
    <w:rsid w:val="00334CF1"/>
    <w:rsid w:val="00344F48"/>
    <w:rsid w:val="00347FF0"/>
    <w:rsid w:val="00352251"/>
    <w:rsid w:val="003555AF"/>
    <w:rsid w:val="003634C4"/>
    <w:rsid w:val="00366339"/>
    <w:rsid w:val="00395C5D"/>
    <w:rsid w:val="003B52B9"/>
    <w:rsid w:val="003B52C6"/>
    <w:rsid w:val="003C3E15"/>
    <w:rsid w:val="003D53C4"/>
    <w:rsid w:val="003E0DAA"/>
    <w:rsid w:val="003E166C"/>
    <w:rsid w:val="00404D03"/>
    <w:rsid w:val="004227F5"/>
    <w:rsid w:val="00431269"/>
    <w:rsid w:val="0046094F"/>
    <w:rsid w:val="00474EB5"/>
    <w:rsid w:val="00485AC3"/>
    <w:rsid w:val="00494845"/>
    <w:rsid w:val="004A0ABB"/>
    <w:rsid w:val="004D1E49"/>
    <w:rsid w:val="004D7643"/>
    <w:rsid w:val="00504025"/>
    <w:rsid w:val="0050467D"/>
    <w:rsid w:val="00527C3B"/>
    <w:rsid w:val="00534880"/>
    <w:rsid w:val="005556EE"/>
    <w:rsid w:val="00564DB3"/>
    <w:rsid w:val="005669CB"/>
    <w:rsid w:val="00594926"/>
    <w:rsid w:val="005A19B1"/>
    <w:rsid w:val="005B475B"/>
    <w:rsid w:val="005C0B5B"/>
    <w:rsid w:val="005C21C8"/>
    <w:rsid w:val="005E6E6C"/>
    <w:rsid w:val="00602537"/>
    <w:rsid w:val="00605D96"/>
    <w:rsid w:val="00606B6E"/>
    <w:rsid w:val="006316F1"/>
    <w:rsid w:val="00634D3B"/>
    <w:rsid w:val="00663123"/>
    <w:rsid w:val="00664694"/>
    <w:rsid w:val="006966F5"/>
    <w:rsid w:val="006A01F2"/>
    <w:rsid w:val="006B54BC"/>
    <w:rsid w:val="006F1783"/>
    <w:rsid w:val="007100E1"/>
    <w:rsid w:val="00725D32"/>
    <w:rsid w:val="007365AB"/>
    <w:rsid w:val="0074087B"/>
    <w:rsid w:val="00751A09"/>
    <w:rsid w:val="00763297"/>
    <w:rsid w:val="00790229"/>
    <w:rsid w:val="007916AA"/>
    <w:rsid w:val="007A600C"/>
    <w:rsid w:val="007C0B79"/>
    <w:rsid w:val="007C2911"/>
    <w:rsid w:val="007D670A"/>
    <w:rsid w:val="007D74EB"/>
    <w:rsid w:val="007F5600"/>
    <w:rsid w:val="007F5AF6"/>
    <w:rsid w:val="00805D62"/>
    <w:rsid w:val="00814584"/>
    <w:rsid w:val="0082258B"/>
    <w:rsid w:val="0083102C"/>
    <w:rsid w:val="00832DE5"/>
    <w:rsid w:val="00834C0F"/>
    <w:rsid w:val="00836EED"/>
    <w:rsid w:val="008A37B6"/>
    <w:rsid w:val="008A4242"/>
    <w:rsid w:val="008D24D0"/>
    <w:rsid w:val="008F0FF2"/>
    <w:rsid w:val="009175B1"/>
    <w:rsid w:val="00923384"/>
    <w:rsid w:val="00923670"/>
    <w:rsid w:val="00925529"/>
    <w:rsid w:val="0097588C"/>
    <w:rsid w:val="00993FAE"/>
    <w:rsid w:val="009B700D"/>
    <w:rsid w:val="009E299C"/>
    <w:rsid w:val="00A21205"/>
    <w:rsid w:val="00A71E0B"/>
    <w:rsid w:val="00A85CEC"/>
    <w:rsid w:val="00A93561"/>
    <w:rsid w:val="00AC6910"/>
    <w:rsid w:val="00AD1128"/>
    <w:rsid w:val="00AD710D"/>
    <w:rsid w:val="00AE3CA4"/>
    <w:rsid w:val="00B214DE"/>
    <w:rsid w:val="00B2226D"/>
    <w:rsid w:val="00B25CAB"/>
    <w:rsid w:val="00B27739"/>
    <w:rsid w:val="00B558BE"/>
    <w:rsid w:val="00B644CC"/>
    <w:rsid w:val="00B842C8"/>
    <w:rsid w:val="00B86830"/>
    <w:rsid w:val="00B870EA"/>
    <w:rsid w:val="00BA1016"/>
    <w:rsid w:val="00BA300F"/>
    <w:rsid w:val="00BA34D6"/>
    <w:rsid w:val="00BB657B"/>
    <w:rsid w:val="00BC5C11"/>
    <w:rsid w:val="00BD0F5C"/>
    <w:rsid w:val="00BF1AC6"/>
    <w:rsid w:val="00C077C4"/>
    <w:rsid w:val="00C07BAE"/>
    <w:rsid w:val="00C107E5"/>
    <w:rsid w:val="00C12B93"/>
    <w:rsid w:val="00C4348D"/>
    <w:rsid w:val="00C931D2"/>
    <w:rsid w:val="00C94C4B"/>
    <w:rsid w:val="00CA7CF0"/>
    <w:rsid w:val="00CB01D0"/>
    <w:rsid w:val="00CC4B3E"/>
    <w:rsid w:val="00CE1847"/>
    <w:rsid w:val="00CF4E19"/>
    <w:rsid w:val="00CF6B25"/>
    <w:rsid w:val="00D16204"/>
    <w:rsid w:val="00D1774F"/>
    <w:rsid w:val="00D20EBC"/>
    <w:rsid w:val="00D23D1F"/>
    <w:rsid w:val="00D23D80"/>
    <w:rsid w:val="00D378E9"/>
    <w:rsid w:val="00D444ED"/>
    <w:rsid w:val="00D8459A"/>
    <w:rsid w:val="00D87662"/>
    <w:rsid w:val="00D91E44"/>
    <w:rsid w:val="00D92165"/>
    <w:rsid w:val="00DA33CA"/>
    <w:rsid w:val="00DB530C"/>
    <w:rsid w:val="00DC0BBE"/>
    <w:rsid w:val="00DD3D45"/>
    <w:rsid w:val="00DE4958"/>
    <w:rsid w:val="00E26211"/>
    <w:rsid w:val="00E424C4"/>
    <w:rsid w:val="00E868DC"/>
    <w:rsid w:val="00E86F3A"/>
    <w:rsid w:val="00E87507"/>
    <w:rsid w:val="00EC3248"/>
    <w:rsid w:val="00ED30E0"/>
    <w:rsid w:val="00EE15C0"/>
    <w:rsid w:val="00F208C5"/>
    <w:rsid w:val="00F266E3"/>
    <w:rsid w:val="00F36E8C"/>
    <w:rsid w:val="00F62CA4"/>
    <w:rsid w:val="00F65106"/>
    <w:rsid w:val="00FB01A8"/>
    <w:rsid w:val="00FB368D"/>
    <w:rsid w:val="00FD3B45"/>
    <w:rsid w:val="00FD4AA1"/>
    <w:rsid w:val="00FE280A"/>
    <w:rsid w:val="00FE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AA05F"/>
  <w15:chartTrackingRefBased/>
  <w15:docId w15:val="{22CB4E38-5F26-FF45-ACDC-56B10E38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B93"/>
    <w:pPr>
      <w:adjustRightInd w:val="0"/>
      <w:snapToGrid w:val="0"/>
      <w:spacing w:after="200"/>
    </w:pPr>
    <w:rPr>
      <w:rFonts w:ascii="Tahoma" w:hAnsi="Tahoma"/>
      <w:kern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106"/>
    <w:pPr>
      <w:spacing w:after="0"/>
    </w:pPr>
    <w:rPr>
      <w:rFonts w:ascii="ＭＳ 明朝" w:eastAsia="ＭＳ 明朝"/>
      <w:sz w:val="18"/>
      <w:szCs w:val="18"/>
    </w:rPr>
  </w:style>
  <w:style w:type="character" w:customStyle="1" w:styleId="a4">
    <w:name w:val="吹き出し (文字)"/>
    <w:basedOn w:val="a0"/>
    <w:link w:val="a3"/>
    <w:uiPriority w:val="99"/>
    <w:semiHidden/>
    <w:rsid w:val="00F65106"/>
    <w:rPr>
      <w:rFonts w:ascii="ＭＳ 明朝" w:eastAsia="ＭＳ 明朝" w:hAnsi="Tahoma"/>
      <w:kern w:val="0"/>
      <w:sz w:val="18"/>
      <w:szCs w:val="18"/>
      <w:lang w:eastAsia="zh-CN"/>
    </w:rPr>
  </w:style>
  <w:style w:type="paragraph" w:styleId="a5">
    <w:name w:val="footer"/>
    <w:basedOn w:val="a"/>
    <w:link w:val="a6"/>
    <w:uiPriority w:val="99"/>
    <w:unhideWhenUsed/>
    <w:rsid w:val="00925529"/>
    <w:pPr>
      <w:tabs>
        <w:tab w:val="center" w:pos="4252"/>
        <w:tab w:val="right" w:pos="8504"/>
      </w:tabs>
    </w:pPr>
  </w:style>
  <w:style w:type="character" w:customStyle="1" w:styleId="a6">
    <w:name w:val="フッター (文字)"/>
    <w:basedOn w:val="a0"/>
    <w:link w:val="a5"/>
    <w:uiPriority w:val="99"/>
    <w:rsid w:val="00925529"/>
    <w:rPr>
      <w:rFonts w:ascii="Tahoma" w:hAnsi="Tahoma"/>
      <w:kern w:val="0"/>
      <w:sz w:val="22"/>
      <w:szCs w:val="22"/>
      <w:lang w:eastAsia="zh-CN"/>
    </w:rPr>
  </w:style>
  <w:style w:type="character" w:styleId="a7">
    <w:name w:val="page number"/>
    <w:basedOn w:val="a0"/>
    <w:uiPriority w:val="99"/>
    <w:semiHidden/>
    <w:unhideWhenUsed/>
    <w:rsid w:val="0092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Uemura Takeshi</dc:creator>
  <cp:keywords/>
  <dc:description/>
  <cp:lastModifiedBy>Uemura Takeshi</cp:lastModifiedBy>
  <cp:revision>43</cp:revision>
  <dcterms:created xsi:type="dcterms:W3CDTF">2020-10-19T07:48:00Z</dcterms:created>
  <dcterms:modified xsi:type="dcterms:W3CDTF">2020-10-20T09:40:00Z</dcterms:modified>
</cp:coreProperties>
</file>