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58" w:rsidRPr="00E76458" w:rsidRDefault="00E76458" w:rsidP="00E76458">
      <w:pPr>
        <w:rPr>
          <w:rFonts w:ascii="Times New Roman" w:hAnsi="Times New Roman"/>
          <w:sz w:val="24"/>
          <w:szCs w:val="24"/>
        </w:rPr>
      </w:pPr>
    </w:p>
    <w:p w:rsidR="00E76458" w:rsidRPr="00E76458" w:rsidRDefault="00E76458" w:rsidP="00E7645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E76458">
        <w:rPr>
          <w:rFonts w:ascii="Times New Roman" w:hAnsi="Times New Roman"/>
          <w:sz w:val="24"/>
          <w:szCs w:val="24"/>
        </w:rPr>
        <w:t>Table S1. Cumulative interpretation rate of the model in the resistant and susceptible soybeans</w:t>
      </w:r>
      <w:r w:rsidRPr="00E76458"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8299" w:type="dxa"/>
        <w:jc w:val="center"/>
        <w:tblLayout w:type="fixed"/>
        <w:tblLook w:val="04A0" w:firstRow="1" w:lastRow="0" w:firstColumn="1" w:lastColumn="0" w:noHBand="0" w:noVBand="1"/>
      </w:tblPr>
      <w:tblGrid>
        <w:gridCol w:w="3337"/>
        <w:gridCol w:w="1057"/>
        <w:gridCol w:w="456"/>
        <w:gridCol w:w="1203"/>
        <w:gridCol w:w="1203"/>
        <w:gridCol w:w="1043"/>
      </w:tblGrid>
      <w:tr w:rsidR="00E76458" w:rsidRPr="00E76458" w:rsidTr="00785C76">
        <w:trPr>
          <w:trHeight w:val="310"/>
          <w:jc w:val="center"/>
        </w:trPr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bookmarkEnd w:id="0"/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Title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Type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R</w:t>
            </w:r>
            <w:r w:rsidRPr="00E764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X(cum)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R</w:t>
            </w:r>
            <w:r w:rsidRPr="00E764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Y(cum)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Q</w:t>
            </w:r>
            <w:r w:rsidRPr="00E764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(cum)</w:t>
            </w:r>
          </w:p>
        </w:tc>
      </w:tr>
      <w:tr w:rsidR="00E76458" w:rsidRPr="00E76458" w:rsidTr="00785C76">
        <w:trPr>
          <w:trHeight w:val="280"/>
          <w:jc w:val="center"/>
        </w:trPr>
        <w:tc>
          <w:tcPr>
            <w:tcW w:w="3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PI437654_SCN VS PI437654_0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PCA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0.776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</w:tr>
      <w:tr w:rsidR="00E76458" w:rsidRPr="00E76458" w:rsidTr="00785C76">
        <w:trPr>
          <w:trHeight w:val="280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WM82_SCN VS WM82_0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PCA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0.739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</w:tr>
      <w:tr w:rsidR="00E76458" w:rsidRPr="00E76458" w:rsidTr="00785C76">
        <w:trPr>
          <w:trHeight w:val="280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ZH13_SCN VS ZH13_0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PCA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0.823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</w:tr>
      <w:tr w:rsidR="00E76458" w:rsidRPr="00E76458" w:rsidTr="00785C76">
        <w:trPr>
          <w:trHeight w:val="280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HF47_SCN VS HF47_0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PCA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0.708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458" w:rsidRPr="00E76458" w:rsidRDefault="00E76458" w:rsidP="00785C7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</w:tr>
      <w:tr w:rsidR="00E76458" w:rsidRPr="00E76458" w:rsidTr="00785C76">
        <w:trPr>
          <w:trHeight w:val="320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PI437654_SCN VS PI437654_0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PLS-DA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0.817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0.807</w:t>
            </w:r>
          </w:p>
        </w:tc>
      </w:tr>
      <w:tr w:rsidR="00E76458" w:rsidRPr="00E76458" w:rsidTr="00785C76">
        <w:trPr>
          <w:trHeight w:val="280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WM82_SCN VS WM82_0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PLS-DA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0.891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0.955</w:t>
            </w:r>
          </w:p>
        </w:tc>
      </w:tr>
      <w:tr w:rsidR="00E76458" w:rsidRPr="00E76458" w:rsidTr="00785C76">
        <w:trPr>
          <w:trHeight w:val="280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ZH13_SCN VS ZH13_0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PLS-DA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0.962</w:t>
            </w:r>
          </w:p>
        </w:tc>
      </w:tr>
      <w:tr w:rsidR="00E76458" w:rsidRPr="00E76458" w:rsidTr="00785C76">
        <w:trPr>
          <w:trHeight w:val="280"/>
          <w:jc w:val="center"/>
        </w:trPr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HF47_SCN VS HF47_0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PLS-DA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0.825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458" w:rsidRPr="00E76458" w:rsidRDefault="00E76458" w:rsidP="00785C7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6458">
              <w:rPr>
                <w:rFonts w:ascii="Times New Roman" w:hAnsi="Times New Roman"/>
                <w:kern w:val="0"/>
                <w:sz w:val="24"/>
                <w:szCs w:val="24"/>
              </w:rPr>
              <w:t>0.942</w:t>
            </w:r>
          </w:p>
        </w:tc>
      </w:tr>
    </w:tbl>
    <w:p w:rsidR="00E76458" w:rsidRPr="00E76458" w:rsidRDefault="00E76458" w:rsidP="00E7645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6458">
        <w:rPr>
          <w:rFonts w:ascii="Times New Roman" w:hAnsi="Times New Roman"/>
          <w:sz w:val="24"/>
          <w:szCs w:val="24"/>
        </w:rPr>
        <w:t>Note: N, Number of samples analyzed; R</w:t>
      </w:r>
      <w:r w:rsidRPr="00E76458">
        <w:rPr>
          <w:rFonts w:ascii="Times New Roman" w:hAnsi="Times New Roman"/>
          <w:sz w:val="24"/>
          <w:szCs w:val="24"/>
          <w:vertAlign w:val="superscript"/>
        </w:rPr>
        <w:t>2</w:t>
      </w:r>
      <w:r w:rsidRPr="00E76458">
        <w:rPr>
          <w:rFonts w:ascii="Times New Roman" w:hAnsi="Times New Roman"/>
          <w:sz w:val="24"/>
          <w:szCs w:val="24"/>
        </w:rPr>
        <w:t>X, Interpret-ability of X variable; R</w:t>
      </w:r>
      <w:r w:rsidRPr="00E76458">
        <w:rPr>
          <w:rFonts w:ascii="Times New Roman" w:hAnsi="Times New Roman"/>
          <w:sz w:val="24"/>
          <w:szCs w:val="24"/>
          <w:vertAlign w:val="superscript"/>
        </w:rPr>
        <w:t>2</w:t>
      </w:r>
      <w:r w:rsidRPr="00E76458">
        <w:rPr>
          <w:rFonts w:ascii="Times New Roman" w:hAnsi="Times New Roman"/>
          <w:sz w:val="24"/>
          <w:szCs w:val="24"/>
        </w:rPr>
        <w:t>Y, Interpret-ability of Y variable; Q</w:t>
      </w:r>
      <w:r w:rsidRPr="00E76458">
        <w:rPr>
          <w:rFonts w:ascii="Times New Roman" w:hAnsi="Times New Roman"/>
          <w:sz w:val="24"/>
          <w:szCs w:val="24"/>
          <w:vertAlign w:val="superscript"/>
        </w:rPr>
        <w:t>2</w:t>
      </w:r>
      <w:r w:rsidRPr="00E76458">
        <w:rPr>
          <w:rFonts w:ascii="Times New Roman" w:hAnsi="Times New Roman"/>
          <w:sz w:val="24"/>
          <w:szCs w:val="24"/>
        </w:rPr>
        <w:t>, Predictable value of the model. The closer R</w:t>
      </w:r>
      <w:r w:rsidRPr="00E76458">
        <w:rPr>
          <w:rFonts w:ascii="Times New Roman" w:hAnsi="Times New Roman"/>
          <w:sz w:val="24"/>
          <w:szCs w:val="24"/>
          <w:vertAlign w:val="superscript"/>
        </w:rPr>
        <w:t>2</w:t>
      </w:r>
      <w:r w:rsidRPr="00E76458">
        <w:rPr>
          <w:rFonts w:ascii="Times New Roman" w:hAnsi="Times New Roman"/>
          <w:sz w:val="24"/>
          <w:szCs w:val="24"/>
        </w:rPr>
        <w:t>Y and Q</w:t>
      </w:r>
      <w:r w:rsidRPr="00E7645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76458">
        <w:rPr>
          <w:rFonts w:ascii="Times New Roman" w:hAnsi="Times New Roman"/>
          <w:sz w:val="24"/>
          <w:szCs w:val="24"/>
        </w:rPr>
        <w:t>values were to 1, the better the PLS-DA model interpreted and predicted the differences between the two groups of samples.</w:t>
      </w:r>
    </w:p>
    <w:p w:rsidR="00E76458" w:rsidRPr="00E76458" w:rsidRDefault="00E76458" w:rsidP="00E76458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6317D5" w:rsidRPr="00E76458" w:rsidRDefault="006317D5"/>
    <w:sectPr w:rsidR="006317D5" w:rsidRPr="00E7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09" w:rsidRDefault="00387B09" w:rsidP="00E76458">
      <w:r>
        <w:separator/>
      </w:r>
    </w:p>
  </w:endnote>
  <w:endnote w:type="continuationSeparator" w:id="0">
    <w:p w:rsidR="00387B09" w:rsidRDefault="00387B09" w:rsidP="00E7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09" w:rsidRDefault="00387B09" w:rsidP="00E76458">
      <w:r>
        <w:separator/>
      </w:r>
    </w:p>
  </w:footnote>
  <w:footnote w:type="continuationSeparator" w:id="0">
    <w:p w:rsidR="00387B09" w:rsidRDefault="00387B09" w:rsidP="00E7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6"/>
    <w:rsid w:val="00387B09"/>
    <w:rsid w:val="003E0086"/>
    <w:rsid w:val="006317D5"/>
    <w:rsid w:val="00E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01127-9D1F-48D2-B7F7-993782E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5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2020-08-24T05:10:00Z</dcterms:created>
  <dcterms:modified xsi:type="dcterms:W3CDTF">2020-08-24T05:10:00Z</dcterms:modified>
</cp:coreProperties>
</file>